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AB7CAD" w14:textId="7EAF1A99" w:rsidR="002B195B" w:rsidRDefault="00431061" w:rsidP="00431061">
      <w:pPr>
        <w:jc w:val="center"/>
        <w:rPr>
          <w:sz w:val="24"/>
          <w:szCs w:val="24"/>
        </w:rPr>
      </w:pPr>
      <w:r>
        <w:rPr>
          <w:sz w:val="24"/>
          <w:szCs w:val="24"/>
        </w:rPr>
        <w:t xml:space="preserve">                                                                                                   </w:t>
      </w:r>
      <w:r w:rsidR="004470F6">
        <w:rPr>
          <w:sz w:val="24"/>
          <w:szCs w:val="24"/>
        </w:rPr>
        <w:t xml:space="preserve">draft, </w:t>
      </w:r>
      <w:r w:rsidR="00D567CF">
        <w:rPr>
          <w:sz w:val="24"/>
          <w:szCs w:val="24"/>
        </w:rPr>
        <w:t>May</w:t>
      </w:r>
      <w:r w:rsidR="005831B6">
        <w:rPr>
          <w:sz w:val="24"/>
          <w:szCs w:val="24"/>
        </w:rPr>
        <w:t xml:space="preserve"> </w:t>
      </w:r>
      <w:r w:rsidR="000073CF">
        <w:rPr>
          <w:sz w:val="24"/>
          <w:szCs w:val="24"/>
        </w:rPr>
        <w:t>1</w:t>
      </w:r>
      <w:r w:rsidR="00800572">
        <w:rPr>
          <w:sz w:val="24"/>
          <w:szCs w:val="24"/>
        </w:rPr>
        <w:t>5</w:t>
      </w:r>
      <w:r w:rsidR="000073CF">
        <w:rPr>
          <w:sz w:val="24"/>
          <w:szCs w:val="24"/>
        </w:rPr>
        <w:t>,</w:t>
      </w:r>
      <w:r w:rsidR="002B195B">
        <w:rPr>
          <w:sz w:val="24"/>
          <w:szCs w:val="24"/>
        </w:rPr>
        <w:t xml:space="preserve"> 2017</w:t>
      </w:r>
    </w:p>
    <w:p w14:paraId="58DAA9ED" w14:textId="77777777" w:rsidR="00FF7318" w:rsidRPr="00220F25" w:rsidRDefault="00FF7318" w:rsidP="002B195B">
      <w:pPr>
        <w:jc w:val="right"/>
        <w:rPr>
          <w:sz w:val="2"/>
          <w:szCs w:val="2"/>
        </w:rPr>
      </w:pPr>
    </w:p>
    <w:p w14:paraId="57B5C1F6" w14:textId="3CFD2896" w:rsidR="002B195B" w:rsidRPr="00FF7318" w:rsidRDefault="00FF7318" w:rsidP="002B195B">
      <w:pPr>
        <w:jc w:val="center"/>
        <w:rPr>
          <w:b/>
          <w:sz w:val="28"/>
          <w:szCs w:val="28"/>
        </w:rPr>
      </w:pPr>
      <w:r w:rsidRPr="00FF7318">
        <w:rPr>
          <w:b/>
          <w:sz w:val="28"/>
          <w:szCs w:val="28"/>
        </w:rPr>
        <w:t xml:space="preserve"> </w:t>
      </w:r>
      <w:r w:rsidR="00A33315" w:rsidRPr="00FF7318">
        <w:rPr>
          <w:b/>
          <w:sz w:val="28"/>
          <w:szCs w:val="28"/>
        </w:rPr>
        <w:t>Systematic Managed Floating</w:t>
      </w:r>
      <w:r w:rsidR="006A3367" w:rsidRPr="00FF7318">
        <w:rPr>
          <w:b/>
          <w:sz w:val="28"/>
          <w:szCs w:val="28"/>
        </w:rPr>
        <w:t xml:space="preserve"> </w:t>
      </w:r>
      <w:r w:rsidR="00016656">
        <w:rPr>
          <w:b/>
          <w:sz w:val="28"/>
          <w:szCs w:val="28"/>
        </w:rPr>
        <w:t xml:space="preserve">    </w:t>
      </w:r>
      <w:r w:rsidR="0046189C">
        <w:rPr>
          <w:b/>
          <w:sz w:val="28"/>
          <w:szCs w:val="28"/>
        </w:rPr>
        <w:t xml:space="preserve"> </w:t>
      </w:r>
    </w:p>
    <w:p w14:paraId="72DEE48A" w14:textId="77777777" w:rsidR="006A3367" w:rsidRPr="00FF7318" w:rsidRDefault="006A3367" w:rsidP="002B195B">
      <w:pPr>
        <w:jc w:val="center"/>
        <w:rPr>
          <w:rFonts w:cs="Arial"/>
          <w:color w:val="1E1E1E"/>
          <w:sz w:val="24"/>
          <w:szCs w:val="24"/>
          <w:shd w:val="clear" w:color="auto" w:fill="FFFFFF"/>
        </w:rPr>
      </w:pPr>
      <w:r w:rsidRPr="00FF7318">
        <w:rPr>
          <w:sz w:val="24"/>
          <w:szCs w:val="24"/>
        </w:rPr>
        <w:t>Jeffrey Frankel, Harpel Professor of Capital Formation and Growth, Harvard Kennedy School</w:t>
      </w:r>
    </w:p>
    <w:p w14:paraId="6BF26ABB" w14:textId="13D8879D" w:rsidR="006A3367" w:rsidRPr="006A3367" w:rsidRDefault="006A3367" w:rsidP="00702A92">
      <w:pPr>
        <w:spacing w:line="240" w:lineRule="auto"/>
        <w:jc w:val="center"/>
        <w:rPr>
          <w:rFonts w:cs="Arial"/>
          <w:color w:val="1E1E1E"/>
          <w:sz w:val="24"/>
          <w:szCs w:val="24"/>
          <w:shd w:val="clear" w:color="auto" w:fill="FFFFFF"/>
        </w:rPr>
      </w:pPr>
      <w:r w:rsidRPr="00FF7318">
        <w:rPr>
          <w:rFonts w:cs="Arial"/>
          <w:color w:val="1E1E1E"/>
          <w:sz w:val="24"/>
          <w:szCs w:val="24"/>
          <w:shd w:val="clear" w:color="auto" w:fill="FFFFFF"/>
        </w:rPr>
        <w:t xml:space="preserve">Paper Written for </w:t>
      </w:r>
      <w:r w:rsidR="000D119D">
        <w:rPr>
          <w:rFonts w:cs="Arial"/>
          <w:color w:val="1E1E1E"/>
          <w:sz w:val="24"/>
          <w:szCs w:val="24"/>
          <w:shd w:val="clear" w:color="auto" w:fill="FFFFFF"/>
        </w:rPr>
        <w:t xml:space="preserve">the </w:t>
      </w:r>
      <w:r w:rsidR="00702A92" w:rsidRPr="00FF7318">
        <w:rPr>
          <w:rFonts w:cs="Arial"/>
          <w:color w:val="1E1E1E"/>
          <w:sz w:val="24"/>
          <w:szCs w:val="24"/>
          <w:shd w:val="clear" w:color="auto" w:fill="FFFFFF"/>
        </w:rPr>
        <w:t>4</w:t>
      </w:r>
      <w:r w:rsidRPr="00FF7318">
        <w:rPr>
          <w:rFonts w:cs="Arial"/>
          <w:color w:val="1E1E1E"/>
          <w:sz w:val="24"/>
          <w:szCs w:val="24"/>
          <w:shd w:val="clear" w:color="auto" w:fill="FFFFFF"/>
        </w:rPr>
        <w:t xml:space="preserve">th Asian Monetary Policy Forum, </w:t>
      </w:r>
      <w:r w:rsidR="00431061">
        <w:rPr>
          <w:rFonts w:cs="Arial"/>
          <w:color w:val="1E1E1E"/>
          <w:sz w:val="24"/>
          <w:szCs w:val="24"/>
          <w:shd w:val="clear" w:color="auto" w:fill="FFFFFF"/>
        </w:rPr>
        <w:t>Singapore, 26 May, 2017,</w:t>
      </w:r>
      <w:r w:rsidRPr="00FF7318">
        <w:rPr>
          <w:rFonts w:cs="Arial"/>
          <w:color w:val="1E1E1E"/>
          <w:sz w:val="24"/>
          <w:szCs w:val="24"/>
          <w:shd w:val="clear" w:color="auto" w:fill="FFFFFF"/>
        </w:rPr>
        <w:br/>
      </w:r>
      <w:r w:rsidR="00702A92" w:rsidRPr="00FF7318">
        <w:rPr>
          <w:rFonts w:cs="Arial"/>
          <w:color w:val="000000"/>
          <w:sz w:val="24"/>
          <w:szCs w:val="24"/>
          <w:shd w:val="clear" w:color="auto" w:fill="FFFFFF"/>
        </w:rPr>
        <w:t>organized under the auspices of the Asian Bureau of Finance and Economic Research (ABFER), with support from the University of Chicago Booth School of Business, the National University of Singapore Business School and the Monetary Authority of Singapore (MAS).</w:t>
      </w:r>
      <w:r w:rsidR="00FF7318" w:rsidRPr="00FF7318">
        <w:rPr>
          <w:sz w:val="24"/>
          <w:szCs w:val="24"/>
        </w:rPr>
        <w:t xml:space="preserve"> *</w:t>
      </w:r>
      <w:r w:rsidR="00702A92">
        <w:rPr>
          <w:rFonts w:cs="Arial"/>
          <w:color w:val="1E1E1E"/>
          <w:sz w:val="24"/>
          <w:szCs w:val="24"/>
          <w:shd w:val="clear" w:color="auto" w:fill="FFFFFF"/>
        </w:rPr>
        <w:br/>
      </w:r>
    </w:p>
    <w:p w14:paraId="4DF577A7" w14:textId="77777777" w:rsidR="006A3367" w:rsidRDefault="006A3367" w:rsidP="002B195B">
      <w:pPr>
        <w:jc w:val="center"/>
        <w:rPr>
          <w:rFonts w:ascii="Arial" w:hAnsi="Arial" w:cs="Arial"/>
          <w:color w:val="1E1E1E"/>
          <w:sz w:val="21"/>
          <w:szCs w:val="21"/>
          <w:shd w:val="clear" w:color="auto" w:fill="FFFFFF"/>
        </w:rPr>
      </w:pPr>
    </w:p>
    <w:p w14:paraId="5CFC14E9" w14:textId="77777777" w:rsidR="001C3BD5" w:rsidRPr="00FF7318" w:rsidRDefault="001C3BD5" w:rsidP="002B195B">
      <w:pPr>
        <w:jc w:val="center"/>
        <w:rPr>
          <w:rFonts w:cs="Arial"/>
          <w:color w:val="1E1E1E"/>
          <w:sz w:val="24"/>
          <w:szCs w:val="24"/>
          <w:shd w:val="clear" w:color="auto" w:fill="FFFFFF"/>
        </w:rPr>
      </w:pPr>
    </w:p>
    <w:p w14:paraId="4DBB2747" w14:textId="77777777" w:rsidR="00FF7318" w:rsidRDefault="003A4D45" w:rsidP="00FF7318">
      <w:pPr>
        <w:jc w:val="center"/>
        <w:rPr>
          <w:rFonts w:cs="Arial"/>
          <w:color w:val="1E1E1E"/>
          <w:sz w:val="24"/>
          <w:szCs w:val="24"/>
          <w:u w:val="single"/>
          <w:shd w:val="clear" w:color="auto" w:fill="FFFFFF"/>
        </w:rPr>
      </w:pPr>
      <w:r w:rsidRPr="00FF7318">
        <w:rPr>
          <w:rFonts w:cs="Arial"/>
          <w:color w:val="1E1E1E"/>
          <w:sz w:val="24"/>
          <w:szCs w:val="24"/>
          <w:u w:val="single"/>
          <w:shd w:val="clear" w:color="auto" w:fill="FFFFFF"/>
        </w:rPr>
        <w:t>Abstract</w:t>
      </w:r>
    </w:p>
    <w:p w14:paraId="1FDEB991" w14:textId="19312410" w:rsidR="001C3BD5" w:rsidRPr="00FF7318" w:rsidRDefault="003A4D45" w:rsidP="00FF7318">
      <w:pPr>
        <w:rPr>
          <w:rFonts w:cs="Arial"/>
          <w:color w:val="1E1E1E"/>
          <w:sz w:val="24"/>
          <w:szCs w:val="24"/>
          <w:shd w:val="clear" w:color="auto" w:fill="FFFFFF"/>
        </w:rPr>
      </w:pPr>
      <w:r w:rsidRPr="00FF7318">
        <w:rPr>
          <w:rFonts w:cs="Arial"/>
          <w:color w:val="1E1E1E"/>
          <w:sz w:val="24"/>
          <w:szCs w:val="24"/>
          <w:shd w:val="clear" w:color="auto" w:fill="FFFFFF"/>
        </w:rPr>
        <w:t xml:space="preserve">A majority of countries neither freely float their currencies nor firmly peg.  But most of the remainder </w:t>
      </w:r>
      <w:r w:rsidR="00625964" w:rsidRPr="00FF7318">
        <w:rPr>
          <w:rFonts w:cs="Arial"/>
          <w:color w:val="1E1E1E"/>
          <w:sz w:val="24"/>
          <w:szCs w:val="24"/>
          <w:shd w:val="clear" w:color="auto" w:fill="FFFFFF"/>
        </w:rPr>
        <w:t xml:space="preserve">in practice </w:t>
      </w:r>
      <w:r w:rsidRPr="00FF7318">
        <w:rPr>
          <w:rFonts w:cs="Arial"/>
          <w:color w:val="1E1E1E"/>
          <w:sz w:val="24"/>
          <w:szCs w:val="24"/>
          <w:shd w:val="clear" w:color="auto" w:fill="FFFFFF"/>
        </w:rPr>
        <w:t xml:space="preserve">also don’t obey such well-defined intermediate </w:t>
      </w:r>
      <w:r w:rsidR="00625964">
        <w:rPr>
          <w:rFonts w:cs="Arial"/>
          <w:color w:val="1E1E1E"/>
          <w:sz w:val="24"/>
          <w:szCs w:val="24"/>
          <w:shd w:val="clear" w:color="auto" w:fill="FFFFFF"/>
        </w:rPr>
        <w:t xml:space="preserve">exchange rate </w:t>
      </w:r>
      <w:r w:rsidRPr="00FF7318">
        <w:rPr>
          <w:rFonts w:cs="Arial"/>
          <w:color w:val="1E1E1E"/>
          <w:sz w:val="24"/>
          <w:szCs w:val="24"/>
          <w:shd w:val="clear" w:color="auto" w:fill="FFFFFF"/>
        </w:rPr>
        <w:t>regimes a</w:t>
      </w:r>
      <w:r w:rsidR="009D1D0D">
        <w:rPr>
          <w:rFonts w:cs="Arial"/>
          <w:color w:val="1E1E1E"/>
          <w:sz w:val="24"/>
          <w:szCs w:val="24"/>
          <w:shd w:val="clear" w:color="auto" w:fill="FFFFFF"/>
        </w:rPr>
        <w:t xml:space="preserve">s target zones or basket pegs. </w:t>
      </w:r>
      <w:r w:rsidRPr="00FF7318">
        <w:rPr>
          <w:rFonts w:cs="Arial"/>
          <w:color w:val="1E1E1E"/>
          <w:sz w:val="24"/>
          <w:szCs w:val="24"/>
          <w:shd w:val="clear" w:color="auto" w:fill="FFFFFF"/>
        </w:rPr>
        <w:t xml:space="preserve"> This p</w:t>
      </w:r>
      <w:r w:rsidR="00625964">
        <w:rPr>
          <w:rFonts w:cs="Arial"/>
          <w:color w:val="1E1E1E"/>
          <w:sz w:val="24"/>
          <w:szCs w:val="24"/>
          <w:shd w:val="clear" w:color="auto" w:fill="FFFFFF"/>
        </w:rPr>
        <w:t>aper proposes to define an</w:t>
      </w:r>
      <w:r w:rsidRPr="00FF7318">
        <w:rPr>
          <w:rFonts w:cs="Arial"/>
          <w:color w:val="1E1E1E"/>
          <w:sz w:val="24"/>
          <w:szCs w:val="24"/>
          <w:shd w:val="clear" w:color="auto" w:fill="FFFFFF"/>
        </w:rPr>
        <w:t xml:space="preserve"> intermediate </w:t>
      </w:r>
      <w:r w:rsidR="00660A4B">
        <w:rPr>
          <w:rFonts w:cs="Arial"/>
          <w:color w:val="1E1E1E"/>
          <w:sz w:val="24"/>
          <w:szCs w:val="24"/>
          <w:shd w:val="clear" w:color="auto" w:fill="FFFFFF"/>
        </w:rPr>
        <w:t>rgime</w:t>
      </w:r>
      <w:r w:rsidRPr="00FF7318">
        <w:rPr>
          <w:rFonts w:cs="Arial"/>
          <w:color w:val="1E1E1E"/>
          <w:sz w:val="24"/>
          <w:szCs w:val="24"/>
          <w:shd w:val="clear" w:color="auto" w:fill="FFFFFF"/>
        </w:rPr>
        <w:t xml:space="preserve"> to be called “systematic managed floating,” as </w:t>
      </w:r>
      <w:r w:rsidR="00660A4B">
        <w:rPr>
          <w:rFonts w:cs="Arial"/>
          <w:color w:val="1E1E1E"/>
          <w:sz w:val="24"/>
          <w:szCs w:val="24"/>
          <w:shd w:val="clear" w:color="auto" w:fill="FFFFFF"/>
        </w:rPr>
        <w:t>an arrangement</w:t>
      </w:r>
      <w:r w:rsidRPr="00FF7318">
        <w:rPr>
          <w:rFonts w:cs="Arial"/>
          <w:color w:val="1E1E1E"/>
          <w:sz w:val="24"/>
          <w:szCs w:val="24"/>
          <w:shd w:val="clear" w:color="auto" w:fill="FFFFFF"/>
        </w:rPr>
        <w:t xml:space="preserve"> where the central bank regularly responds to changes in total exchange market pressure by all</w:t>
      </w:r>
      <w:r w:rsidR="00957B3A" w:rsidRPr="00FF7318">
        <w:rPr>
          <w:rFonts w:cs="Arial"/>
          <w:color w:val="1E1E1E"/>
          <w:sz w:val="24"/>
          <w:szCs w:val="24"/>
          <w:shd w:val="clear" w:color="auto" w:fill="FFFFFF"/>
        </w:rPr>
        <w:t>owing some fraction to be reflect</w:t>
      </w:r>
      <w:r w:rsidRPr="00FF7318">
        <w:rPr>
          <w:rFonts w:cs="Arial"/>
          <w:color w:val="1E1E1E"/>
          <w:sz w:val="24"/>
          <w:szCs w:val="24"/>
          <w:shd w:val="clear" w:color="auto" w:fill="FFFFFF"/>
        </w:rPr>
        <w:t>ed as a change in the exchange rate and the remainin</w:t>
      </w:r>
      <w:r w:rsidR="00EB2F23" w:rsidRPr="00FF7318">
        <w:rPr>
          <w:rFonts w:cs="Arial"/>
          <w:color w:val="1E1E1E"/>
          <w:sz w:val="24"/>
          <w:szCs w:val="24"/>
          <w:shd w:val="clear" w:color="auto" w:fill="FFFFFF"/>
        </w:rPr>
        <w:t xml:space="preserve">g fraction to be absorbed as a </w:t>
      </w:r>
      <w:r w:rsidRPr="00FF7318">
        <w:rPr>
          <w:rFonts w:cs="Arial"/>
          <w:color w:val="1E1E1E"/>
          <w:sz w:val="24"/>
          <w:szCs w:val="24"/>
          <w:shd w:val="clear" w:color="auto" w:fill="FFFFFF"/>
        </w:rPr>
        <w:t>change in foreign exchange reserves.</w:t>
      </w:r>
      <w:r w:rsidR="00FF7318" w:rsidRPr="00FF7318">
        <w:rPr>
          <w:rFonts w:cs="Arial"/>
          <w:color w:val="1E1E1E"/>
          <w:sz w:val="24"/>
          <w:szCs w:val="24"/>
          <w:shd w:val="clear" w:color="auto" w:fill="FFFFFF"/>
        </w:rPr>
        <w:t xml:space="preserve">  </w:t>
      </w:r>
      <w:r w:rsidR="008341F9">
        <w:rPr>
          <w:rFonts w:cs="Arial"/>
          <w:color w:val="1E1E1E"/>
          <w:sz w:val="24"/>
          <w:szCs w:val="24"/>
          <w:shd w:val="clear" w:color="auto" w:fill="FFFFFF"/>
        </w:rPr>
        <w:t xml:space="preserve">An operational criterion for judging </w:t>
      </w:r>
      <w:r w:rsidR="00431061">
        <w:rPr>
          <w:rFonts w:cs="Arial"/>
          <w:color w:val="1E1E1E"/>
          <w:sz w:val="24"/>
          <w:szCs w:val="24"/>
          <w:shd w:val="clear" w:color="auto" w:fill="FFFFFF"/>
        </w:rPr>
        <w:t xml:space="preserve">systematic managed </w:t>
      </w:r>
      <w:r w:rsidR="008341F9">
        <w:rPr>
          <w:rFonts w:cs="Arial"/>
          <w:color w:val="1E1E1E"/>
          <w:sz w:val="24"/>
          <w:szCs w:val="24"/>
          <w:shd w:val="clear" w:color="auto" w:fill="FFFFFF"/>
        </w:rPr>
        <w:t>float</w:t>
      </w:r>
      <w:r w:rsidR="00431061">
        <w:rPr>
          <w:rFonts w:cs="Arial"/>
          <w:color w:val="1E1E1E"/>
          <w:sz w:val="24"/>
          <w:szCs w:val="24"/>
          <w:shd w:val="clear" w:color="auto" w:fill="FFFFFF"/>
        </w:rPr>
        <w:t>ers</w:t>
      </w:r>
      <w:r w:rsidR="008341F9">
        <w:rPr>
          <w:rFonts w:cs="Arial"/>
          <w:color w:val="1E1E1E"/>
          <w:sz w:val="24"/>
          <w:szCs w:val="24"/>
          <w:shd w:val="clear" w:color="auto" w:fill="FFFFFF"/>
        </w:rPr>
        <w:t xml:space="preserve"> is a high correlation between exchange rate changes and reserve changes.  </w:t>
      </w:r>
      <w:r w:rsidR="00660A4B">
        <w:rPr>
          <w:rFonts w:cs="Arial"/>
          <w:color w:val="1E1E1E"/>
          <w:sz w:val="24"/>
          <w:szCs w:val="24"/>
          <w:shd w:val="clear" w:color="auto" w:fill="FFFFFF"/>
        </w:rPr>
        <w:t>The paper</w:t>
      </w:r>
      <w:r w:rsidR="00FF7318" w:rsidRPr="00FF7318">
        <w:rPr>
          <w:rFonts w:cs="Arial"/>
          <w:color w:val="1E1E1E"/>
          <w:sz w:val="24"/>
          <w:szCs w:val="24"/>
          <w:shd w:val="clear" w:color="auto" w:fill="FFFFFF"/>
        </w:rPr>
        <w:t xml:space="preserve"> reject</w:t>
      </w:r>
      <w:r w:rsidR="00660A4B">
        <w:rPr>
          <w:rFonts w:cs="Arial"/>
          <w:color w:val="1E1E1E"/>
          <w:sz w:val="24"/>
          <w:szCs w:val="24"/>
          <w:shd w:val="clear" w:color="auto" w:fill="FFFFFF"/>
        </w:rPr>
        <w:t>s</w:t>
      </w:r>
      <w:r w:rsidR="00FF7318" w:rsidRPr="00FF7318">
        <w:rPr>
          <w:rFonts w:cs="Arial"/>
          <w:color w:val="1E1E1E"/>
          <w:sz w:val="24"/>
          <w:szCs w:val="24"/>
          <w:shd w:val="clear" w:color="auto" w:fill="FFFFFF"/>
        </w:rPr>
        <w:t xml:space="preserve"> the view that exchange rate regimes make no difference.  In regressions to test effects on real exchange rates, we find that positive external shocks tend to cause real appreciation for </w:t>
      </w:r>
      <w:r w:rsidR="00E721AA">
        <w:rPr>
          <w:rFonts w:cs="Arial"/>
          <w:color w:val="1E1E1E"/>
          <w:sz w:val="24"/>
          <w:szCs w:val="24"/>
          <w:shd w:val="clear" w:color="auto" w:fill="FFFFFF"/>
        </w:rPr>
        <w:t xml:space="preserve">most </w:t>
      </w:r>
      <w:r w:rsidR="008341F9">
        <w:rPr>
          <w:rFonts w:cs="Arial"/>
          <w:color w:val="1E1E1E"/>
          <w:sz w:val="24"/>
          <w:szCs w:val="24"/>
          <w:shd w:val="clear" w:color="auto" w:fill="FFFFFF"/>
        </w:rPr>
        <w:t xml:space="preserve">systematic </w:t>
      </w:r>
      <w:r w:rsidR="00FF7318" w:rsidRPr="00FF7318">
        <w:rPr>
          <w:rFonts w:cs="Arial"/>
          <w:color w:val="1E1E1E"/>
          <w:sz w:val="24"/>
          <w:szCs w:val="24"/>
          <w:shd w:val="clear" w:color="auto" w:fill="FFFFFF"/>
        </w:rPr>
        <w:t>managed-floaters;</w:t>
      </w:r>
      <w:r w:rsidR="00625964">
        <w:rPr>
          <w:rFonts w:cs="Arial"/>
          <w:color w:val="1E1E1E"/>
          <w:sz w:val="24"/>
          <w:szCs w:val="24"/>
          <w:shd w:val="clear" w:color="auto" w:fill="FFFFFF"/>
        </w:rPr>
        <w:t xml:space="preserve"> </w:t>
      </w:r>
      <w:r w:rsidR="00FF7318" w:rsidRPr="00FF7318">
        <w:rPr>
          <w:rFonts w:cs="Arial"/>
          <w:color w:val="1E1E1E"/>
          <w:sz w:val="24"/>
          <w:szCs w:val="24"/>
          <w:shd w:val="clear" w:color="auto" w:fill="FFFFFF"/>
        </w:rPr>
        <w:t>more strongly so for pure floaters; and not at all for most firm peggers.</w:t>
      </w:r>
      <w:r w:rsidR="008341F9">
        <w:rPr>
          <w:rFonts w:cs="Arial"/>
          <w:color w:val="1E1E1E"/>
          <w:sz w:val="24"/>
          <w:szCs w:val="24"/>
          <w:shd w:val="clear" w:color="auto" w:fill="FFFFFF"/>
        </w:rPr>
        <w:t xml:space="preserve">  </w:t>
      </w:r>
      <w:r w:rsidR="008341F9" w:rsidRPr="00FF7318">
        <w:rPr>
          <w:rFonts w:cs="Arial"/>
          <w:color w:val="1E1E1E"/>
          <w:sz w:val="24"/>
          <w:szCs w:val="24"/>
          <w:shd w:val="clear" w:color="auto" w:fill="FFFFFF"/>
        </w:rPr>
        <w:t xml:space="preserve">Two </w:t>
      </w:r>
      <w:r w:rsidR="008341F9">
        <w:rPr>
          <w:rFonts w:cs="Arial"/>
          <w:color w:val="1E1E1E"/>
          <w:sz w:val="24"/>
          <w:szCs w:val="24"/>
          <w:shd w:val="clear" w:color="auto" w:fill="FFFFFF"/>
        </w:rPr>
        <w:t xml:space="preserve">measures </w:t>
      </w:r>
      <w:r w:rsidR="008341F9" w:rsidRPr="00FF7318">
        <w:rPr>
          <w:rFonts w:cs="Arial"/>
          <w:color w:val="1E1E1E"/>
          <w:sz w:val="24"/>
          <w:szCs w:val="24"/>
          <w:shd w:val="clear" w:color="auto" w:fill="FFFFFF"/>
        </w:rPr>
        <w:t xml:space="preserve">of exogenous external shocks are </w:t>
      </w:r>
      <w:r w:rsidR="008341F9">
        <w:rPr>
          <w:rFonts w:cs="Arial"/>
          <w:color w:val="1E1E1E"/>
          <w:sz w:val="24"/>
          <w:szCs w:val="24"/>
          <w:shd w:val="clear" w:color="auto" w:fill="FFFFFF"/>
        </w:rPr>
        <w:t>us</w:t>
      </w:r>
      <w:r w:rsidR="008341F9" w:rsidRPr="00FF7318">
        <w:rPr>
          <w:rFonts w:cs="Arial"/>
          <w:color w:val="1E1E1E"/>
          <w:sz w:val="24"/>
          <w:szCs w:val="24"/>
          <w:shd w:val="clear" w:color="auto" w:fill="FFFFFF"/>
        </w:rPr>
        <w:t>ed:  (i) for commodity-exporters, a country-specific index of global prices of the export commodities and (ii) for other Asian emerging market economies, the V</w:t>
      </w:r>
      <w:r w:rsidR="008341F9">
        <w:rPr>
          <w:rFonts w:cs="Arial"/>
          <w:color w:val="1E1E1E"/>
          <w:sz w:val="24"/>
          <w:szCs w:val="24"/>
          <w:shd w:val="clear" w:color="auto" w:fill="FFFFFF"/>
        </w:rPr>
        <w:t>IX</w:t>
      </w:r>
      <w:r w:rsidR="008341F9" w:rsidRPr="00FF7318">
        <w:rPr>
          <w:rFonts w:cs="Arial"/>
          <w:color w:val="1E1E1E"/>
          <w:sz w:val="24"/>
          <w:szCs w:val="24"/>
          <w:shd w:val="clear" w:color="auto" w:fill="FFFFFF"/>
        </w:rPr>
        <w:t xml:space="preserve">.  </w:t>
      </w:r>
    </w:p>
    <w:p w14:paraId="3E81C34C" w14:textId="77777777" w:rsidR="005708E3" w:rsidRDefault="005708E3" w:rsidP="008341F9">
      <w:pPr>
        <w:rPr>
          <w:rFonts w:ascii="Arial" w:hAnsi="Arial" w:cs="Arial"/>
          <w:color w:val="1E1E1E"/>
          <w:sz w:val="21"/>
          <w:szCs w:val="21"/>
          <w:shd w:val="clear" w:color="auto" w:fill="FFFFFF"/>
        </w:rPr>
      </w:pPr>
    </w:p>
    <w:p w14:paraId="1112D479" w14:textId="77777777" w:rsidR="0074107C" w:rsidRDefault="0074107C" w:rsidP="008341F9">
      <w:pPr>
        <w:rPr>
          <w:rFonts w:ascii="Arial" w:hAnsi="Arial" w:cs="Arial"/>
          <w:color w:val="1E1E1E"/>
          <w:sz w:val="21"/>
          <w:szCs w:val="21"/>
          <w:shd w:val="clear" w:color="auto" w:fill="FFFFFF"/>
        </w:rPr>
      </w:pPr>
    </w:p>
    <w:p w14:paraId="132E095D" w14:textId="77777777" w:rsidR="005708E3" w:rsidRDefault="005708E3" w:rsidP="00FF7318">
      <w:pPr>
        <w:rPr>
          <w:rFonts w:ascii="Arial" w:hAnsi="Arial" w:cs="Arial"/>
          <w:color w:val="1E1E1E"/>
          <w:sz w:val="21"/>
          <w:szCs w:val="21"/>
          <w:shd w:val="clear" w:color="auto" w:fill="FFFFFF"/>
        </w:rPr>
      </w:pPr>
    </w:p>
    <w:p w14:paraId="6829E496" w14:textId="77777777" w:rsidR="005708E3" w:rsidRDefault="005708E3" w:rsidP="002B195B">
      <w:pPr>
        <w:jc w:val="center"/>
        <w:rPr>
          <w:rFonts w:ascii="Arial" w:hAnsi="Arial" w:cs="Arial"/>
          <w:color w:val="1E1E1E"/>
          <w:sz w:val="21"/>
          <w:szCs w:val="21"/>
          <w:shd w:val="clear" w:color="auto" w:fill="FFFFFF"/>
        </w:rPr>
      </w:pPr>
    </w:p>
    <w:p w14:paraId="2A334A5A" w14:textId="77777777" w:rsidR="005708E3" w:rsidRPr="00882489" w:rsidRDefault="005708E3" w:rsidP="005708E3">
      <w:pPr>
        <w:pStyle w:val="ListParagraph"/>
        <w:ind w:left="0"/>
        <w:rPr>
          <w:sz w:val="24"/>
          <w:szCs w:val="24"/>
        </w:rPr>
      </w:pPr>
      <w:r>
        <w:rPr>
          <w:sz w:val="24"/>
          <w:szCs w:val="24"/>
        </w:rPr>
        <w:t>___________________________________________________________________________</w:t>
      </w:r>
    </w:p>
    <w:p w14:paraId="0CB81BD7" w14:textId="77777777" w:rsidR="005708E3" w:rsidRPr="00FF7318" w:rsidRDefault="005708E3" w:rsidP="005708E3">
      <w:pPr>
        <w:pStyle w:val="ListParagraph"/>
        <w:ind w:left="0"/>
        <w:rPr>
          <w:sz w:val="24"/>
          <w:szCs w:val="24"/>
        </w:rPr>
      </w:pPr>
      <w:r w:rsidRPr="00FF7318">
        <w:rPr>
          <w:sz w:val="24"/>
          <w:szCs w:val="24"/>
        </w:rPr>
        <w:t>*  The author would like to thank Shruti Lakhtakia and Tilahun Emiru for assiduous research assistance and Andrew Rose for useful discussion.  Faults of the paper are the author’s alone.</w:t>
      </w:r>
    </w:p>
    <w:p w14:paraId="3414A951" w14:textId="77777777" w:rsidR="00FE3B45" w:rsidRPr="00FE3B45" w:rsidRDefault="00FE3B45" w:rsidP="00FE3B45">
      <w:pPr>
        <w:jc w:val="center"/>
        <w:rPr>
          <w:b/>
          <w:sz w:val="28"/>
          <w:szCs w:val="28"/>
        </w:rPr>
      </w:pPr>
      <w:r w:rsidRPr="00FF7318">
        <w:rPr>
          <w:b/>
          <w:sz w:val="28"/>
          <w:szCs w:val="28"/>
        </w:rPr>
        <w:lastRenderedPageBreak/>
        <w:t xml:space="preserve">Systematic Managed Floating </w:t>
      </w:r>
    </w:p>
    <w:p w14:paraId="17B0609F" w14:textId="77777777" w:rsidR="00FE3B45" w:rsidRDefault="00FE3B45" w:rsidP="001C3BD5">
      <w:pPr>
        <w:rPr>
          <w:rFonts w:ascii="Arial" w:hAnsi="Arial" w:cs="Arial"/>
          <w:color w:val="1E1E1E"/>
          <w:sz w:val="21"/>
          <w:szCs w:val="21"/>
          <w:shd w:val="clear" w:color="auto" w:fill="FFFFFF"/>
        </w:rPr>
      </w:pPr>
    </w:p>
    <w:p w14:paraId="64775F38" w14:textId="77777777" w:rsidR="001C3BD5" w:rsidRPr="001C3BD5" w:rsidRDefault="001C3BD5" w:rsidP="001C3BD5">
      <w:pPr>
        <w:rPr>
          <w:rFonts w:ascii="Arial" w:hAnsi="Arial" w:cs="Arial"/>
          <w:b/>
          <w:color w:val="1E1E1E"/>
          <w:sz w:val="24"/>
          <w:szCs w:val="24"/>
          <w:shd w:val="clear" w:color="auto" w:fill="FFFFFF"/>
        </w:rPr>
      </w:pPr>
      <w:r w:rsidRPr="001C3BD5">
        <w:rPr>
          <w:rFonts w:ascii="Arial" w:hAnsi="Arial" w:cs="Arial"/>
          <w:b/>
          <w:color w:val="1E1E1E"/>
          <w:sz w:val="24"/>
          <w:szCs w:val="24"/>
          <w:shd w:val="clear" w:color="auto" w:fill="FFFFFF"/>
        </w:rPr>
        <w:t>Introduction</w:t>
      </w:r>
    </w:p>
    <w:p w14:paraId="528CCEAB" w14:textId="2B16E979" w:rsidR="001C3BD5" w:rsidRPr="006A3367" w:rsidRDefault="001C3BD5" w:rsidP="001C3BD5">
      <w:pPr>
        <w:pStyle w:val="ListParagraph"/>
        <w:ind w:left="0" w:firstLine="360"/>
        <w:rPr>
          <w:sz w:val="24"/>
          <w:szCs w:val="24"/>
        </w:rPr>
      </w:pPr>
      <w:r w:rsidRPr="00882489">
        <w:rPr>
          <w:sz w:val="24"/>
          <w:szCs w:val="24"/>
        </w:rPr>
        <w:t>According to textbook theory, when countries ch</w:t>
      </w:r>
      <w:r>
        <w:rPr>
          <w:sz w:val="24"/>
          <w:szCs w:val="24"/>
        </w:rPr>
        <w:t>oose their exchange rate regime</w:t>
      </w:r>
      <w:r w:rsidRPr="00882489">
        <w:rPr>
          <w:sz w:val="24"/>
          <w:szCs w:val="24"/>
        </w:rPr>
        <w:t xml:space="preserve"> they are choosing the extent to which they will be able to run an independent monetary policy </w:t>
      </w:r>
      <w:r>
        <w:rPr>
          <w:sz w:val="24"/>
          <w:szCs w:val="24"/>
        </w:rPr>
        <w:t xml:space="preserve">despite </w:t>
      </w:r>
      <w:r w:rsidRPr="00882489">
        <w:rPr>
          <w:sz w:val="24"/>
          <w:szCs w:val="24"/>
        </w:rPr>
        <w:t>external shocks.  On the one hand, a firmly fixed exchange rate</w:t>
      </w:r>
      <w:r w:rsidR="0040551A">
        <w:rPr>
          <w:sz w:val="24"/>
          <w:szCs w:val="24"/>
        </w:rPr>
        <w:t xml:space="preserve"> </w:t>
      </w:r>
      <w:r w:rsidRPr="00882489">
        <w:rPr>
          <w:sz w:val="24"/>
          <w:szCs w:val="24"/>
        </w:rPr>
        <w:t>gives up the ability to set an independent m</w:t>
      </w:r>
      <w:r>
        <w:rPr>
          <w:sz w:val="24"/>
          <w:szCs w:val="24"/>
        </w:rPr>
        <w:t xml:space="preserve">onetary policy, unless </w:t>
      </w:r>
      <w:r w:rsidRPr="00882489">
        <w:rPr>
          <w:sz w:val="24"/>
          <w:szCs w:val="24"/>
        </w:rPr>
        <w:t>capital controls</w:t>
      </w:r>
      <w:r>
        <w:rPr>
          <w:sz w:val="24"/>
          <w:szCs w:val="24"/>
        </w:rPr>
        <w:t xml:space="preserve"> or other impediments are used to break</w:t>
      </w:r>
      <w:r w:rsidRPr="00882489">
        <w:rPr>
          <w:sz w:val="24"/>
          <w:szCs w:val="24"/>
        </w:rPr>
        <w:t xml:space="preserve"> the link between domesti</w:t>
      </w:r>
      <w:r>
        <w:rPr>
          <w:sz w:val="24"/>
          <w:szCs w:val="24"/>
        </w:rPr>
        <w:t>c and foreign interest rates</w:t>
      </w:r>
      <w:r w:rsidRPr="00882489">
        <w:rPr>
          <w:sz w:val="24"/>
          <w:szCs w:val="24"/>
        </w:rPr>
        <w:t>.  On the other hand, a free-float</w:t>
      </w:r>
      <w:r>
        <w:rPr>
          <w:sz w:val="24"/>
          <w:szCs w:val="24"/>
        </w:rPr>
        <w:t xml:space="preserve">ing exchange rate </w:t>
      </w:r>
      <w:r w:rsidRPr="00882489">
        <w:rPr>
          <w:sz w:val="24"/>
          <w:szCs w:val="24"/>
        </w:rPr>
        <w:t xml:space="preserve">maximizes insulation of the domestic real economy:  an adverse foreign shock causes a nominal and real depreciation of the domestic currency, </w:t>
      </w:r>
      <w:r w:rsidR="003D5A10">
        <w:rPr>
          <w:sz w:val="24"/>
          <w:szCs w:val="24"/>
        </w:rPr>
        <w:t xml:space="preserve">which works to </w:t>
      </w:r>
      <w:r w:rsidRPr="00882489">
        <w:rPr>
          <w:sz w:val="24"/>
          <w:szCs w:val="24"/>
        </w:rPr>
        <w:t>mode</w:t>
      </w:r>
      <w:r>
        <w:rPr>
          <w:sz w:val="24"/>
          <w:szCs w:val="24"/>
        </w:rPr>
        <w:t xml:space="preserve">rate what would otherwise be </w:t>
      </w:r>
      <w:r w:rsidRPr="00882489">
        <w:rPr>
          <w:sz w:val="24"/>
          <w:szCs w:val="24"/>
        </w:rPr>
        <w:t xml:space="preserve">negative </w:t>
      </w:r>
      <w:r>
        <w:rPr>
          <w:sz w:val="24"/>
          <w:szCs w:val="24"/>
        </w:rPr>
        <w:t xml:space="preserve">real </w:t>
      </w:r>
      <w:r w:rsidRPr="00882489">
        <w:rPr>
          <w:sz w:val="24"/>
          <w:szCs w:val="24"/>
        </w:rPr>
        <w:t>effect</w:t>
      </w:r>
      <w:r>
        <w:rPr>
          <w:sz w:val="24"/>
          <w:szCs w:val="24"/>
        </w:rPr>
        <w:t>s</w:t>
      </w:r>
      <w:r w:rsidRPr="00882489">
        <w:rPr>
          <w:sz w:val="24"/>
          <w:szCs w:val="24"/>
        </w:rPr>
        <w:t xml:space="preserve"> on the domestic trade balance, output and employment</w:t>
      </w:r>
      <w:r w:rsidR="00431061">
        <w:rPr>
          <w:sz w:val="24"/>
          <w:szCs w:val="24"/>
        </w:rPr>
        <w:t>.  In</w:t>
      </w:r>
      <w:r>
        <w:rPr>
          <w:sz w:val="24"/>
          <w:szCs w:val="24"/>
        </w:rPr>
        <w:t xml:space="preserve"> response to</w:t>
      </w:r>
      <w:r w:rsidRPr="00882489">
        <w:rPr>
          <w:sz w:val="24"/>
          <w:szCs w:val="24"/>
        </w:rPr>
        <w:t xml:space="preserve"> a positive foreign shock</w:t>
      </w:r>
      <w:r>
        <w:rPr>
          <w:sz w:val="24"/>
          <w:szCs w:val="24"/>
        </w:rPr>
        <w:t xml:space="preserve">, currency appreciation dampens its real </w:t>
      </w:r>
      <w:r w:rsidRPr="00882489">
        <w:rPr>
          <w:sz w:val="24"/>
          <w:szCs w:val="24"/>
        </w:rPr>
        <w:t>effect</w:t>
      </w:r>
      <w:r>
        <w:rPr>
          <w:sz w:val="24"/>
          <w:szCs w:val="24"/>
        </w:rPr>
        <w:t>s</w:t>
      </w:r>
      <w:r w:rsidRPr="00882489">
        <w:rPr>
          <w:sz w:val="24"/>
          <w:szCs w:val="24"/>
        </w:rPr>
        <w:t xml:space="preserve"> </w:t>
      </w:r>
      <w:r>
        <w:rPr>
          <w:sz w:val="24"/>
          <w:szCs w:val="24"/>
        </w:rPr>
        <w:t>as well</w:t>
      </w:r>
      <w:r w:rsidRPr="00882489">
        <w:rPr>
          <w:sz w:val="24"/>
          <w:szCs w:val="24"/>
        </w:rPr>
        <w:t>.</w:t>
      </w:r>
      <w:r>
        <w:rPr>
          <w:sz w:val="24"/>
          <w:szCs w:val="24"/>
        </w:rPr>
        <w:t xml:space="preserve">  </w:t>
      </w:r>
      <w:r>
        <w:rPr>
          <w:sz w:val="24"/>
          <w:szCs w:val="24"/>
        </w:rPr>
        <w:br/>
      </w:r>
    </w:p>
    <w:p w14:paraId="7EE16277" w14:textId="29079F13" w:rsidR="001C3BD5" w:rsidRDefault="001C3BD5" w:rsidP="001C3BD5">
      <w:pPr>
        <w:pStyle w:val="ListParagraph"/>
        <w:ind w:left="0" w:firstLine="360"/>
        <w:rPr>
          <w:sz w:val="24"/>
          <w:szCs w:val="24"/>
        </w:rPr>
      </w:pPr>
      <w:r>
        <w:rPr>
          <w:sz w:val="24"/>
          <w:szCs w:val="24"/>
        </w:rPr>
        <w:t>T</w:t>
      </w:r>
      <w:r w:rsidRPr="00882489">
        <w:rPr>
          <w:sz w:val="24"/>
          <w:szCs w:val="24"/>
        </w:rPr>
        <w:t>here are also intermediate regimes that lie at various points along the spectrum between</w:t>
      </w:r>
      <w:r>
        <w:rPr>
          <w:sz w:val="24"/>
          <w:szCs w:val="24"/>
        </w:rPr>
        <w:t xml:space="preserve"> fixed and float</w:t>
      </w:r>
      <w:r w:rsidR="00431061">
        <w:rPr>
          <w:sz w:val="24"/>
          <w:szCs w:val="24"/>
        </w:rPr>
        <w:t>ing</w:t>
      </w:r>
      <w:r>
        <w:rPr>
          <w:sz w:val="24"/>
          <w:szCs w:val="24"/>
        </w:rPr>
        <w:t xml:space="preserve"> exchange rates.  </w:t>
      </w:r>
      <w:r w:rsidRPr="00882489">
        <w:rPr>
          <w:sz w:val="24"/>
          <w:szCs w:val="24"/>
        </w:rPr>
        <w:t>These intermediate regimes include managed floats,</w:t>
      </w:r>
      <w:r>
        <w:rPr>
          <w:sz w:val="24"/>
          <w:szCs w:val="24"/>
        </w:rPr>
        <w:t xml:space="preserve"> </w:t>
      </w:r>
      <w:r w:rsidR="003D5A10" w:rsidRPr="00882489">
        <w:rPr>
          <w:sz w:val="24"/>
          <w:szCs w:val="24"/>
        </w:rPr>
        <w:t xml:space="preserve">bands, </w:t>
      </w:r>
      <w:r>
        <w:rPr>
          <w:sz w:val="24"/>
          <w:szCs w:val="24"/>
        </w:rPr>
        <w:t>basket pegs,</w:t>
      </w:r>
      <w:r w:rsidRPr="00882489">
        <w:rPr>
          <w:sz w:val="24"/>
          <w:szCs w:val="24"/>
        </w:rPr>
        <w:t xml:space="preserve"> </w:t>
      </w:r>
      <w:r w:rsidR="003D5A10">
        <w:rPr>
          <w:sz w:val="24"/>
          <w:szCs w:val="24"/>
        </w:rPr>
        <w:t xml:space="preserve">crawls, </w:t>
      </w:r>
      <w:r w:rsidRPr="00882489">
        <w:rPr>
          <w:sz w:val="24"/>
          <w:szCs w:val="24"/>
        </w:rPr>
        <w:t>and other arrangements.</w:t>
      </w:r>
      <w:r>
        <w:rPr>
          <w:rStyle w:val="FootnoteReference"/>
          <w:sz w:val="24"/>
          <w:szCs w:val="24"/>
        </w:rPr>
        <w:footnoteReference w:id="1"/>
      </w:r>
      <w:r w:rsidRPr="00882489">
        <w:rPr>
          <w:sz w:val="24"/>
          <w:szCs w:val="24"/>
        </w:rPr>
        <w:t xml:space="preserve"> </w:t>
      </w:r>
      <w:r>
        <w:rPr>
          <w:sz w:val="24"/>
          <w:szCs w:val="24"/>
        </w:rPr>
        <w:t xml:space="preserve">  The argument for the intermediate regimes is that they allow an intermediate degree of monetary independence in return for an intermediate degree of exchange rate flexibility.</w:t>
      </w:r>
    </w:p>
    <w:p w14:paraId="278B6219" w14:textId="77777777" w:rsidR="001C3BD5" w:rsidRDefault="001C3BD5" w:rsidP="001C3BD5">
      <w:pPr>
        <w:pStyle w:val="ListParagraph"/>
        <w:ind w:left="0" w:firstLine="360"/>
        <w:rPr>
          <w:sz w:val="24"/>
          <w:szCs w:val="24"/>
        </w:rPr>
      </w:pPr>
    </w:p>
    <w:p w14:paraId="293F1E18" w14:textId="06B186D6" w:rsidR="001C3BD5" w:rsidRDefault="00431061" w:rsidP="001C3BD5">
      <w:pPr>
        <w:pStyle w:val="ListParagraph"/>
        <w:ind w:left="0" w:firstLine="360"/>
        <w:rPr>
          <w:sz w:val="24"/>
          <w:szCs w:val="24"/>
        </w:rPr>
      </w:pPr>
      <w:r>
        <w:rPr>
          <w:sz w:val="24"/>
          <w:szCs w:val="24"/>
        </w:rPr>
        <w:t xml:space="preserve">For concreteness, consider the history of </w:t>
      </w:r>
      <w:r w:rsidR="001C3BD5">
        <w:rPr>
          <w:sz w:val="24"/>
          <w:szCs w:val="24"/>
        </w:rPr>
        <w:t xml:space="preserve">emerging market economies (EMs) </w:t>
      </w:r>
      <w:r>
        <w:rPr>
          <w:sz w:val="24"/>
          <w:szCs w:val="24"/>
        </w:rPr>
        <w:t>since the turn of the century.  A</w:t>
      </w:r>
      <w:r w:rsidR="001C3BD5">
        <w:rPr>
          <w:sz w:val="24"/>
          <w:szCs w:val="24"/>
        </w:rPr>
        <w:t xml:space="preserve">s an aggregate class </w:t>
      </w:r>
      <w:r>
        <w:rPr>
          <w:sz w:val="24"/>
          <w:szCs w:val="24"/>
        </w:rPr>
        <w:t xml:space="preserve">they </w:t>
      </w:r>
      <w:r w:rsidR="001C3BD5">
        <w:rPr>
          <w:sz w:val="24"/>
          <w:szCs w:val="24"/>
        </w:rPr>
        <w:t xml:space="preserve">have, broadly speaking, experienced four periods of </w:t>
      </w:r>
      <w:r w:rsidR="004D6A93">
        <w:rPr>
          <w:sz w:val="24"/>
          <w:szCs w:val="24"/>
        </w:rPr>
        <w:t xml:space="preserve">big </w:t>
      </w:r>
      <w:r>
        <w:rPr>
          <w:sz w:val="24"/>
          <w:szCs w:val="24"/>
        </w:rPr>
        <w:t xml:space="preserve">alternating </w:t>
      </w:r>
      <w:r w:rsidR="001C3BD5">
        <w:rPr>
          <w:sz w:val="24"/>
          <w:szCs w:val="24"/>
        </w:rPr>
        <w:t>shifts in the external environment for their balance of payments.   In the first period from 2003 to mid-2008, the external environment was  positive, as US monetary policy was easy, commodity prices were rising, and international investors were not especially concerned about risk as they reached for</w:t>
      </w:r>
      <w:r w:rsidR="004D6A93">
        <w:rPr>
          <w:sz w:val="24"/>
          <w:szCs w:val="24"/>
        </w:rPr>
        <w:t xml:space="preserve"> EM</w:t>
      </w:r>
      <w:r w:rsidR="001C3BD5">
        <w:rPr>
          <w:sz w:val="24"/>
          <w:szCs w:val="24"/>
        </w:rPr>
        <w:t xml:space="preserve"> returns that were even a little higher than those on offer in the advanced countries.  The second period was the Global Financial Crises that began in mid-2008</w:t>
      </w:r>
      <w:r w:rsidR="00033D04">
        <w:rPr>
          <w:sz w:val="24"/>
          <w:szCs w:val="24"/>
        </w:rPr>
        <w:t xml:space="preserve"> and eased a year later.  This was a negative </w:t>
      </w:r>
      <w:r w:rsidR="004C7BE5">
        <w:rPr>
          <w:sz w:val="24"/>
          <w:szCs w:val="24"/>
        </w:rPr>
        <w:t>shock</w:t>
      </w:r>
      <w:r w:rsidR="00033D04">
        <w:rPr>
          <w:sz w:val="24"/>
          <w:szCs w:val="24"/>
        </w:rPr>
        <w:t xml:space="preserve"> for EM economies: risk </w:t>
      </w:r>
      <w:r w:rsidR="004D6A93">
        <w:rPr>
          <w:sz w:val="24"/>
          <w:szCs w:val="24"/>
        </w:rPr>
        <w:t>perceptions</w:t>
      </w:r>
      <w:r w:rsidR="00033D04">
        <w:rPr>
          <w:sz w:val="24"/>
          <w:szCs w:val="24"/>
        </w:rPr>
        <w:t xml:space="preserve"> leap</w:t>
      </w:r>
      <w:r w:rsidR="00047BD7">
        <w:rPr>
          <w:sz w:val="24"/>
          <w:szCs w:val="24"/>
        </w:rPr>
        <w:t>t</w:t>
      </w:r>
      <w:r w:rsidR="00033D04">
        <w:rPr>
          <w:sz w:val="24"/>
          <w:szCs w:val="24"/>
        </w:rPr>
        <w:t xml:space="preserve"> and commodity prices plummeted.</w:t>
      </w:r>
      <w:r w:rsidR="00BE1835">
        <w:rPr>
          <w:sz w:val="24"/>
          <w:szCs w:val="24"/>
        </w:rPr>
        <w:t xml:space="preserve">  </w:t>
      </w:r>
      <w:r w:rsidR="00033D04">
        <w:rPr>
          <w:sz w:val="24"/>
          <w:szCs w:val="24"/>
        </w:rPr>
        <w:t>The third period, in 2010-11, was essentially a repeat of the first</w:t>
      </w:r>
      <w:r w:rsidR="00FB0D2C">
        <w:rPr>
          <w:sz w:val="24"/>
          <w:szCs w:val="24"/>
        </w:rPr>
        <w:t>, with a favorable financial environment and a recovery in commodity prices leading to substantial</w:t>
      </w:r>
      <w:r w:rsidR="00C141A5">
        <w:rPr>
          <w:sz w:val="24"/>
          <w:szCs w:val="24"/>
        </w:rPr>
        <w:t xml:space="preserve"> EM</w:t>
      </w:r>
      <w:r w:rsidR="00FB0D2C">
        <w:rPr>
          <w:sz w:val="24"/>
          <w:szCs w:val="24"/>
        </w:rPr>
        <w:t xml:space="preserve"> inflows</w:t>
      </w:r>
      <w:r w:rsidR="00033D04">
        <w:rPr>
          <w:sz w:val="24"/>
          <w:szCs w:val="24"/>
        </w:rPr>
        <w:t>.</w:t>
      </w:r>
      <w:r w:rsidR="00FB0D2C">
        <w:rPr>
          <w:sz w:val="24"/>
          <w:szCs w:val="24"/>
        </w:rPr>
        <w:t xml:space="preserve">   Fourth was the period that began with the Taper Tantrum of May 2013 and continued at least through the China Tantrum of the second half of 2015: the first stages of a reversal in US monetary policy and a new fall in commodity prices leading to EM outflows.</w:t>
      </w:r>
    </w:p>
    <w:p w14:paraId="75723D5B" w14:textId="5542AEB6" w:rsidR="004A53DD" w:rsidRDefault="004102DD" w:rsidP="004A53DD">
      <w:pPr>
        <w:rPr>
          <w:sz w:val="24"/>
          <w:szCs w:val="24"/>
        </w:rPr>
      </w:pPr>
      <w:r>
        <w:rPr>
          <w:sz w:val="24"/>
          <w:szCs w:val="24"/>
        </w:rPr>
        <w:lastRenderedPageBreak/>
        <w:tab/>
        <w:t>C</w:t>
      </w:r>
      <w:r w:rsidR="00FB0D2C" w:rsidRPr="004A53DD">
        <w:rPr>
          <w:sz w:val="24"/>
          <w:szCs w:val="24"/>
        </w:rPr>
        <w:t>entral banks in different Emerging Market countries responded differently to these external shocks</w:t>
      </w:r>
      <w:r w:rsidR="004A53DD">
        <w:rPr>
          <w:sz w:val="24"/>
          <w:szCs w:val="24"/>
        </w:rPr>
        <w:t>.</w:t>
      </w:r>
      <w:r w:rsidR="0015649F">
        <w:rPr>
          <w:sz w:val="24"/>
          <w:szCs w:val="24"/>
        </w:rPr>
        <w:t xml:space="preserve">  </w:t>
      </w:r>
      <w:r w:rsidR="004A53DD">
        <w:rPr>
          <w:sz w:val="24"/>
          <w:szCs w:val="24"/>
        </w:rPr>
        <w:t xml:space="preserve">Figure 1 (adapted from Goldman Sachs) shows responses </w:t>
      </w:r>
      <w:r w:rsidR="00AE1D30">
        <w:rPr>
          <w:sz w:val="24"/>
          <w:szCs w:val="24"/>
        </w:rPr>
        <w:t xml:space="preserve">of Asian central banks </w:t>
      </w:r>
      <w:r w:rsidR="004A53DD">
        <w:rPr>
          <w:sz w:val="24"/>
          <w:szCs w:val="24"/>
        </w:rPr>
        <w:t>to the positive shock of 2010</w:t>
      </w:r>
      <w:r w:rsidR="008710A7">
        <w:rPr>
          <w:sz w:val="24"/>
          <w:szCs w:val="24"/>
        </w:rPr>
        <w:t>. R</w:t>
      </w:r>
      <w:r w:rsidR="004A53DD">
        <w:rPr>
          <w:sz w:val="24"/>
          <w:szCs w:val="24"/>
        </w:rPr>
        <w:t xml:space="preserve">eserve accumulation </w:t>
      </w:r>
      <w:r w:rsidR="008710A7">
        <w:rPr>
          <w:sz w:val="24"/>
          <w:szCs w:val="24"/>
        </w:rPr>
        <w:t xml:space="preserve">is </w:t>
      </w:r>
      <w:r w:rsidR="004A53DD">
        <w:rPr>
          <w:sz w:val="24"/>
          <w:szCs w:val="24"/>
        </w:rPr>
        <w:t>on the vertical axis and currency appreciation on the horizontal axis.  On the one hand, Korea and Singapore appear as relatively more-managed floaters, intervening in the foreign exchange market</w:t>
      </w:r>
      <w:r w:rsidR="00EB59AF">
        <w:rPr>
          <w:sz w:val="24"/>
          <w:szCs w:val="24"/>
        </w:rPr>
        <w:t xml:space="preserve"> somewhat more</w:t>
      </w:r>
      <w:r w:rsidR="004A53DD">
        <w:rPr>
          <w:sz w:val="24"/>
          <w:szCs w:val="24"/>
        </w:rPr>
        <w:t xml:space="preserve"> and appreciating less.  </w:t>
      </w:r>
      <w:r w:rsidR="00D57DDC">
        <w:rPr>
          <w:sz w:val="24"/>
          <w:szCs w:val="24"/>
        </w:rPr>
        <w:t>On the other hand</w:t>
      </w:r>
      <w:r w:rsidR="00950E4F">
        <w:rPr>
          <w:sz w:val="24"/>
          <w:szCs w:val="24"/>
        </w:rPr>
        <w:t>,</w:t>
      </w:r>
      <w:r w:rsidR="004A53DD">
        <w:rPr>
          <w:sz w:val="24"/>
          <w:szCs w:val="24"/>
        </w:rPr>
        <w:t xml:space="preserve"> India, Malaysia</w:t>
      </w:r>
      <w:r w:rsidR="0015649F">
        <w:rPr>
          <w:sz w:val="24"/>
          <w:szCs w:val="24"/>
        </w:rPr>
        <w:t xml:space="preserve">, </w:t>
      </w:r>
      <w:r w:rsidR="004A53DD">
        <w:rPr>
          <w:sz w:val="24"/>
          <w:szCs w:val="24"/>
        </w:rPr>
        <w:t>Thailand</w:t>
      </w:r>
      <w:r w:rsidR="0015649F">
        <w:rPr>
          <w:sz w:val="24"/>
          <w:szCs w:val="24"/>
        </w:rPr>
        <w:t xml:space="preserve"> and the Philippines</w:t>
      </w:r>
      <w:r w:rsidR="004A53DD">
        <w:rPr>
          <w:sz w:val="24"/>
          <w:szCs w:val="24"/>
        </w:rPr>
        <w:t xml:space="preserve">, </w:t>
      </w:r>
      <w:r w:rsidR="00D57DDC">
        <w:rPr>
          <w:sz w:val="24"/>
          <w:szCs w:val="24"/>
        </w:rPr>
        <w:t xml:space="preserve">took </w:t>
      </w:r>
      <w:r w:rsidR="004A53DD">
        <w:rPr>
          <w:sz w:val="24"/>
          <w:szCs w:val="24"/>
        </w:rPr>
        <w:t>the positive shock mostly in the form of increases in the value of their currencies</w:t>
      </w:r>
      <w:r w:rsidR="00950E4F">
        <w:rPr>
          <w:sz w:val="24"/>
          <w:szCs w:val="24"/>
        </w:rPr>
        <w:t xml:space="preserve"> and not primarily as increased reserves</w:t>
      </w:r>
      <w:r w:rsidR="004A53DD">
        <w:rPr>
          <w:sz w:val="24"/>
          <w:szCs w:val="24"/>
        </w:rPr>
        <w:t xml:space="preserve">. </w:t>
      </w:r>
    </w:p>
    <w:p w14:paraId="7FD52DEA" w14:textId="1858FDC1" w:rsidR="002D33F4" w:rsidRDefault="00D57DDC" w:rsidP="002D33F4">
      <w:pPr>
        <w:jc w:val="center"/>
        <w:rPr>
          <w:sz w:val="24"/>
          <w:szCs w:val="24"/>
        </w:rPr>
      </w:pPr>
      <w:r w:rsidRPr="00D57DDC">
        <w:rPr>
          <w:noProof/>
          <w:sz w:val="24"/>
          <w:szCs w:val="24"/>
        </w:rPr>
        <w:drawing>
          <wp:inline distT="0" distB="0" distL="0" distR="0" wp14:anchorId="20AA2B7E" wp14:editId="6722FDB1">
            <wp:extent cx="5206999" cy="39052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14748" cy="3911062"/>
                    </a:xfrm>
                    <a:prstGeom prst="rect">
                      <a:avLst/>
                    </a:prstGeom>
                  </pic:spPr>
                </pic:pic>
              </a:graphicData>
            </a:graphic>
          </wp:inline>
        </w:drawing>
      </w:r>
      <w:r w:rsidR="004B7426">
        <w:rPr>
          <w:sz w:val="24"/>
          <w:szCs w:val="24"/>
        </w:rPr>
        <w:br/>
      </w:r>
      <w:r w:rsidR="004B7426" w:rsidRPr="004B7426">
        <w:rPr>
          <w:b/>
          <w:sz w:val="24"/>
          <w:szCs w:val="24"/>
        </w:rPr>
        <w:t>Figure 1:  Reactions of Asian central banks to 2010 inflows</w:t>
      </w:r>
    </w:p>
    <w:p w14:paraId="6EF88A66" w14:textId="77777777" w:rsidR="002D33F4" w:rsidRDefault="002D33F4" w:rsidP="002D33F4">
      <w:pPr>
        <w:jc w:val="center"/>
        <w:rPr>
          <w:sz w:val="24"/>
          <w:szCs w:val="24"/>
        </w:rPr>
      </w:pPr>
    </w:p>
    <w:p w14:paraId="77D681EA" w14:textId="2A908CCB" w:rsidR="00305452" w:rsidRPr="002D33F4" w:rsidRDefault="00AE1D30" w:rsidP="002D33F4">
      <w:pPr>
        <w:ind w:firstLine="360"/>
        <w:rPr>
          <w:sz w:val="24"/>
          <w:szCs w:val="24"/>
        </w:rPr>
      </w:pPr>
      <w:r>
        <w:rPr>
          <w:sz w:val="24"/>
          <w:szCs w:val="24"/>
        </w:rPr>
        <w:t>Figure 2 shows responses to the “taper tantrum” of May-August 2013, when Federal Reserve Chairman Ben Bernanke announced the intention to begin phasing down US quantitative easing by the end of the year, which produced an immedi</w:t>
      </w:r>
      <w:r w:rsidR="00CD596D">
        <w:rPr>
          <w:sz w:val="24"/>
          <w:szCs w:val="24"/>
        </w:rPr>
        <w:t xml:space="preserve">ate rise in US interest </w:t>
      </w:r>
      <w:r w:rsidR="00CD596D" w:rsidRPr="00950E4F">
        <w:rPr>
          <w:sz w:val="24"/>
          <w:szCs w:val="24"/>
        </w:rPr>
        <w:t>rates and a reversal of EM capital flows.</w:t>
      </w:r>
      <w:r w:rsidR="00305452" w:rsidRPr="00950E4F">
        <w:rPr>
          <w:sz w:val="24"/>
          <w:szCs w:val="24"/>
        </w:rPr>
        <w:t xml:space="preserve">  </w:t>
      </w:r>
      <w:r w:rsidR="00BB2308" w:rsidRPr="00950E4F">
        <w:rPr>
          <w:sz w:val="24"/>
          <w:szCs w:val="24"/>
        </w:rPr>
        <w:t>A</w:t>
      </w:r>
      <w:r w:rsidR="00305452" w:rsidRPr="00950E4F">
        <w:rPr>
          <w:sz w:val="24"/>
          <w:szCs w:val="24"/>
        </w:rPr>
        <w:t xml:space="preserve">gain, Singapore mostly intervened while India </w:t>
      </w:r>
      <w:r w:rsidR="00C622A2">
        <w:rPr>
          <w:sz w:val="24"/>
          <w:szCs w:val="24"/>
        </w:rPr>
        <w:t xml:space="preserve">and the Philippines </w:t>
      </w:r>
      <w:r w:rsidR="00305452" w:rsidRPr="00950E4F">
        <w:rPr>
          <w:sz w:val="24"/>
          <w:szCs w:val="24"/>
        </w:rPr>
        <w:t xml:space="preserve">mostly took </w:t>
      </w:r>
      <w:r w:rsidR="002D33F4">
        <w:rPr>
          <w:sz w:val="24"/>
          <w:szCs w:val="24"/>
        </w:rPr>
        <w:t xml:space="preserve">the </w:t>
      </w:r>
      <w:r w:rsidR="00305452" w:rsidRPr="00950E4F">
        <w:rPr>
          <w:sz w:val="24"/>
          <w:szCs w:val="24"/>
        </w:rPr>
        <w:t>adverse shock as a change in the exchange rate, that is, a depreciation</w:t>
      </w:r>
      <w:r w:rsidR="00C622A2">
        <w:rPr>
          <w:sz w:val="24"/>
          <w:szCs w:val="24"/>
        </w:rPr>
        <w:t xml:space="preserve">. </w:t>
      </w:r>
    </w:p>
    <w:p w14:paraId="7B42D4A8" w14:textId="77777777" w:rsidR="00AE1D30" w:rsidRDefault="00AE1D30" w:rsidP="00AE1D30">
      <w:pPr>
        <w:rPr>
          <w:sz w:val="24"/>
          <w:szCs w:val="24"/>
        </w:rPr>
      </w:pPr>
    </w:p>
    <w:p w14:paraId="47CE057B" w14:textId="1BFBB269" w:rsidR="004B7426" w:rsidRPr="008D3999" w:rsidRDefault="009075E6" w:rsidP="004B7426">
      <w:pPr>
        <w:spacing w:after="0"/>
        <w:ind w:firstLine="720"/>
        <w:rPr>
          <w:b/>
        </w:rPr>
      </w:pPr>
      <w:r>
        <w:rPr>
          <w:b/>
        </w:rPr>
        <w:lastRenderedPageBreak/>
        <w:t xml:space="preserve">              </w:t>
      </w:r>
      <w:r w:rsidR="00A74828" w:rsidRPr="00A74828">
        <w:rPr>
          <w:noProof/>
          <w:sz w:val="24"/>
          <w:szCs w:val="24"/>
        </w:rPr>
        <w:drawing>
          <wp:inline distT="0" distB="0" distL="0" distR="0" wp14:anchorId="04165542" wp14:editId="34C6E2AA">
            <wp:extent cx="4571997" cy="3277589"/>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572638" cy="3278048"/>
                    </a:xfrm>
                    <a:prstGeom prst="rect">
                      <a:avLst/>
                    </a:prstGeom>
                  </pic:spPr>
                </pic:pic>
              </a:graphicData>
            </a:graphic>
          </wp:inline>
        </w:drawing>
      </w:r>
      <w:r w:rsidR="004B7426">
        <w:rPr>
          <w:sz w:val="24"/>
          <w:szCs w:val="24"/>
        </w:rPr>
        <w:br/>
      </w:r>
      <w:r w:rsidR="004B7426">
        <w:rPr>
          <w:b/>
        </w:rPr>
        <w:t xml:space="preserve">                </w:t>
      </w:r>
      <w:r w:rsidR="004B7426" w:rsidRPr="008D3999">
        <w:rPr>
          <w:b/>
        </w:rPr>
        <w:t>Figure 2: Reactions of central banks to outflows of May-Aug., 2013, taper tantrum</w:t>
      </w:r>
    </w:p>
    <w:p w14:paraId="4230AC67" w14:textId="2432B171" w:rsidR="00A74828" w:rsidRDefault="00A74828" w:rsidP="004A53DD">
      <w:pPr>
        <w:pStyle w:val="ListParagraph"/>
        <w:ind w:left="0" w:firstLine="360"/>
        <w:jc w:val="center"/>
        <w:rPr>
          <w:sz w:val="24"/>
          <w:szCs w:val="24"/>
        </w:rPr>
      </w:pPr>
    </w:p>
    <w:p w14:paraId="296FBFB2" w14:textId="05D79768" w:rsidR="008D3999" w:rsidRPr="008D3999" w:rsidRDefault="00305452" w:rsidP="004B7426">
      <w:pPr>
        <w:spacing w:after="0"/>
        <w:ind w:firstLine="360"/>
        <w:rPr>
          <w:sz w:val="2"/>
          <w:szCs w:val="2"/>
        </w:rPr>
      </w:pPr>
      <w:r>
        <w:rPr>
          <w:sz w:val="24"/>
          <w:szCs w:val="24"/>
        </w:rPr>
        <w:t xml:space="preserve">Finally, Figure 3 shows responses to the “China tantrum” of May-August 2013.  </w:t>
      </w:r>
      <w:r w:rsidR="00BB2308">
        <w:rPr>
          <w:sz w:val="24"/>
          <w:szCs w:val="24"/>
        </w:rPr>
        <w:t>Once a</w:t>
      </w:r>
      <w:r>
        <w:rPr>
          <w:sz w:val="24"/>
          <w:szCs w:val="24"/>
        </w:rPr>
        <w:t>gain,</w:t>
      </w:r>
      <w:r w:rsidR="00B31C20">
        <w:rPr>
          <w:sz w:val="24"/>
          <w:szCs w:val="24"/>
        </w:rPr>
        <w:t xml:space="preserve"> </w:t>
      </w:r>
      <w:r w:rsidR="00F13E62">
        <w:rPr>
          <w:sz w:val="24"/>
          <w:szCs w:val="24"/>
        </w:rPr>
        <w:t xml:space="preserve">Singapore intervened in the foreign exchange market, while the Philippines </w:t>
      </w:r>
      <w:r w:rsidR="00B31C20">
        <w:rPr>
          <w:sz w:val="24"/>
          <w:szCs w:val="24"/>
        </w:rPr>
        <w:t xml:space="preserve">took the negative shock more in the form of </w:t>
      </w:r>
      <w:r w:rsidR="00F13E62">
        <w:rPr>
          <w:sz w:val="24"/>
          <w:szCs w:val="24"/>
        </w:rPr>
        <w:t>a depreciation of its currency.</w:t>
      </w:r>
      <w:r w:rsidR="008D3999">
        <w:rPr>
          <w:sz w:val="24"/>
          <w:szCs w:val="24"/>
        </w:rPr>
        <w:br/>
      </w:r>
    </w:p>
    <w:p w14:paraId="28376EAE" w14:textId="72241641" w:rsidR="00305452" w:rsidRDefault="00856706" w:rsidP="008D3999">
      <w:pPr>
        <w:ind w:firstLine="360"/>
        <w:jc w:val="center"/>
        <w:rPr>
          <w:rFonts w:ascii="Arial" w:hAnsi="Arial" w:cs="Arial"/>
          <w:color w:val="1E1E1E"/>
          <w:sz w:val="21"/>
          <w:szCs w:val="21"/>
          <w:shd w:val="clear" w:color="auto" w:fill="FFFFFF"/>
        </w:rPr>
      </w:pPr>
      <w:r w:rsidRPr="00305452">
        <w:rPr>
          <w:rFonts w:ascii="Arial" w:hAnsi="Arial" w:cs="Arial"/>
          <w:noProof/>
          <w:color w:val="1E1E1E"/>
          <w:sz w:val="21"/>
          <w:szCs w:val="21"/>
          <w:shd w:val="clear" w:color="auto" w:fill="FFFFFF"/>
        </w:rPr>
        <w:drawing>
          <wp:inline distT="0" distB="0" distL="0" distR="0" wp14:anchorId="6BEC95F4" wp14:editId="5F8971CD">
            <wp:extent cx="4572000" cy="3289465"/>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572000" cy="3289465"/>
                    </a:xfrm>
                    <a:prstGeom prst="rect">
                      <a:avLst/>
                    </a:prstGeom>
                  </pic:spPr>
                </pic:pic>
              </a:graphicData>
            </a:graphic>
          </wp:inline>
        </w:drawing>
      </w:r>
      <w:r w:rsidR="004B7426">
        <w:rPr>
          <w:b/>
        </w:rPr>
        <w:br/>
        <w:t xml:space="preserve"> </w:t>
      </w:r>
      <w:r w:rsidR="004B7426" w:rsidRPr="008D3999">
        <w:rPr>
          <w:b/>
        </w:rPr>
        <w:t>Figure 3: Reactions of central banks to outflows of May-Aug., 2013, taper tantrum</w:t>
      </w:r>
    </w:p>
    <w:p w14:paraId="719DD410" w14:textId="75A32CB5" w:rsidR="00305452" w:rsidRDefault="0015649F" w:rsidP="0015649F">
      <w:pPr>
        <w:ind w:firstLine="720"/>
        <w:rPr>
          <w:sz w:val="24"/>
          <w:szCs w:val="24"/>
        </w:rPr>
      </w:pPr>
      <w:r w:rsidRPr="0015649F">
        <w:rPr>
          <w:rFonts w:cs="Arial"/>
          <w:color w:val="1E1E1E"/>
          <w:sz w:val="24"/>
          <w:szCs w:val="24"/>
          <w:shd w:val="clear" w:color="auto" w:fill="FFFFFF"/>
        </w:rPr>
        <w:lastRenderedPageBreak/>
        <w:t xml:space="preserve">These are just three episodes.  But they illustrate </w:t>
      </w:r>
      <w:r w:rsidR="004B7426">
        <w:rPr>
          <w:rFonts w:cs="Arial"/>
          <w:color w:val="1E1E1E"/>
          <w:sz w:val="24"/>
          <w:szCs w:val="24"/>
          <w:shd w:val="clear" w:color="auto" w:fill="FFFFFF"/>
        </w:rPr>
        <w:t xml:space="preserve">how some </w:t>
      </w:r>
      <w:r w:rsidRPr="0015649F">
        <w:rPr>
          <w:rFonts w:cs="Arial"/>
          <w:color w:val="1E1E1E"/>
          <w:sz w:val="24"/>
          <w:szCs w:val="24"/>
          <w:shd w:val="clear" w:color="auto" w:fill="FFFFFF"/>
        </w:rPr>
        <w:t>cou</w:t>
      </w:r>
      <w:r>
        <w:rPr>
          <w:rFonts w:cs="Arial"/>
          <w:color w:val="1E1E1E"/>
          <w:sz w:val="24"/>
          <w:szCs w:val="24"/>
          <w:shd w:val="clear" w:color="auto" w:fill="FFFFFF"/>
        </w:rPr>
        <w:t>ntries choose to manage their floats more heavily and others less</w:t>
      </w:r>
      <w:r w:rsidR="006A3367" w:rsidRPr="0015649F">
        <w:rPr>
          <w:rFonts w:cs="Arial"/>
          <w:color w:val="1E1E1E"/>
          <w:sz w:val="24"/>
          <w:szCs w:val="24"/>
          <w:shd w:val="clear" w:color="auto" w:fill="FFFFFF"/>
        </w:rPr>
        <w:t>.</w:t>
      </w:r>
      <w:r>
        <w:rPr>
          <w:rFonts w:cs="Arial"/>
          <w:color w:val="1E1E1E"/>
          <w:sz w:val="24"/>
          <w:szCs w:val="24"/>
          <w:shd w:val="clear" w:color="auto" w:fill="FFFFFF"/>
        </w:rPr>
        <w:t xml:space="preserve">  </w:t>
      </w:r>
    </w:p>
    <w:p w14:paraId="4EDD5542" w14:textId="1576FD80" w:rsidR="00BB2308" w:rsidRDefault="00B85A4F" w:rsidP="0016376E">
      <w:pPr>
        <w:ind w:firstLine="720"/>
        <w:rPr>
          <w:sz w:val="24"/>
          <w:szCs w:val="24"/>
        </w:rPr>
      </w:pPr>
      <w:r>
        <w:rPr>
          <w:sz w:val="24"/>
          <w:szCs w:val="24"/>
        </w:rPr>
        <w:t xml:space="preserve">One supposes that the countries that allowed greater movements in their nominal exchange rates in response to these positive and negative </w:t>
      </w:r>
      <w:r w:rsidR="004B7426">
        <w:rPr>
          <w:sz w:val="24"/>
          <w:szCs w:val="24"/>
        </w:rPr>
        <w:t xml:space="preserve">external </w:t>
      </w:r>
      <w:r>
        <w:rPr>
          <w:sz w:val="24"/>
          <w:szCs w:val="24"/>
        </w:rPr>
        <w:t>shocks also achieved greater movements in their real exchange rates and may have done so in order to mitigate the effects</w:t>
      </w:r>
      <w:r w:rsidR="004B7426">
        <w:rPr>
          <w:sz w:val="24"/>
          <w:szCs w:val="24"/>
        </w:rPr>
        <w:t xml:space="preserve"> of the shocks</w:t>
      </w:r>
      <w:r>
        <w:rPr>
          <w:sz w:val="24"/>
          <w:szCs w:val="24"/>
        </w:rPr>
        <w:t xml:space="preserve"> on their balance of payments and real economies.  </w:t>
      </w:r>
      <w:r>
        <w:rPr>
          <w:rFonts w:cs="Arial"/>
          <w:color w:val="1E1E1E"/>
          <w:sz w:val="24"/>
          <w:szCs w:val="24"/>
          <w:shd w:val="clear" w:color="auto" w:fill="FFFFFF"/>
        </w:rPr>
        <w:t xml:space="preserve">Hong Kong in this sample is the one economy that is committed to intervening heavily enough to keep its exchange rate fixed against the dollar, and is willing to give up its monetary independence for </w:t>
      </w:r>
      <w:r w:rsidR="00C622A2">
        <w:rPr>
          <w:rFonts w:cs="Arial"/>
          <w:color w:val="1E1E1E"/>
          <w:sz w:val="24"/>
          <w:szCs w:val="24"/>
          <w:shd w:val="clear" w:color="auto" w:fill="FFFFFF"/>
        </w:rPr>
        <w:t xml:space="preserve">the </w:t>
      </w:r>
      <w:r>
        <w:rPr>
          <w:rFonts w:cs="Arial"/>
          <w:color w:val="1E1E1E"/>
          <w:sz w:val="24"/>
          <w:szCs w:val="24"/>
          <w:shd w:val="clear" w:color="auto" w:fill="FFFFFF"/>
        </w:rPr>
        <w:t>other advantages that this stability brings</w:t>
      </w:r>
      <w:r w:rsidR="00BE1835">
        <w:rPr>
          <w:rFonts w:cs="Arial"/>
          <w:color w:val="1E1E1E"/>
          <w:sz w:val="24"/>
          <w:szCs w:val="24"/>
          <w:shd w:val="clear" w:color="auto" w:fill="FFFFFF"/>
        </w:rPr>
        <w:t xml:space="preserve"> (</w:t>
      </w:r>
      <w:r w:rsidR="00BE1835" w:rsidRPr="00882489">
        <w:rPr>
          <w:sz w:val="24"/>
          <w:szCs w:val="24"/>
        </w:rPr>
        <w:t>reducing costs to international trade and investment and providing a credi</w:t>
      </w:r>
      <w:r w:rsidR="00BE1835">
        <w:rPr>
          <w:sz w:val="24"/>
          <w:szCs w:val="24"/>
        </w:rPr>
        <w:t>ble anchor for monetary policy</w:t>
      </w:r>
      <w:r w:rsidR="00BE1835">
        <w:rPr>
          <w:rFonts w:cs="Arial"/>
          <w:color w:val="1E1E1E"/>
          <w:sz w:val="24"/>
          <w:szCs w:val="24"/>
          <w:shd w:val="clear" w:color="auto" w:fill="FFFFFF"/>
        </w:rPr>
        <w:t>)</w:t>
      </w:r>
      <w:r>
        <w:rPr>
          <w:rFonts w:cs="Arial"/>
          <w:color w:val="1E1E1E"/>
          <w:sz w:val="24"/>
          <w:szCs w:val="24"/>
          <w:shd w:val="clear" w:color="auto" w:fill="FFFFFF"/>
        </w:rPr>
        <w:t xml:space="preserve">.  </w:t>
      </w:r>
      <w:r>
        <w:rPr>
          <w:sz w:val="24"/>
          <w:szCs w:val="24"/>
        </w:rPr>
        <w:t xml:space="preserve">So far, so consistent with the conventional textbook framework.   </w:t>
      </w:r>
    </w:p>
    <w:p w14:paraId="1C1CB11A" w14:textId="17296336" w:rsidR="00BB2308" w:rsidRPr="003C0865" w:rsidRDefault="00B85A4F" w:rsidP="00B85A4F">
      <w:pPr>
        <w:rPr>
          <w:sz w:val="24"/>
          <w:szCs w:val="24"/>
        </w:rPr>
      </w:pPr>
      <w:r>
        <w:rPr>
          <w:sz w:val="24"/>
          <w:szCs w:val="24"/>
        </w:rPr>
        <w:tab/>
        <w:t>But the textbook fra</w:t>
      </w:r>
      <w:r w:rsidR="004B7426">
        <w:rPr>
          <w:sz w:val="24"/>
          <w:szCs w:val="24"/>
        </w:rPr>
        <w:t xml:space="preserve">mework has been challenged.  The paper </w:t>
      </w:r>
      <w:r>
        <w:rPr>
          <w:sz w:val="24"/>
          <w:szCs w:val="24"/>
        </w:rPr>
        <w:t>review</w:t>
      </w:r>
      <w:r w:rsidR="004B7426">
        <w:rPr>
          <w:sz w:val="24"/>
          <w:szCs w:val="24"/>
        </w:rPr>
        <w:t>s</w:t>
      </w:r>
      <w:r>
        <w:rPr>
          <w:sz w:val="24"/>
          <w:szCs w:val="24"/>
        </w:rPr>
        <w:t xml:space="preserve"> the challenges in Part 1.   Part 2 reviews some of the problems with identifying what exchange rate regime a country follows in practice and offers some evidence on a </w:t>
      </w:r>
      <w:r w:rsidR="004B7426">
        <w:rPr>
          <w:sz w:val="24"/>
          <w:szCs w:val="24"/>
        </w:rPr>
        <w:t>set of</w:t>
      </w:r>
      <w:r>
        <w:rPr>
          <w:sz w:val="24"/>
          <w:szCs w:val="24"/>
        </w:rPr>
        <w:t xml:space="preserve"> Asian </w:t>
      </w:r>
      <w:r w:rsidR="004B7426">
        <w:rPr>
          <w:sz w:val="24"/>
          <w:szCs w:val="24"/>
        </w:rPr>
        <w:t xml:space="preserve">and other </w:t>
      </w:r>
      <w:r>
        <w:rPr>
          <w:sz w:val="24"/>
          <w:szCs w:val="24"/>
        </w:rPr>
        <w:t>currencies.   Part 3 seeks to determine whether the regime makes a difference for the real exchange rate.  The focus is on three regimes: firm fixing, free floating and, especially, systematically managed floating.</w:t>
      </w:r>
      <w:r w:rsidR="009D1D0D">
        <w:rPr>
          <w:sz w:val="24"/>
          <w:szCs w:val="24"/>
        </w:rPr>
        <w:br/>
      </w:r>
    </w:p>
    <w:p w14:paraId="13C2EA0C" w14:textId="77777777" w:rsidR="006A3367" w:rsidRPr="005708E3" w:rsidRDefault="001C3BD5" w:rsidP="005708E3">
      <w:pPr>
        <w:pStyle w:val="ListParagraph"/>
        <w:numPr>
          <w:ilvl w:val="0"/>
          <w:numId w:val="1"/>
        </w:numPr>
        <w:rPr>
          <w:b/>
          <w:sz w:val="24"/>
          <w:szCs w:val="24"/>
        </w:rPr>
      </w:pPr>
      <w:r>
        <w:rPr>
          <w:b/>
          <w:sz w:val="24"/>
          <w:szCs w:val="24"/>
        </w:rPr>
        <w:t>Four challenges to the conventional wisdom</w:t>
      </w:r>
    </w:p>
    <w:p w14:paraId="3799794B" w14:textId="77777777" w:rsidR="00882489" w:rsidRPr="005E2990" w:rsidRDefault="00882489" w:rsidP="0094465A">
      <w:pPr>
        <w:ind w:firstLine="720"/>
        <w:rPr>
          <w:sz w:val="24"/>
          <w:szCs w:val="24"/>
        </w:rPr>
      </w:pPr>
      <w:r w:rsidRPr="005E2990">
        <w:rPr>
          <w:sz w:val="24"/>
          <w:szCs w:val="24"/>
        </w:rPr>
        <w:t>Th</w:t>
      </w:r>
      <w:r w:rsidR="00C97DEF">
        <w:rPr>
          <w:sz w:val="24"/>
          <w:szCs w:val="24"/>
        </w:rPr>
        <w:t>e</w:t>
      </w:r>
      <w:r w:rsidRPr="005E2990">
        <w:rPr>
          <w:sz w:val="24"/>
          <w:szCs w:val="24"/>
        </w:rPr>
        <w:t xml:space="preserve"> conventional wisdom </w:t>
      </w:r>
      <w:r w:rsidR="00C97DEF">
        <w:rPr>
          <w:sz w:val="24"/>
          <w:szCs w:val="24"/>
        </w:rPr>
        <w:t xml:space="preserve">about the role of regime choices </w:t>
      </w:r>
      <w:r w:rsidRPr="005E2990">
        <w:rPr>
          <w:sz w:val="24"/>
          <w:szCs w:val="24"/>
        </w:rPr>
        <w:t xml:space="preserve">has been assaulted from </w:t>
      </w:r>
      <w:r w:rsidR="001C3BD5">
        <w:rPr>
          <w:sz w:val="24"/>
          <w:szCs w:val="24"/>
        </w:rPr>
        <w:t xml:space="preserve">several </w:t>
      </w:r>
      <w:r w:rsidRPr="005E2990">
        <w:rPr>
          <w:sz w:val="24"/>
          <w:szCs w:val="24"/>
        </w:rPr>
        <w:t>directions</w:t>
      </w:r>
      <w:r w:rsidR="004876A6" w:rsidRPr="005E2990">
        <w:rPr>
          <w:sz w:val="24"/>
          <w:szCs w:val="24"/>
        </w:rPr>
        <w:t>.  Many of the</w:t>
      </w:r>
      <w:r w:rsidR="00242C3A" w:rsidRPr="005E2990">
        <w:rPr>
          <w:sz w:val="24"/>
          <w:szCs w:val="24"/>
        </w:rPr>
        <w:t xml:space="preserve"> assaults</w:t>
      </w:r>
      <w:r w:rsidR="004876A6" w:rsidRPr="005E2990">
        <w:rPr>
          <w:sz w:val="24"/>
          <w:szCs w:val="24"/>
        </w:rPr>
        <w:t xml:space="preserve"> fall under four rubrics</w:t>
      </w:r>
      <w:r w:rsidRPr="005E2990">
        <w:rPr>
          <w:sz w:val="24"/>
          <w:szCs w:val="24"/>
        </w:rPr>
        <w:t>:</w:t>
      </w:r>
      <w:r w:rsidR="00C97DEF">
        <w:rPr>
          <w:sz w:val="24"/>
          <w:szCs w:val="24"/>
        </w:rPr>
        <w:t xml:space="preserve"> (</w:t>
      </w:r>
      <w:r w:rsidR="0094465A">
        <w:rPr>
          <w:sz w:val="24"/>
          <w:szCs w:val="24"/>
        </w:rPr>
        <w:t>a</w:t>
      </w:r>
      <w:r w:rsidR="00C97DEF">
        <w:rPr>
          <w:sz w:val="24"/>
          <w:szCs w:val="24"/>
        </w:rPr>
        <w:t>)</w:t>
      </w:r>
      <w:r w:rsidR="004876A6" w:rsidRPr="005E2990">
        <w:rPr>
          <w:sz w:val="24"/>
          <w:szCs w:val="24"/>
        </w:rPr>
        <w:t xml:space="preserve"> “the corners hypothesis,” </w:t>
      </w:r>
      <w:r w:rsidR="00C97DEF">
        <w:rPr>
          <w:sz w:val="24"/>
          <w:szCs w:val="24"/>
        </w:rPr>
        <w:t>(</w:t>
      </w:r>
      <w:r w:rsidR="0094465A">
        <w:rPr>
          <w:sz w:val="24"/>
          <w:szCs w:val="24"/>
        </w:rPr>
        <w:t>b</w:t>
      </w:r>
      <w:r w:rsidR="00C97DEF">
        <w:rPr>
          <w:sz w:val="24"/>
          <w:szCs w:val="24"/>
        </w:rPr>
        <w:t xml:space="preserve">) </w:t>
      </w:r>
      <w:r w:rsidR="004876A6" w:rsidRPr="005E2990">
        <w:rPr>
          <w:sz w:val="24"/>
          <w:szCs w:val="24"/>
        </w:rPr>
        <w:t xml:space="preserve">“dilemma vs. trilemma,” </w:t>
      </w:r>
      <w:r w:rsidR="0094465A">
        <w:rPr>
          <w:sz w:val="24"/>
          <w:szCs w:val="24"/>
        </w:rPr>
        <w:t>(c</w:t>
      </w:r>
      <w:r w:rsidR="00C97DEF">
        <w:rPr>
          <w:sz w:val="24"/>
          <w:szCs w:val="24"/>
        </w:rPr>
        <w:t xml:space="preserve">) </w:t>
      </w:r>
      <w:r w:rsidR="004876A6" w:rsidRPr="005E2990">
        <w:rPr>
          <w:sz w:val="24"/>
          <w:szCs w:val="24"/>
        </w:rPr>
        <w:t xml:space="preserve">“intervention ineffectiveness” and </w:t>
      </w:r>
      <w:r w:rsidR="00C97DEF">
        <w:rPr>
          <w:sz w:val="24"/>
          <w:szCs w:val="24"/>
        </w:rPr>
        <w:t>(</w:t>
      </w:r>
      <w:r w:rsidR="0094465A">
        <w:rPr>
          <w:sz w:val="24"/>
          <w:szCs w:val="24"/>
        </w:rPr>
        <w:t>d</w:t>
      </w:r>
      <w:r w:rsidR="00C97DEF">
        <w:rPr>
          <w:sz w:val="24"/>
          <w:szCs w:val="24"/>
        </w:rPr>
        <w:t xml:space="preserve">) </w:t>
      </w:r>
      <w:r w:rsidR="004876A6" w:rsidRPr="005E2990">
        <w:rPr>
          <w:sz w:val="24"/>
          <w:szCs w:val="24"/>
        </w:rPr>
        <w:t>“exchange rate disconnect</w:t>
      </w:r>
      <w:r w:rsidR="00C97DEF">
        <w:rPr>
          <w:sz w:val="24"/>
          <w:szCs w:val="24"/>
        </w:rPr>
        <w:t>.</w:t>
      </w:r>
      <w:r w:rsidR="008A3819">
        <w:rPr>
          <w:sz w:val="24"/>
          <w:szCs w:val="24"/>
        </w:rPr>
        <w:t>”</w:t>
      </w:r>
      <w:r w:rsidR="003D5A10">
        <w:rPr>
          <w:sz w:val="24"/>
          <w:szCs w:val="24"/>
        </w:rPr>
        <w:t xml:space="preserve">  We review these four challenges, as a prelude for defending the conventional view.</w:t>
      </w:r>
    </w:p>
    <w:p w14:paraId="15CF0F29" w14:textId="77777777" w:rsidR="0094465A" w:rsidRPr="008A3819" w:rsidRDefault="0094465A" w:rsidP="00484CF3">
      <w:pPr>
        <w:pStyle w:val="ListParagraph"/>
        <w:numPr>
          <w:ilvl w:val="1"/>
          <w:numId w:val="1"/>
        </w:numPr>
        <w:ind w:left="1080"/>
        <w:rPr>
          <w:b/>
          <w:sz w:val="24"/>
          <w:szCs w:val="24"/>
        </w:rPr>
      </w:pPr>
      <w:r w:rsidRPr="008A3819">
        <w:rPr>
          <w:b/>
          <w:sz w:val="24"/>
          <w:szCs w:val="24"/>
        </w:rPr>
        <w:t>The corners hypothesis</w:t>
      </w:r>
    </w:p>
    <w:p w14:paraId="4385545D" w14:textId="77777777" w:rsidR="006320F3" w:rsidRPr="0094465A" w:rsidRDefault="0094465A" w:rsidP="0094465A">
      <w:pPr>
        <w:ind w:firstLine="720"/>
        <w:rPr>
          <w:sz w:val="24"/>
          <w:szCs w:val="24"/>
        </w:rPr>
      </w:pPr>
      <w:r>
        <w:rPr>
          <w:sz w:val="24"/>
          <w:szCs w:val="24"/>
        </w:rPr>
        <w:t>Sometimes known as the vanishing intermediate regime, the corners hypothesis</w:t>
      </w:r>
      <w:r w:rsidR="00882489" w:rsidRPr="0094465A">
        <w:rPr>
          <w:sz w:val="24"/>
          <w:szCs w:val="24"/>
        </w:rPr>
        <w:t xml:space="preserve"> is the claim that in a modern world of high capital mobility, the intermediate regimes are no longer </w:t>
      </w:r>
      <w:r w:rsidR="00484CF3" w:rsidRPr="0094465A">
        <w:rPr>
          <w:sz w:val="24"/>
          <w:szCs w:val="24"/>
        </w:rPr>
        <w:t>vi</w:t>
      </w:r>
      <w:r w:rsidR="00882489" w:rsidRPr="0094465A">
        <w:rPr>
          <w:sz w:val="24"/>
          <w:szCs w:val="24"/>
        </w:rPr>
        <w:t>able.  Countri</w:t>
      </w:r>
      <w:r>
        <w:rPr>
          <w:sz w:val="24"/>
          <w:szCs w:val="24"/>
        </w:rPr>
        <w:t xml:space="preserve">es are forced to choose between </w:t>
      </w:r>
      <w:r w:rsidRPr="0094465A">
        <w:rPr>
          <w:sz w:val="24"/>
          <w:szCs w:val="24"/>
        </w:rPr>
        <w:t>free floating</w:t>
      </w:r>
      <w:r>
        <w:rPr>
          <w:sz w:val="24"/>
          <w:szCs w:val="24"/>
        </w:rPr>
        <w:t>, on the one</w:t>
      </w:r>
      <w:r w:rsidRPr="0094465A">
        <w:rPr>
          <w:sz w:val="24"/>
          <w:szCs w:val="24"/>
        </w:rPr>
        <w:t xml:space="preserve"> hand</w:t>
      </w:r>
      <w:r>
        <w:rPr>
          <w:sz w:val="24"/>
          <w:szCs w:val="24"/>
        </w:rPr>
        <w:t xml:space="preserve">, and </w:t>
      </w:r>
      <w:r w:rsidR="00882489" w:rsidRPr="0094465A">
        <w:rPr>
          <w:sz w:val="24"/>
          <w:szCs w:val="24"/>
        </w:rPr>
        <w:t>hard pegs</w:t>
      </w:r>
      <w:r w:rsidR="003D5A10">
        <w:rPr>
          <w:sz w:val="24"/>
          <w:szCs w:val="24"/>
        </w:rPr>
        <w:t xml:space="preserve"> on the other hand.  Hard pegs are</w:t>
      </w:r>
      <w:r w:rsidR="00882489" w:rsidRPr="0094465A">
        <w:rPr>
          <w:sz w:val="24"/>
          <w:szCs w:val="24"/>
        </w:rPr>
        <w:t xml:space="preserve"> exchange rates that are firmly fixed through such institutions as currency boards</w:t>
      </w:r>
      <w:r w:rsidR="003D5A10">
        <w:rPr>
          <w:sz w:val="24"/>
          <w:szCs w:val="24"/>
        </w:rPr>
        <w:t xml:space="preserve">, </w:t>
      </w:r>
      <w:r w:rsidR="00466AD3">
        <w:rPr>
          <w:sz w:val="24"/>
          <w:szCs w:val="24"/>
        </w:rPr>
        <w:t>offici</w:t>
      </w:r>
      <w:r w:rsidR="00330932">
        <w:rPr>
          <w:sz w:val="24"/>
          <w:szCs w:val="24"/>
        </w:rPr>
        <w:t>al</w:t>
      </w:r>
      <w:r w:rsidR="00882489" w:rsidRPr="0094465A">
        <w:rPr>
          <w:sz w:val="24"/>
          <w:szCs w:val="24"/>
        </w:rPr>
        <w:t xml:space="preserve"> do</w:t>
      </w:r>
      <w:r w:rsidR="003D5A10">
        <w:rPr>
          <w:sz w:val="24"/>
          <w:szCs w:val="24"/>
        </w:rPr>
        <w:t>llarization or monetary union.</w:t>
      </w:r>
      <w:r w:rsidR="00484CF3" w:rsidRPr="0094465A">
        <w:rPr>
          <w:sz w:val="24"/>
          <w:szCs w:val="24"/>
        </w:rPr>
        <w:t xml:space="preserve"> </w:t>
      </w:r>
    </w:p>
    <w:p w14:paraId="6D023DA9" w14:textId="77777777" w:rsidR="006320F3" w:rsidRPr="0094465A" w:rsidRDefault="008A28A4" w:rsidP="0042142F">
      <w:pPr>
        <w:spacing w:after="240"/>
        <w:ind w:firstLine="720"/>
        <w:jc w:val="both"/>
        <w:rPr>
          <w:sz w:val="24"/>
          <w:szCs w:val="24"/>
        </w:rPr>
      </w:pPr>
      <w:r>
        <w:rPr>
          <w:sz w:val="24"/>
          <w:szCs w:val="24"/>
        </w:rPr>
        <w:t xml:space="preserve">What are the origins of </w:t>
      </w:r>
      <w:r w:rsidR="006320F3" w:rsidRPr="0094465A">
        <w:rPr>
          <w:sz w:val="24"/>
          <w:szCs w:val="24"/>
        </w:rPr>
        <w:t xml:space="preserve">the corners hypothesis?  A precursor is Friedman (1953, p.164): “In short, the system of occasional changes in temporarily rigid exchange rates seems to me the worst of two worlds: it provides neither the stability of expectations that a genuinely rigid and stable exchange rate could provide in a world of unrestricted trade…nor the continuous sensitivity of a flexible exchange rate.” </w:t>
      </w:r>
    </w:p>
    <w:p w14:paraId="0A048059" w14:textId="77777777" w:rsidR="006320F3" w:rsidRPr="0094465A" w:rsidRDefault="0094465A" w:rsidP="0042142F">
      <w:pPr>
        <w:spacing w:after="240"/>
        <w:ind w:firstLine="720"/>
        <w:jc w:val="both"/>
        <w:rPr>
          <w:sz w:val="24"/>
          <w:szCs w:val="24"/>
        </w:rPr>
      </w:pPr>
      <w:r>
        <w:rPr>
          <w:sz w:val="24"/>
          <w:szCs w:val="24"/>
        </w:rPr>
        <w:lastRenderedPageBreak/>
        <w:t>S</w:t>
      </w:r>
      <w:r w:rsidR="006320F3" w:rsidRPr="0094465A">
        <w:rPr>
          <w:sz w:val="24"/>
          <w:szCs w:val="24"/>
        </w:rPr>
        <w:t xml:space="preserve">uch intermediate regimes as target zones </w:t>
      </w:r>
      <w:r>
        <w:rPr>
          <w:sz w:val="24"/>
          <w:szCs w:val="24"/>
        </w:rPr>
        <w:t xml:space="preserve">or bands </w:t>
      </w:r>
      <w:r w:rsidR="006320F3" w:rsidRPr="0094465A">
        <w:rPr>
          <w:sz w:val="24"/>
          <w:szCs w:val="24"/>
        </w:rPr>
        <w:t>bec</w:t>
      </w:r>
      <w:r>
        <w:rPr>
          <w:sz w:val="24"/>
          <w:szCs w:val="24"/>
        </w:rPr>
        <w:t>a</w:t>
      </w:r>
      <w:r w:rsidR="006320F3" w:rsidRPr="0094465A">
        <w:rPr>
          <w:sz w:val="24"/>
          <w:szCs w:val="24"/>
        </w:rPr>
        <w:t xml:space="preserve">me popular </w:t>
      </w:r>
      <w:r>
        <w:rPr>
          <w:sz w:val="24"/>
          <w:szCs w:val="24"/>
        </w:rPr>
        <w:t xml:space="preserve">in </w:t>
      </w:r>
      <w:r w:rsidR="006320F3" w:rsidRPr="0094465A">
        <w:rPr>
          <w:sz w:val="24"/>
          <w:szCs w:val="24"/>
        </w:rPr>
        <w:t>the 1980s</w:t>
      </w:r>
      <w:r>
        <w:rPr>
          <w:sz w:val="24"/>
          <w:szCs w:val="24"/>
        </w:rPr>
        <w:t xml:space="preserve">. The earliest known </w:t>
      </w:r>
      <w:r w:rsidR="006320F3" w:rsidRPr="0094465A">
        <w:rPr>
          <w:sz w:val="24"/>
          <w:szCs w:val="24"/>
        </w:rPr>
        <w:t xml:space="preserve">reference </w:t>
      </w:r>
      <w:r>
        <w:rPr>
          <w:sz w:val="24"/>
          <w:szCs w:val="24"/>
        </w:rPr>
        <w:t xml:space="preserve">rejecting them in favor of </w:t>
      </w:r>
      <w:r w:rsidR="006320F3" w:rsidRPr="0094465A">
        <w:rPr>
          <w:sz w:val="24"/>
          <w:szCs w:val="24"/>
        </w:rPr>
        <w:t xml:space="preserve">the </w:t>
      </w:r>
      <w:r>
        <w:rPr>
          <w:sz w:val="24"/>
          <w:szCs w:val="24"/>
        </w:rPr>
        <w:t xml:space="preserve">firm-fixing and free-floating </w:t>
      </w:r>
      <w:r w:rsidR="006320F3" w:rsidRPr="0094465A">
        <w:rPr>
          <w:sz w:val="24"/>
          <w:szCs w:val="24"/>
        </w:rPr>
        <w:t>corners is by Eichengreen (1994). The context was not emerging markets, but rather the European exchange rate mechanism (ERM). In the ERM crisis of 1992-1993, Italy, the United Kingdom, and others were forced to devalue or drop out altogether,</w:t>
      </w:r>
      <w:r w:rsidR="008A28A4">
        <w:rPr>
          <w:sz w:val="24"/>
          <w:szCs w:val="24"/>
        </w:rPr>
        <w:t xml:space="preserve"> and the bands were</w:t>
      </w:r>
      <w:r w:rsidR="006320F3" w:rsidRPr="0094465A">
        <w:rPr>
          <w:sz w:val="24"/>
          <w:szCs w:val="24"/>
        </w:rPr>
        <w:t xml:space="preserve"> subsequently widened substantially so that France could stay in. This crisis suggested to some that the strategy that had been planned previously—a gradual transition to the EMU, where the width of the target zone was narrowed in a few steps—might not be the best way to proceed after all. Crockett (1994) made the same point. Obstfeld and Rogoff (1995) concluded, “A careful examination of the genesis of speculative attacks suggests that even broad-band systems in the current EMS style pose difficulties, and that there is little, if any, comfortable middle ground between floating rates and the adoption by countries of a common currency.” The lesson that “the best way to cross a chasm is in a single jump” was seemingly borne out subsequently, when the leap from wide bands to EMU proved successful in 1998–1999.</w:t>
      </w:r>
    </w:p>
    <w:p w14:paraId="69BC84DC" w14:textId="30D5BEB5" w:rsidR="00484CF3" w:rsidRPr="0094465A" w:rsidRDefault="0094465A" w:rsidP="0042142F">
      <w:pPr>
        <w:spacing w:after="240"/>
        <w:ind w:firstLine="720"/>
        <w:jc w:val="both"/>
        <w:rPr>
          <w:sz w:val="24"/>
          <w:szCs w:val="24"/>
        </w:rPr>
      </w:pPr>
      <w:r>
        <w:rPr>
          <w:sz w:val="24"/>
          <w:szCs w:val="24"/>
        </w:rPr>
        <w:t>In the a</w:t>
      </w:r>
      <w:r w:rsidR="006320F3" w:rsidRPr="0094465A">
        <w:rPr>
          <w:sz w:val="24"/>
          <w:szCs w:val="24"/>
        </w:rPr>
        <w:t>fter</w:t>
      </w:r>
      <w:r>
        <w:rPr>
          <w:sz w:val="24"/>
          <w:szCs w:val="24"/>
        </w:rPr>
        <w:t>math of</w:t>
      </w:r>
      <w:r w:rsidR="006320F3" w:rsidRPr="0094465A">
        <w:rPr>
          <w:sz w:val="24"/>
          <w:szCs w:val="24"/>
        </w:rPr>
        <w:t xml:space="preserve"> the East Asia crises of 1997–1998, the hypothesis was applied to emerging markets and </w:t>
      </w:r>
      <w:r w:rsidR="00D14019">
        <w:rPr>
          <w:sz w:val="24"/>
          <w:szCs w:val="24"/>
        </w:rPr>
        <w:t xml:space="preserve">was </w:t>
      </w:r>
      <w:r w:rsidR="006320F3" w:rsidRPr="0094465A">
        <w:rPr>
          <w:sz w:val="24"/>
          <w:szCs w:val="24"/>
        </w:rPr>
        <w:t xml:space="preserve">rapidly adopted by the financial establishment </w:t>
      </w:r>
      <w:r w:rsidR="00D14019">
        <w:rPr>
          <w:sz w:val="24"/>
          <w:szCs w:val="24"/>
        </w:rPr>
        <w:t>as the new conventional wisdom.</w:t>
      </w:r>
      <w:r>
        <w:rPr>
          <w:sz w:val="24"/>
          <w:szCs w:val="24"/>
        </w:rPr>
        <w:t xml:space="preserve"> Four prominent examples were</w:t>
      </w:r>
      <w:r w:rsidRPr="00F36D94">
        <w:rPr>
          <w:sz w:val="24"/>
          <w:szCs w:val="24"/>
        </w:rPr>
        <w:t xml:space="preserve"> Council on Foreign Relations (1999),</w:t>
      </w:r>
      <w:r>
        <w:rPr>
          <w:sz w:val="24"/>
          <w:szCs w:val="24"/>
        </w:rPr>
        <w:t xml:space="preserve"> Fischer (2001), Summers (1999), </w:t>
      </w:r>
      <w:r w:rsidR="008A28A4">
        <w:rPr>
          <w:sz w:val="24"/>
          <w:szCs w:val="24"/>
        </w:rPr>
        <w:t xml:space="preserve">and </w:t>
      </w:r>
      <w:r>
        <w:rPr>
          <w:sz w:val="24"/>
          <w:szCs w:val="24"/>
        </w:rPr>
        <w:t>Meltzer (2000).</w:t>
      </w:r>
      <w:r w:rsidR="00F36D94" w:rsidRPr="0094465A">
        <w:rPr>
          <w:rStyle w:val="FootnoteReference"/>
          <w:sz w:val="24"/>
          <w:szCs w:val="24"/>
        </w:rPr>
        <w:footnoteReference w:id="2"/>
      </w:r>
    </w:p>
    <w:p w14:paraId="0041E469" w14:textId="1301F4CE" w:rsidR="00484CF3" w:rsidRDefault="00484CF3" w:rsidP="0094465A">
      <w:pPr>
        <w:pStyle w:val="ListParagraph"/>
        <w:ind w:left="0" w:firstLine="720"/>
        <w:rPr>
          <w:sz w:val="24"/>
          <w:szCs w:val="24"/>
        </w:rPr>
      </w:pPr>
      <w:r>
        <w:rPr>
          <w:sz w:val="24"/>
          <w:szCs w:val="24"/>
        </w:rPr>
        <w:t>But there never wa</w:t>
      </w:r>
      <w:r w:rsidR="0038217E">
        <w:rPr>
          <w:sz w:val="24"/>
          <w:szCs w:val="24"/>
        </w:rPr>
        <w:t xml:space="preserve">s a good theoretical rationale </w:t>
      </w:r>
      <w:r>
        <w:rPr>
          <w:sz w:val="24"/>
          <w:szCs w:val="24"/>
        </w:rPr>
        <w:t xml:space="preserve">for the corners hypothesis and recent empirical results have re-asserted the viability of intermediate regimes. </w:t>
      </w:r>
    </w:p>
    <w:p w14:paraId="7AE4469D" w14:textId="77777777" w:rsidR="00484CF3" w:rsidRDefault="00484CF3" w:rsidP="00FE6187">
      <w:pPr>
        <w:pStyle w:val="ListParagraph"/>
        <w:ind w:left="0"/>
        <w:rPr>
          <w:sz w:val="24"/>
          <w:szCs w:val="24"/>
        </w:rPr>
      </w:pPr>
    </w:p>
    <w:p w14:paraId="2275F744" w14:textId="77777777" w:rsidR="008A28A4" w:rsidRDefault="00484CF3" w:rsidP="003E0F20">
      <w:pPr>
        <w:pStyle w:val="ListParagraph"/>
        <w:ind w:left="0" w:firstLine="720"/>
        <w:rPr>
          <w:sz w:val="24"/>
          <w:szCs w:val="24"/>
        </w:rPr>
      </w:pPr>
      <w:r>
        <w:rPr>
          <w:sz w:val="24"/>
          <w:szCs w:val="24"/>
        </w:rPr>
        <w:t xml:space="preserve">On the theoretical side, nothing has changed the traditional logic that intermediate exchange rate regimes </w:t>
      </w:r>
      <w:r w:rsidRPr="00882489">
        <w:rPr>
          <w:sz w:val="24"/>
          <w:szCs w:val="24"/>
        </w:rPr>
        <w:t>deliver an intermediate degree of insulation from foreign shocks in return f</w:t>
      </w:r>
      <w:r w:rsidR="001C15A4">
        <w:rPr>
          <w:sz w:val="24"/>
          <w:szCs w:val="24"/>
        </w:rPr>
        <w:t>or</w:t>
      </w:r>
      <w:r w:rsidRPr="00882489">
        <w:rPr>
          <w:sz w:val="24"/>
          <w:szCs w:val="24"/>
        </w:rPr>
        <w:t xml:space="preserve"> an intermediate degree of nom</w:t>
      </w:r>
      <w:r>
        <w:rPr>
          <w:sz w:val="24"/>
          <w:szCs w:val="24"/>
        </w:rPr>
        <w:t xml:space="preserve">inal exchange rate stability. </w:t>
      </w:r>
      <w:r w:rsidR="00B82868">
        <w:rPr>
          <w:sz w:val="24"/>
          <w:szCs w:val="24"/>
        </w:rPr>
        <w:t xml:space="preserve">  One example of such an intermediate regime is the band, which was well-modeled in the target zone literature initiated by Krugman (</w:t>
      </w:r>
      <w:r w:rsidR="00376974">
        <w:rPr>
          <w:sz w:val="24"/>
          <w:szCs w:val="24"/>
        </w:rPr>
        <w:t>1991</w:t>
      </w:r>
      <w:r w:rsidR="00B82868">
        <w:rPr>
          <w:sz w:val="24"/>
          <w:szCs w:val="24"/>
        </w:rPr>
        <w:t>).   Another example is the adjustable peg, which can be modeled as an escape clause invoked in the event of a sufficiently big shock, as modeled by Obstfeld (</w:t>
      </w:r>
      <w:r w:rsidR="00E54F95">
        <w:rPr>
          <w:sz w:val="24"/>
          <w:szCs w:val="24"/>
        </w:rPr>
        <w:t>1997</w:t>
      </w:r>
      <w:r w:rsidR="00B82868">
        <w:rPr>
          <w:sz w:val="24"/>
          <w:szCs w:val="24"/>
        </w:rPr>
        <w:t xml:space="preserve">). </w:t>
      </w:r>
    </w:p>
    <w:p w14:paraId="229BA1BB" w14:textId="5FC71C9E" w:rsidR="0094465A" w:rsidRPr="003E0F20" w:rsidRDefault="00FF6D6F" w:rsidP="003E0F20">
      <w:pPr>
        <w:pStyle w:val="ListParagraph"/>
        <w:ind w:left="0" w:firstLine="720"/>
        <w:rPr>
          <w:sz w:val="24"/>
          <w:szCs w:val="24"/>
        </w:rPr>
      </w:pPr>
      <w:r>
        <w:rPr>
          <w:sz w:val="24"/>
          <w:szCs w:val="24"/>
        </w:rPr>
        <w:t xml:space="preserve">Or consider a systematically </w:t>
      </w:r>
      <w:r w:rsidR="00B82868">
        <w:rPr>
          <w:sz w:val="24"/>
          <w:szCs w:val="24"/>
        </w:rPr>
        <w:t xml:space="preserve">managed float: </w:t>
      </w:r>
      <w:r w:rsidR="00484CF3" w:rsidRPr="00882489">
        <w:rPr>
          <w:sz w:val="24"/>
          <w:szCs w:val="24"/>
        </w:rPr>
        <w:t xml:space="preserve"> If the central bank responds to potentially large inflows by intervening in the foreign exchange market to buy up half of the </w:t>
      </w:r>
      <w:r w:rsidR="008A28A4">
        <w:rPr>
          <w:sz w:val="24"/>
          <w:szCs w:val="24"/>
        </w:rPr>
        <w:t xml:space="preserve">increased supply of </w:t>
      </w:r>
      <w:r w:rsidR="00484CF3" w:rsidRPr="00882489">
        <w:rPr>
          <w:sz w:val="24"/>
          <w:szCs w:val="24"/>
        </w:rPr>
        <w:t xml:space="preserve">foreign exchange, allowing the other half of the shock to show up as an increase in </w:t>
      </w:r>
      <w:r w:rsidR="008A28A4">
        <w:rPr>
          <w:sz w:val="24"/>
          <w:szCs w:val="24"/>
        </w:rPr>
        <w:t xml:space="preserve">the value of </w:t>
      </w:r>
      <w:r w:rsidR="00484CF3" w:rsidRPr="00882489">
        <w:rPr>
          <w:sz w:val="24"/>
          <w:szCs w:val="24"/>
        </w:rPr>
        <w:t xml:space="preserve">its </w:t>
      </w:r>
      <w:r w:rsidR="008A28A4">
        <w:rPr>
          <w:sz w:val="24"/>
          <w:szCs w:val="24"/>
        </w:rPr>
        <w:t>currency</w:t>
      </w:r>
      <w:r w:rsidR="00484CF3" w:rsidRPr="00882489">
        <w:rPr>
          <w:sz w:val="24"/>
          <w:szCs w:val="24"/>
        </w:rPr>
        <w:t>, then it gets half of the exchange rate stability and half of the impact of the shocks.</w:t>
      </w:r>
      <w:r w:rsidR="00FD5943">
        <w:rPr>
          <w:sz w:val="24"/>
          <w:szCs w:val="24"/>
        </w:rPr>
        <w:t xml:space="preserve">  (</w:t>
      </w:r>
      <w:r w:rsidR="003E0F20">
        <w:rPr>
          <w:sz w:val="24"/>
          <w:szCs w:val="24"/>
        </w:rPr>
        <w:t>It is perhaps surprising that the systematic management has seldom been formalized.   To operationalize “systematic</w:t>
      </w:r>
      <w:r w:rsidR="00890701">
        <w:rPr>
          <w:sz w:val="24"/>
          <w:szCs w:val="24"/>
        </w:rPr>
        <w:t>ally</w:t>
      </w:r>
      <w:r w:rsidR="003E0F20">
        <w:rPr>
          <w:sz w:val="24"/>
          <w:szCs w:val="24"/>
        </w:rPr>
        <w:t xml:space="preserve"> managed floating,</w:t>
      </w:r>
      <w:r w:rsidR="004C7BE5">
        <w:rPr>
          <w:sz w:val="24"/>
          <w:szCs w:val="24"/>
        </w:rPr>
        <w:t>” Part</w:t>
      </w:r>
      <w:r w:rsidR="003E0F20">
        <w:rPr>
          <w:sz w:val="24"/>
          <w:szCs w:val="24"/>
        </w:rPr>
        <w:t xml:space="preserve"> 2(b) of this paper identifies it simply by the condition that there is a high positive correlation between the change </w:t>
      </w:r>
      <w:r w:rsidR="003E0F20">
        <w:rPr>
          <w:sz w:val="24"/>
          <w:szCs w:val="24"/>
        </w:rPr>
        <w:lastRenderedPageBreak/>
        <w:t>in foreign exchange reserves and the change in the foreign exchange value of the currency.</w:t>
      </w:r>
      <w:r w:rsidR="00FD5943" w:rsidRPr="003E0F20">
        <w:rPr>
          <w:sz w:val="24"/>
          <w:szCs w:val="24"/>
        </w:rPr>
        <w:t>)</w:t>
      </w:r>
      <w:r w:rsidR="004E742A" w:rsidRPr="003E0F20">
        <w:rPr>
          <w:sz w:val="24"/>
          <w:szCs w:val="24"/>
        </w:rPr>
        <w:t xml:space="preserve"> </w:t>
      </w:r>
      <w:r w:rsidR="001C15A4" w:rsidRPr="003E0F20">
        <w:rPr>
          <w:sz w:val="24"/>
          <w:szCs w:val="24"/>
        </w:rPr>
        <w:t>These are all counter-examples to the corners hypothesis.</w:t>
      </w:r>
    </w:p>
    <w:p w14:paraId="479834FC" w14:textId="77777777" w:rsidR="00882489" w:rsidRPr="00FE6187" w:rsidRDefault="00B82868" w:rsidP="0094465A">
      <w:pPr>
        <w:ind w:firstLine="720"/>
        <w:rPr>
          <w:sz w:val="24"/>
          <w:szCs w:val="24"/>
        </w:rPr>
      </w:pPr>
      <w:r w:rsidRPr="00FE6187">
        <w:rPr>
          <w:sz w:val="24"/>
          <w:szCs w:val="24"/>
        </w:rPr>
        <w:t xml:space="preserve">Beyond the normative question as to whether intermediate regimes are advisable is the evidence from classification schemes </w:t>
      </w:r>
      <w:r w:rsidR="00BE7656">
        <w:rPr>
          <w:sz w:val="24"/>
          <w:szCs w:val="24"/>
        </w:rPr>
        <w:t>on what countries are actually doing.  A</w:t>
      </w:r>
      <w:r w:rsidRPr="00FE6187">
        <w:rPr>
          <w:sz w:val="24"/>
          <w:szCs w:val="24"/>
        </w:rPr>
        <w:t xml:space="preserve"> large and growing percentage of IMF members continue to choose managed floats and other intermediate regimes</w:t>
      </w:r>
      <w:r w:rsidR="00A45E20" w:rsidRPr="00FE6187">
        <w:rPr>
          <w:sz w:val="24"/>
          <w:szCs w:val="24"/>
        </w:rPr>
        <w:t>.</w:t>
      </w:r>
      <w:r w:rsidR="00A45E20">
        <w:rPr>
          <w:rStyle w:val="FootnoteReference"/>
          <w:sz w:val="24"/>
          <w:szCs w:val="24"/>
        </w:rPr>
        <w:footnoteReference w:id="3"/>
      </w:r>
      <w:r w:rsidR="002C0EF1">
        <w:rPr>
          <w:sz w:val="24"/>
          <w:szCs w:val="24"/>
        </w:rPr>
        <w:t xml:space="preserve">   To the author, it seems that the corners hypothesis is dead.</w:t>
      </w:r>
      <w:r w:rsidR="00B14318">
        <w:rPr>
          <w:rStyle w:val="FootnoteReference"/>
          <w:sz w:val="24"/>
          <w:szCs w:val="24"/>
        </w:rPr>
        <w:footnoteReference w:id="4"/>
      </w:r>
      <w:r w:rsidRPr="00FE6187">
        <w:rPr>
          <w:sz w:val="24"/>
          <w:szCs w:val="24"/>
        </w:rPr>
        <w:br/>
      </w:r>
    </w:p>
    <w:p w14:paraId="35358E46" w14:textId="77777777" w:rsidR="00FE6187" w:rsidRPr="008A3819" w:rsidRDefault="00FE6187" w:rsidP="00484CF3">
      <w:pPr>
        <w:pStyle w:val="ListParagraph"/>
        <w:numPr>
          <w:ilvl w:val="1"/>
          <w:numId w:val="1"/>
        </w:numPr>
        <w:ind w:left="1080"/>
        <w:rPr>
          <w:b/>
          <w:sz w:val="24"/>
          <w:szCs w:val="24"/>
        </w:rPr>
      </w:pPr>
      <w:r w:rsidRPr="008A3819">
        <w:rPr>
          <w:b/>
          <w:sz w:val="24"/>
          <w:szCs w:val="24"/>
        </w:rPr>
        <w:t>The challenge to the trilemma</w:t>
      </w:r>
    </w:p>
    <w:p w14:paraId="629FEE64" w14:textId="05B39233" w:rsidR="004876A6" w:rsidRPr="00FE6187" w:rsidRDefault="00564A84" w:rsidP="0042142F">
      <w:pPr>
        <w:ind w:firstLine="720"/>
        <w:rPr>
          <w:sz w:val="24"/>
          <w:szCs w:val="24"/>
        </w:rPr>
      </w:pPr>
      <w:r w:rsidRPr="0038217E">
        <w:rPr>
          <w:rFonts w:cs="CMR10"/>
          <w:sz w:val="24"/>
          <w:szCs w:val="24"/>
        </w:rPr>
        <w:t xml:space="preserve">Traditional textbook theory says that </w:t>
      </w:r>
      <w:r w:rsidRPr="0038217E">
        <w:rPr>
          <w:bCs/>
          <w:color w:val="200020"/>
          <w:sz w:val="24"/>
          <w:szCs w:val="24"/>
        </w:rPr>
        <w:t>fl</w:t>
      </w:r>
      <w:r w:rsidRPr="0038217E">
        <w:rPr>
          <w:rFonts w:cs="CMR10"/>
          <w:sz w:val="24"/>
          <w:szCs w:val="24"/>
        </w:rPr>
        <w:t xml:space="preserve">oating exchange rates help insulate small countries against global financial factors such as </w:t>
      </w:r>
      <w:r w:rsidR="00D14019">
        <w:rPr>
          <w:rFonts w:cs="CMR10"/>
          <w:sz w:val="24"/>
          <w:szCs w:val="24"/>
        </w:rPr>
        <w:t xml:space="preserve">foreign </w:t>
      </w:r>
      <w:r w:rsidRPr="0038217E">
        <w:rPr>
          <w:rFonts w:cs="CMR10"/>
          <w:sz w:val="24"/>
          <w:szCs w:val="24"/>
        </w:rPr>
        <w:t>monetary conditions,</w:t>
      </w:r>
      <w:r w:rsidRPr="0038217E">
        <w:rPr>
          <w:bCs/>
          <w:color w:val="200020"/>
          <w:sz w:val="24"/>
          <w:szCs w:val="24"/>
        </w:rPr>
        <w:t xml:space="preserve"> each country choosing the monetary policy that suits its own economic conditions.</w:t>
      </w:r>
      <w:r w:rsidRPr="00FE6187">
        <w:rPr>
          <w:bCs/>
          <w:color w:val="200020"/>
        </w:rPr>
        <w:t xml:space="preserve"> </w:t>
      </w:r>
      <w:r w:rsidR="00882489" w:rsidRPr="00FE6187">
        <w:rPr>
          <w:sz w:val="24"/>
          <w:szCs w:val="24"/>
        </w:rPr>
        <w:t>“Dilemma, not trilemma” represents the claim that floating exchange rates do not in fact insulate count</w:t>
      </w:r>
      <w:r w:rsidR="008F381D" w:rsidRPr="00FE6187">
        <w:rPr>
          <w:sz w:val="24"/>
          <w:szCs w:val="24"/>
        </w:rPr>
        <w:t>r</w:t>
      </w:r>
      <w:r w:rsidR="008A28A4">
        <w:rPr>
          <w:sz w:val="24"/>
          <w:szCs w:val="24"/>
        </w:rPr>
        <w:t>ies from foreign shocks</w:t>
      </w:r>
      <w:r w:rsidR="00882489" w:rsidRPr="00FE6187">
        <w:rPr>
          <w:sz w:val="24"/>
          <w:szCs w:val="24"/>
        </w:rPr>
        <w:t xml:space="preserve"> and that only capital controls can do that.</w:t>
      </w:r>
      <w:r w:rsidRPr="00FE6187">
        <w:rPr>
          <w:sz w:val="24"/>
          <w:szCs w:val="24"/>
        </w:rPr>
        <w:t xml:space="preserve"> </w:t>
      </w:r>
    </w:p>
    <w:p w14:paraId="2C895FCD" w14:textId="54FC67D9" w:rsidR="002B016F" w:rsidRDefault="00564A84" w:rsidP="0042142F">
      <w:pPr>
        <w:spacing w:before="240"/>
        <w:ind w:firstLine="450"/>
        <w:contextualSpacing/>
        <w:rPr>
          <w:sz w:val="24"/>
          <w:szCs w:val="24"/>
        </w:rPr>
      </w:pPr>
      <w:r>
        <w:rPr>
          <w:sz w:val="24"/>
          <w:szCs w:val="24"/>
        </w:rPr>
        <w:t xml:space="preserve">The </w:t>
      </w:r>
      <w:r w:rsidR="00D14019">
        <w:rPr>
          <w:sz w:val="24"/>
          <w:szCs w:val="24"/>
        </w:rPr>
        <w:t xml:space="preserve">textbook </w:t>
      </w:r>
      <w:r>
        <w:rPr>
          <w:sz w:val="24"/>
          <w:szCs w:val="24"/>
        </w:rPr>
        <w:t xml:space="preserve">theory is part of the </w:t>
      </w:r>
      <w:r w:rsidR="004876A6" w:rsidRPr="00011F62">
        <w:rPr>
          <w:sz w:val="24"/>
          <w:szCs w:val="24"/>
        </w:rPr>
        <w:t xml:space="preserve">long-standing principle in international macroeconomics (often associated with Robert Mundell) </w:t>
      </w:r>
      <w:r>
        <w:rPr>
          <w:sz w:val="24"/>
          <w:szCs w:val="24"/>
        </w:rPr>
        <w:t xml:space="preserve">that </w:t>
      </w:r>
      <w:r w:rsidR="004876A6" w:rsidRPr="00011F62">
        <w:rPr>
          <w:sz w:val="24"/>
          <w:szCs w:val="24"/>
        </w:rPr>
        <w:t xml:space="preserve">goes by the name of “the Impossible Trinity.”  Also called the “trilemma,” the proposition states that even though a country might wish to have a fixed exchange rate, highly integrated financial markets, and the ability to set its own monetary policy, it cannot have all three of these things.  The logic is simple.  If there are no differences between the domestic currency and foreign currencies and no barriers to the cross-border movement of capital, then the domestic interest rate is tied to the world interest rate.   The domestic country loses the ability to set its own interest rate. </w:t>
      </w:r>
    </w:p>
    <w:p w14:paraId="2D2CFD69" w14:textId="77777777" w:rsidR="002B016F" w:rsidRDefault="002B016F" w:rsidP="0042142F">
      <w:pPr>
        <w:spacing w:before="240"/>
        <w:contextualSpacing/>
        <w:rPr>
          <w:sz w:val="24"/>
          <w:szCs w:val="24"/>
        </w:rPr>
      </w:pPr>
      <w:r>
        <w:rPr>
          <w:sz w:val="24"/>
          <w:szCs w:val="24"/>
        </w:rPr>
        <w:tab/>
      </w:r>
      <w:r w:rsidR="004876A6" w:rsidRPr="00011F62">
        <w:rPr>
          <w:sz w:val="24"/>
          <w:szCs w:val="24"/>
        </w:rPr>
        <w:t xml:space="preserve"> </w:t>
      </w:r>
    </w:p>
    <w:tbl>
      <w:tblPr>
        <w:tblW w:w="0" w:type="auto"/>
        <w:tblCellSpacing w:w="0" w:type="dxa"/>
        <w:tblCellMar>
          <w:left w:w="0" w:type="dxa"/>
          <w:right w:w="0" w:type="dxa"/>
        </w:tblCellMar>
        <w:tblLook w:val="04A0" w:firstRow="1" w:lastRow="0" w:firstColumn="1" w:lastColumn="0" w:noHBand="0" w:noVBand="1"/>
      </w:tblPr>
      <w:tblGrid>
        <w:gridCol w:w="9360"/>
      </w:tblGrid>
      <w:tr w:rsidR="00957B8F" w:rsidRPr="005B0E15" w14:paraId="60B210E9" w14:textId="77777777" w:rsidTr="00BD3BD5">
        <w:trPr>
          <w:trHeight w:val="2250"/>
          <w:tblCellSpacing w:w="0" w:type="dxa"/>
        </w:trPr>
        <w:tc>
          <w:tcPr>
            <w:tcW w:w="0" w:type="auto"/>
            <w:hideMark/>
          </w:tcPr>
          <w:p w14:paraId="320278FE" w14:textId="07E987D5" w:rsidR="00957B8F" w:rsidRDefault="00421B14" w:rsidP="00BD3BD5">
            <w:pPr>
              <w:spacing w:after="0"/>
              <w:contextualSpacing/>
              <w:rPr>
                <w:sz w:val="24"/>
                <w:szCs w:val="24"/>
              </w:rPr>
            </w:pPr>
            <w:r>
              <w:rPr>
                <w:sz w:val="24"/>
                <w:szCs w:val="24"/>
              </w:rPr>
              <w:lastRenderedPageBreak/>
              <w:t xml:space="preserve">         </w:t>
            </w:r>
            <w:r w:rsidR="002B016F">
              <w:rPr>
                <w:sz w:val="24"/>
                <w:szCs w:val="24"/>
              </w:rPr>
              <w:t xml:space="preserve">One familiar </w:t>
            </w:r>
            <w:r w:rsidR="008A28A4">
              <w:rPr>
                <w:sz w:val="24"/>
                <w:szCs w:val="24"/>
              </w:rPr>
              <w:t xml:space="preserve">graphical </w:t>
            </w:r>
            <w:r w:rsidR="002B016F">
              <w:rPr>
                <w:sz w:val="24"/>
                <w:szCs w:val="24"/>
              </w:rPr>
              <w:t xml:space="preserve">interpretation of the Impossible Trinity or Trilemma shows the three desirable characteristics as three sides of a triangle: exchange rate stability, financial market integration, and monetary independence.  Now consider challenges (a) and (b).  The corners hypothesis is the claim that financial integration forces a country to choose between the firmly-fixed vertex and the free-floating vertex, while the contrary position is that nothing stops a country from choosing an intermediate point anywhere along </w:t>
            </w:r>
            <w:r w:rsidR="000B1894">
              <w:rPr>
                <w:sz w:val="24"/>
                <w:szCs w:val="24"/>
              </w:rPr>
              <w:t>the side</w:t>
            </w:r>
            <w:r w:rsidR="002B016F">
              <w:rPr>
                <w:sz w:val="24"/>
                <w:szCs w:val="24"/>
              </w:rPr>
              <w:t xml:space="preserve"> of the triangle.   The “dilemma” view is </w:t>
            </w:r>
            <w:r w:rsidR="000B1894">
              <w:rPr>
                <w:sz w:val="24"/>
                <w:szCs w:val="24"/>
              </w:rPr>
              <w:t>very different: the triangle collapses into a single line segment, running from “monetary independence via capital controls” to “open capital markets,” with the choice of exchange rate regime not relevant for monetary independence.</w:t>
            </w:r>
            <w:r w:rsidR="00EC2DA8">
              <w:rPr>
                <w:rStyle w:val="FootnoteReference"/>
                <w:sz w:val="24"/>
                <w:szCs w:val="24"/>
              </w:rPr>
              <w:footnoteReference w:id="5"/>
            </w:r>
            <w:r w:rsidR="000B1894">
              <w:rPr>
                <w:sz w:val="24"/>
                <w:szCs w:val="24"/>
              </w:rPr>
              <w:t xml:space="preserve"> </w:t>
            </w:r>
            <w:r w:rsidR="002B016F">
              <w:rPr>
                <w:sz w:val="24"/>
                <w:szCs w:val="24"/>
              </w:rPr>
              <w:t xml:space="preserve"> </w:t>
            </w:r>
            <w:r w:rsidR="00957B8F">
              <w:rPr>
                <w:sz w:val="24"/>
                <w:szCs w:val="24"/>
              </w:rPr>
              <w:br/>
            </w:r>
            <w:r w:rsidR="002B016F">
              <w:rPr>
                <w:sz w:val="24"/>
                <w:szCs w:val="24"/>
              </w:rPr>
              <w:br/>
            </w:r>
            <w:r w:rsidR="00957B8F">
              <w:rPr>
                <w:sz w:val="24"/>
                <w:szCs w:val="24"/>
              </w:rPr>
              <w:t xml:space="preserve">      </w:t>
            </w:r>
            <w:r w:rsidR="00957B8F" w:rsidRPr="00011F62">
              <w:rPr>
                <w:sz w:val="24"/>
                <w:szCs w:val="24"/>
              </w:rPr>
              <w:t xml:space="preserve">This area of research is of particular interest </w:t>
            </w:r>
            <w:r w:rsidR="00957B8F">
              <w:rPr>
                <w:sz w:val="24"/>
                <w:szCs w:val="24"/>
              </w:rPr>
              <w:t xml:space="preserve">in 2017, </w:t>
            </w:r>
            <w:r w:rsidR="00957B8F" w:rsidRPr="00011F62">
              <w:rPr>
                <w:sz w:val="24"/>
                <w:szCs w:val="24"/>
              </w:rPr>
              <w:t xml:space="preserve">a time when the Fed is expected to continue to pursue a series of increases in US interest rates, which might </w:t>
            </w:r>
            <w:r w:rsidR="00957B8F">
              <w:rPr>
                <w:sz w:val="24"/>
                <w:szCs w:val="24"/>
              </w:rPr>
              <w:t xml:space="preserve">lead international investors to pull funds out of </w:t>
            </w:r>
            <w:r w:rsidR="00957B8F" w:rsidRPr="00011F62">
              <w:rPr>
                <w:sz w:val="24"/>
                <w:szCs w:val="24"/>
              </w:rPr>
              <w:t>emerging co</w:t>
            </w:r>
            <w:r w:rsidR="00957B8F">
              <w:rPr>
                <w:sz w:val="24"/>
                <w:szCs w:val="24"/>
              </w:rPr>
              <w:t xml:space="preserve">untries and trigger new crises </w:t>
            </w:r>
            <w:r w:rsidR="00957B8F" w:rsidRPr="00AC2465">
              <w:rPr>
                <w:rFonts w:cs="CMR10"/>
                <w:sz w:val="24"/>
                <w:szCs w:val="24"/>
              </w:rPr>
              <w:t>as sometimes in the past.</w:t>
            </w:r>
          </w:p>
          <w:p w14:paraId="23E86591" w14:textId="77777777" w:rsidR="00957B8F" w:rsidRDefault="00957B8F" w:rsidP="00BD3BD5">
            <w:pPr>
              <w:spacing w:after="0"/>
              <w:contextualSpacing/>
              <w:rPr>
                <w:sz w:val="24"/>
                <w:szCs w:val="24"/>
              </w:rPr>
            </w:pPr>
          </w:p>
          <w:p w14:paraId="258D357B" w14:textId="77777777" w:rsidR="00957B8F" w:rsidRDefault="00957B8F" w:rsidP="00BD3BD5">
            <w:pPr>
              <w:spacing w:after="0"/>
              <w:contextualSpacing/>
              <w:rPr>
                <w:rFonts w:eastAsia="Times New Roman" w:cs="Tahoma"/>
                <w:sz w:val="24"/>
                <w:szCs w:val="24"/>
              </w:rPr>
            </w:pPr>
            <w:r>
              <w:rPr>
                <w:sz w:val="24"/>
                <w:szCs w:val="24"/>
              </w:rPr>
              <w:t xml:space="preserve">      </w:t>
            </w:r>
            <w:r w:rsidRPr="00011F62">
              <w:rPr>
                <w:sz w:val="24"/>
                <w:szCs w:val="24"/>
              </w:rPr>
              <w:t xml:space="preserve">Do floating rates in fact insulate countries from foreign interest rates as </w:t>
            </w:r>
            <w:r>
              <w:rPr>
                <w:sz w:val="24"/>
                <w:szCs w:val="24"/>
              </w:rPr>
              <w:t>the traditional textbook view advertises</w:t>
            </w:r>
            <w:r w:rsidRPr="00011F62">
              <w:rPr>
                <w:sz w:val="24"/>
                <w:szCs w:val="24"/>
              </w:rPr>
              <w:t xml:space="preserve">?   </w:t>
            </w:r>
            <w:r>
              <w:rPr>
                <w:sz w:val="24"/>
                <w:szCs w:val="24"/>
              </w:rPr>
              <w:t>Rey (2014) has led a new wave of skepticism on this score.</w:t>
            </w:r>
            <w:r>
              <w:rPr>
                <w:rStyle w:val="FootnoteReference"/>
                <w:sz w:val="24"/>
                <w:szCs w:val="24"/>
              </w:rPr>
              <w:footnoteReference w:id="6"/>
            </w:r>
            <w:r>
              <w:rPr>
                <w:sz w:val="24"/>
                <w:szCs w:val="24"/>
              </w:rPr>
              <w:t xml:space="preserve"> </w:t>
            </w:r>
            <w:r>
              <w:rPr>
                <w:rFonts w:eastAsia="Times New Roman" w:cs="Tahoma"/>
                <w:sz w:val="24"/>
                <w:szCs w:val="24"/>
              </w:rPr>
              <w:br/>
            </w:r>
            <w:r>
              <w:rPr>
                <w:rFonts w:cs="CMR10"/>
                <w:sz w:val="24"/>
                <w:szCs w:val="24"/>
              </w:rPr>
              <w:t>She</w:t>
            </w:r>
            <w:r w:rsidRPr="00AC2465">
              <w:rPr>
                <w:rFonts w:cs="CMR10"/>
                <w:sz w:val="24"/>
                <w:szCs w:val="24"/>
              </w:rPr>
              <w:t xml:space="preserve"> finds that one global factor explains an important part of the variance of a large cross section of returns of risky assets around the world. This time-varying global factor can be interpreted as the perceived importance of risk, as reflected in a measure such as the VIX.  US monetary policy is, in turn, a driver of this global factor </w:t>
            </w:r>
            <w:r w:rsidRPr="00AC2465">
              <w:rPr>
                <w:sz w:val="24"/>
                <w:szCs w:val="24"/>
              </w:rPr>
              <w:t>and of international credit flows and leverage</w:t>
            </w:r>
            <w:r w:rsidRPr="00AC2465">
              <w:rPr>
                <w:rFonts w:cs="CMR10"/>
                <w:sz w:val="24"/>
                <w:szCs w:val="24"/>
              </w:rPr>
              <w:t xml:space="preserve">. </w:t>
            </w:r>
            <w:r>
              <w:rPr>
                <w:rFonts w:cs="CMR10"/>
                <w:sz w:val="24"/>
                <w:szCs w:val="24"/>
              </w:rPr>
              <w:br/>
            </w:r>
            <w:r>
              <w:rPr>
                <w:rFonts w:cs="CMR10"/>
                <w:sz w:val="24"/>
                <w:szCs w:val="24"/>
              </w:rPr>
              <w:br/>
              <w:t xml:space="preserve">      </w:t>
            </w:r>
            <w:r w:rsidRPr="00AC2465">
              <w:rPr>
                <w:rFonts w:cs="CMR10"/>
                <w:sz w:val="24"/>
                <w:szCs w:val="24"/>
              </w:rPr>
              <w:t>It is possible that transmission of liquidity and risk effects may invalidate th</w:t>
            </w:r>
            <w:r>
              <w:rPr>
                <w:rFonts w:cs="CMR10"/>
                <w:sz w:val="24"/>
                <w:szCs w:val="24"/>
              </w:rPr>
              <w:t>e</w:t>
            </w:r>
            <w:r w:rsidRPr="00AC2465">
              <w:rPr>
                <w:rFonts w:cs="CMR10"/>
                <w:sz w:val="24"/>
                <w:szCs w:val="24"/>
              </w:rPr>
              <w:t xml:space="preserve"> insulation proposition.  Some say that the power to set independent monetary policy was compromised when interest rates hit the zero lower bound</w:t>
            </w:r>
            <w:r>
              <w:rPr>
                <w:rFonts w:cs="CMR10"/>
                <w:sz w:val="24"/>
                <w:szCs w:val="24"/>
              </w:rPr>
              <w:t xml:space="preserve"> after 2008</w:t>
            </w:r>
            <w:r w:rsidRPr="00AC2465">
              <w:rPr>
                <w:rFonts w:cs="CMR10"/>
                <w:sz w:val="24"/>
                <w:szCs w:val="24"/>
              </w:rPr>
              <w:t>.</w:t>
            </w:r>
            <w:r w:rsidRPr="00AC2465">
              <w:rPr>
                <w:bCs/>
                <w:color w:val="200020"/>
                <w:sz w:val="24"/>
                <w:szCs w:val="24"/>
              </w:rPr>
              <w:t xml:space="preserve"> </w:t>
            </w:r>
            <w:r w:rsidRPr="00AC2465">
              <w:rPr>
                <w:rFonts w:cs="CMR10"/>
                <w:sz w:val="24"/>
                <w:szCs w:val="24"/>
              </w:rPr>
              <w:t xml:space="preserve">  After all, many countries with floating exchange rates suffered effects of the US-originated Global Financial Crisis. </w:t>
            </w:r>
            <w:r>
              <w:rPr>
                <w:rFonts w:cs="CMR10"/>
                <w:sz w:val="24"/>
                <w:szCs w:val="24"/>
              </w:rPr>
              <w:t xml:space="preserve"> </w:t>
            </w:r>
            <w:r>
              <w:rPr>
                <w:sz w:val="24"/>
                <w:szCs w:val="24"/>
              </w:rPr>
              <w:t xml:space="preserve">Farhi and Werning (2014) find theoretically that </w:t>
            </w:r>
            <w:r w:rsidRPr="00011F62">
              <w:rPr>
                <w:rFonts w:cs="Arial"/>
                <w:sz w:val="24"/>
                <w:szCs w:val="24"/>
              </w:rPr>
              <w:t xml:space="preserve">capital market imperfections may prevent floating rates from </w:t>
            </w:r>
            <w:r w:rsidRPr="00011F62">
              <w:rPr>
                <w:rFonts w:eastAsia="Times New Roman" w:cs="Tahoma"/>
                <w:sz w:val="24"/>
                <w:szCs w:val="24"/>
              </w:rPr>
              <w:t>performing the shock absorption role claimed in tradi</w:t>
            </w:r>
            <w:r>
              <w:rPr>
                <w:rFonts w:eastAsia="Times New Roman" w:cs="Tahoma"/>
                <w:sz w:val="24"/>
                <w:szCs w:val="24"/>
              </w:rPr>
              <w:t xml:space="preserve">tional macroeconomic analysis and </w:t>
            </w:r>
            <w:r w:rsidRPr="00011F62">
              <w:rPr>
                <w:rFonts w:eastAsia="Times New Roman" w:cs="Tahoma"/>
                <w:sz w:val="24"/>
                <w:szCs w:val="24"/>
              </w:rPr>
              <w:t xml:space="preserve">that in such circumstances taxation of capital flows can be welfare-improving.  </w:t>
            </w:r>
          </w:p>
          <w:p w14:paraId="3549864D" w14:textId="24098793" w:rsidR="00957B8F" w:rsidRPr="00C1747D" w:rsidRDefault="00957B8F" w:rsidP="00BD3BD5">
            <w:pPr>
              <w:spacing w:after="0"/>
              <w:contextualSpacing/>
              <w:rPr>
                <w:sz w:val="24"/>
                <w:szCs w:val="24"/>
              </w:rPr>
            </w:pPr>
            <w:r>
              <w:rPr>
                <w:sz w:val="24"/>
                <w:szCs w:val="24"/>
              </w:rPr>
              <w:t xml:space="preserve">      To argue that floating rates do not automatically insulate aga</w:t>
            </w:r>
            <w:r w:rsidR="00D14019">
              <w:rPr>
                <w:sz w:val="24"/>
                <w:szCs w:val="24"/>
              </w:rPr>
              <w:t>inst foreign disturbances is</w:t>
            </w:r>
            <w:r>
              <w:rPr>
                <w:sz w:val="24"/>
                <w:szCs w:val="24"/>
              </w:rPr>
              <w:t xml:space="preserve"> to take on a straw man, however.  Given the importance of international capital flows and other </w:t>
            </w:r>
            <w:r>
              <w:rPr>
                <w:sz w:val="24"/>
                <w:szCs w:val="24"/>
              </w:rPr>
              <w:lastRenderedPageBreak/>
              <w:t>transmission mechanisms, the claim in favor of floating is not that it automatically gives complete insulation even when domestic monetary policy remains passive.  The claim is</w:t>
            </w:r>
            <w:r w:rsidR="004C7BE5">
              <w:rPr>
                <w:sz w:val="24"/>
                <w:szCs w:val="24"/>
              </w:rPr>
              <w:t>, rather</w:t>
            </w:r>
            <w:r>
              <w:rPr>
                <w:sz w:val="24"/>
                <w:szCs w:val="24"/>
              </w:rPr>
              <w:t>, that it allows the freedom to respond to shocks so as to achieve the desired level of domestic demand.   Indeed there is no shortage of empirical studies finding that floating does help countries retain an important degree of monetary autonomy.</w:t>
            </w:r>
            <w:r>
              <w:rPr>
                <w:rStyle w:val="FootnoteReference"/>
                <w:sz w:val="24"/>
                <w:szCs w:val="24"/>
              </w:rPr>
              <w:footnoteReference w:id="7"/>
            </w:r>
            <w:r>
              <w:rPr>
                <w:sz w:val="24"/>
                <w:szCs w:val="24"/>
              </w:rPr>
              <w:t xml:space="preserve">     </w:t>
            </w:r>
          </w:p>
        </w:tc>
      </w:tr>
    </w:tbl>
    <w:p w14:paraId="2A3FABCA" w14:textId="77777777" w:rsidR="00FE6187" w:rsidRPr="008A3819" w:rsidRDefault="009F483A" w:rsidP="00BD3BD5">
      <w:pPr>
        <w:pStyle w:val="ListParagraph"/>
        <w:numPr>
          <w:ilvl w:val="1"/>
          <w:numId w:val="1"/>
        </w:numPr>
        <w:rPr>
          <w:b/>
          <w:sz w:val="24"/>
          <w:szCs w:val="24"/>
        </w:rPr>
      </w:pPr>
      <w:r w:rsidRPr="008A3819">
        <w:rPr>
          <w:b/>
          <w:sz w:val="24"/>
          <w:szCs w:val="24"/>
        </w:rPr>
        <w:lastRenderedPageBreak/>
        <w:t>The challenge to i</w:t>
      </w:r>
      <w:r w:rsidR="008F381D" w:rsidRPr="008A3819">
        <w:rPr>
          <w:b/>
          <w:sz w:val="24"/>
          <w:szCs w:val="24"/>
        </w:rPr>
        <w:t>nt</w:t>
      </w:r>
      <w:r w:rsidRPr="008A3819">
        <w:rPr>
          <w:b/>
          <w:sz w:val="24"/>
          <w:szCs w:val="24"/>
        </w:rPr>
        <w:t>ervention effectivenes</w:t>
      </w:r>
      <w:r w:rsidR="008A3819" w:rsidRPr="008A3819">
        <w:rPr>
          <w:b/>
          <w:sz w:val="24"/>
          <w:szCs w:val="24"/>
        </w:rPr>
        <w:t>s</w:t>
      </w:r>
      <w:r w:rsidR="008F381D" w:rsidRPr="008A3819">
        <w:rPr>
          <w:b/>
          <w:sz w:val="24"/>
          <w:szCs w:val="24"/>
        </w:rPr>
        <w:t xml:space="preserve"> </w:t>
      </w:r>
    </w:p>
    <w:p w14:paraId="67AE227F" w14:textId="4A4AF128" w:rsidR="00EC2DA8" w:rsidRDefault="00FE6187" w:rsidP="00EC2DA8">
      <w:pPr>
        <w:ind w:firstLine="720"/>
        <w:rPr>
          <w:sz w:val="24"/>
          <w:szCs w:val="24"/>
        </w:rPr>
      </w:pPr>
      <w:r>
        <w:rPr>
          <w:sz w:val="24"/>
          <w:szCs w:val="24"/>
        </w:rPr>
        <w:t xml:space="preserve">Another challenge is the claim </w:t>
      </w:r>
      <w:r w:rsidR="008F381D" w:rsidRPr="00FE6187">
        <w:rPr>
          <w:sz w:val="24"/>
          <w:szCs w:val="24"/>
        </w:rPr>
        <w:t>that f</w:t>
      </w:r>
      <w:r w:rsidR="00882489" w:rsidRPr="00FE6187">
        <w:rPr>
          <w:sz w:val="24"/>
          <w:szCs w:val="24"/>
        </w:rPr>
        <w:t>oreign exchange intervention is powerless to affect nominal exchange rates (unless it is non-sterilized</w:t>
      </w:r>
      <w:r w:rsidR="00242C3A" w:rsidRPr="00FE6187">
        <w:rPr>
          <w:sz w:val="24"/>
          <w:szCs w:val="24"/>
        </w:rPr>
        <w:t>,</w:t>
      </w:r>
      <w:r w:rsidR="00882489" w:rsidRPr="00FE6187">
        <w:rPr>
          <w:sz w:val="24"/>
          <w:szCs w:val="24"/>
        </w:rPr>
        <w:t xml:space="preserve"> in which case it is just another kind of monetary policy)</w:t>
      </w:r>
      <w:r w:rsidR="00242C3A" w:rsidRPr="00FE6187">
        <w:rPr>
          <w:sz w:val="24"/>
          <w:szCs w:val="24"/>
        </w:rPr>
        <w:t>, let alone real exchange rates</w:t>
      </w:r>
      <w:r w:rsidR="00882489" w:rsidRPr="00FE6187">
        <w:rPr>
          <w:sz w:val="24"/>
          <w:szCs w:val="24"/>
        </w:rPr>
        <w:t>.</w:t>
      </w:r>
      <w:r w:rsidR="00C561F6" w:rsidRPr="00FE6187">
        <w:rPr>
          <w:sz w:val="24"/>
          <w:szCs w:val="24"/>
        </w:rPr>
        <w:t xml:space="preserve">  This view was originally rooted in </w:t>
      </w:r>
      <w:r w:rsidR="00573318" w:rsidRPr="00FE6187">
        <w:rPr>
          <w:sz w:val="24"/>
          <w:szCs w:val="24"/>
        </w:rPr>
        <w:t>models in which the exchange rate was determined by the supply and demand for money</w:t>
      </w:r>
      <w:r w:rsidR="004C7BE5" w:rsidRPr="00FE6187">
        <w:rPr>
          <w:sz w:val="24"/>
          <w:szCs w:val="24"/>
        </w:rPr>
        <w:t>; if</w:t>
      </w:r>
      <w:r w:rsidR="00573318" w:rsidRPr="00FE6187">
        <w:rPr>
          <w:sz w:val="24"/>
          <w:szCs w:val="24"/>
        </w:rPr>
        <w:t xml:space="preserve"> intervention was sterilized so as to leave the money supply unchanged, then it had no effect. </w:t>
      </w:r>
      <w:r w:rsidR="00016D73" w:rsidRPr="00FE6187">
        <w:rPr>
          <w:sz w:val="24"/>
          <w:szCs w:val="24"/>
        </w:rPr>
        <w:t xml:space="preserve"> It was thought that non-monetary claims against the government did not have an effect on market interest rates and exchange rates.  This was because </w:t>
      </w:r>
      <w:r w:rsidR="00A630D5" w:rsidRPr="00FE6187">
        <w:rPr>
          <w:sz w:val="24"/>
          <w:szCs w:val="24"/>
        </w:rPr>
        <w:t xml:space="preserve">among </w:t>
      </w:r>
      <w:r w:rsidR="00016D73" w:rsidRPr="00FE6187">
        <w:rPr>
          <w:sz w:val="24"/>
          <w:szCs w:val="24"/>
        </w:rPr>
        <w:t xml:space="preserve">advanced countries (the only ones that floated in the first place), financial markets were highly liquid, international </w:t>
      </w:r>
      <w:r w:rsidR="009F483A">
        <w:rPr>
          <w:sz w:val="24"/>
          <w:szCs w:val="24"/>
        </w:rPr>
        <w:t xml:space="preserve">capital flows unencumbered, </w:t>
      </w:r>
      <w:r w:rsidR="00016D73" w:rsidRPr="00FE6187">
        <w:rPr>
          <w:sz w:val="24"/>
          <w:szCs w:val="24"/>
        </w:rPr>
        <w:t>default risk a non-issue</w:t>
      </w:r>
      <w:r w:rsidR="009F483A">
        <w:rPr>
          <w:sz w:val="24"/>
          <w:szCs w:val="24"/>
        </w:rPr>
        <w:t>, and government bonds perhaps even rendered altogether irrelevant by Ricardian equivalence</w:t>
      </w:r>
      <w:r w:rsidR="00016D73" w:rsidRPr="00FE6187">
        <w:rPr>
          <w:sz w:val="24"/>
          <w:szCs w:val="24"/>
        </w:rPr>
        <w:t xml:space="preserve">. </w:t>
      </w:r>
      <w:r w:rsidR="00A630D5" w:rsidRPr="00FE6187">
        <w:rPr>
          <w:sz w:val="24"/>
          <w:szCs w:val="24"/>
        </w:rPr>
        <w:t xml:space="preserve"> Uncovered interest parity held because investors were able to arbitrage away international differences in expected returns.   If a European or Japanese central bank bought dollar bonds, but then sold an equal number o</w:t>
      </w:r>
      <w:r w:rsidR="00150710" w:rsidRPr="00FE6187">
        <w:rPr>
          <w:sz w:val="24"/>
          <w:szCs w:val="24"/>
        </w:rPr>
        <w:t>f domestic bonds so as to leave</w:t>
      </w:r>
      <w:r w:rsidR="00A630D5" w:rsidRPr="00FE6187">
        <w:rPr>
          <w:sz w:val="24"/>
          <w:szCs w:val="24"/>
        </w:rPr>
        <w:t xml:space="preserve"> the monetary base unchanged, it was thought to have no effect.   The ineffectiveness of sterilized </w:t>
      </w:r>
      <w:r w:rsidR="004C7BE5" w:rsidRPr="00FE6187">
        <w:rPr>
          <w:sz w:val="24"/>
          <w:szCs w:val="24"/>
        </w:rPr>
        <w:t>intervention was</w:t>
      </w:r>
      <w:r w:rsidR="00A630D5" w:rsidRPr="00FE6187">
        <w:rPr>
          <w:sz w:val="24"/>
          <w:szCs w:val="24"/>
        </w:rPr>
        <w:t xml:space="preserve"> </w:t>
      </w:r>
      <w:r w:rsidR="00573318" w:rsidRPr="00FE6187">
        <w:rPr>
          <w:sz w:val="24"/>
          <w:szCs w:val="24"/>
        </w:rPr>
        <w:t xml:space="preserve">accepted not just among </w:t>
      </w:r>
      <w:r w:rsidR="00A630D5" w:rsidRPr="00FE6187">
        <w:rPr>
          <w:sz w:val="24"/>
          <w:szCs w:val="24"/>
        </w:rPr>
        <w:t xml:space="preserve">most </w:t>
      </w:r>
      <w:r w:rsidR="00573318" w:rsidRPr="00FE6187">
        <w:rPr>
          <w:sz w:val="24"/>
          <w:szCs w:val="24"/>
        </w:rPr>
        <w:t>academics but also amo</w:t>
      </w:r>
      <w:r w:rsidR="007555F8" w:rsidRPr="00FE6187">
        <w:rPr>
          <w:sz w:val="24"/>
          <w:szCs w:val="24"/>
        </w:rPr>
        <w:t>ng many central bankers.</w:t>
      </w:r>
      <w:r w:rsidR="007555F8">
        <w:rPr>
          <w:rStyle w:val="FootnoteReference"/>
          <w:sz w:val="24"/>
          <w:szCs w:val="24"/>
        </w:rPr>
        <w:footnoteReference w:id="8"/>
      </w:r>
    </w:p>
    <w:p w14:paraId="1E6E523B" w14:textId="77777777" w:rsidR="008E32AD" w:rsidRPr="00FE6187" w:rsidRDefault="00573318" w:rsidP="00BD3BD5">
      <w:pPr>
        <w:ind w:firstLine="720"/>
        <w:rPr>
          <w:sz w:val="24"/>
          <w:szCs w:val="24"/>
        </w:rPr>
      </w:pPr>
      <w:r w:rsidRPr="00FE6187">
        <w:rPr>
          <w:sz w:val="24"/>
          <w:szCs w:val="24"/>
        </w:rPr>
        <w:t xml:space="preserve">There have long been good arguments on the other side of the debate, </w:t>
      </w:r>
      <w:r w:rsidR="00475A03" w:rsidRPr="00FE6187">
        <w:rPr>
          <w:sz w:val="24"/>
          <w:szCs w:val="24"/>
        </w:rPr>
        <w:t>including</w:t>
      </w:r>
      <w:r w:rsidR="00CD3B56">
        <w:rPr>
          <w:sz w:val="24"/>
          <w:szCs w:val="24"/>
        </w:rPr>
        <w:t xml:space="preserve"> theories, </w:t>
      </w:r>
      <w:r w:rsidR="00150710" w:rsidRPr="00FE6187">
        <w:rPr>
          <w:sz w:val="24"/>
          <w:szCs w:val="24"/>
        </w:rPr>
        <w:t>going back to portfolio balance</w:t>
      </w:r>
      <w:r w:rsidRPr="00FE6187">
        <w:rPr>
          <w:sz w:val="24"/>
          <w:szCs w:val="24"/>
        </w:rPr>
        <w:t xml:space="preserve"> models</w:t>
      </w:r>
      <w:r w:rsidR="00BD3BD5">
        <w:rPr>
          <w:sz w:val="24"/>
          <w:szCs w:val="24"/>
        </w:rPr>
        <w:t>,</w:t>
      </w:r>
      <w:r w:rsidRPr="00FE6187">
        <w:rPr>
          <w:sz w:val="24"/>
          <w:szCs w:val="24"/>
        </w:rPr>
        <w:t xml:space="preserve"> a</w:t>
      </w:r>
      <w:r w:rsidR="00475A03" w:rsidRPr="00FE6187">
        <w:rPr>
          <w:sz w:val="24"/>
          <w:szCs w:val="24"/>
        </w:rPr>
        <w:t>s well as</w:t>
      </w:r>
      <w:r w:rsidRPr="00FE6187">
        <w:rPr>
          <w:sz w:val="24"/>
          <w:szCs w:val="24"/>
        </w:rPr>
        <w:t xml:space="preserve"> empirical results</w:t>
      </w:r>
      <w:r w:rsidR="00B501D5">
        <w:rPr>
          <w:sz w:val="24"/>
          <w:szCs w:val="24"/>
        </w:rPr>
        <w:t>.</w:t>
      </w:r>
      <w:r w:rsidR="00D132A1">
        <w:rPr>
          <w:rStyle w:val="FootnoteReference"/>
          <w:sz w:val="24"/>
          <w:szCs w:val="24"/>
        </w:rPr>
        <w:footnoteReference w:id="9"/>
      </w:r>
      <w:r w:rsidR="00475A03" w:rsidRPr="00FE6187">
        <w:rPr>
          <w:sz w:val="24"/>
          <w:szCs w:val="24"/>
        </w:rPr>
        <w:t xml:space="preserve"> </w:t>
      </w:r>
      <w:r w:rsidR="00B501D5">
        <w:rPr>
          <w:sz w:val="24"/>
          <w:szCs w:val="24"/>
        </w:rPr>
        <w:t xml:space="preserve">  F</w:t>
      </w:r>
      <w:r w:rsidRPr="00FE6187">
        <w:rPr>
          <w:sz w:val="24"/>
          <w:szCs w:val="24"/>
        </w:rPr>
        <w:t>oreign exchange intervention could be effective regardless whether</w:t>
      </w:r>
      <w:r w:rsidR="00150710" w:rsidRPr="00FE6187">
        <w:rPr>
          <w:sz w:val="24"/>
          <w:szCs w:val="24"/>
        </w:rPr>
        <w:t xml:space="preserve"> it changed the monetary base.</w:t>
      </w:r>
      <w:r w:rsidR="00D132A1">
        <w:rPr>
          <w:rStyle w:val="FootnoteReference"/>
          <w:sz w:val="24"/>
          <w:szCs w:val="24"/>
        </w:rPr>
        <w:footnoteReference w:id="10"/>
      </w:r>
      <w:r w:rsidR="00150710" w:rsidRPr="00FE6187">
        <w:rPr>
          <w:sz w:val="24"/>
          <w:szCs w:val="24"/>
        </w:rPr>
        <w:t xml:space="preserve"> </w:t>
      </w:r>
    </w:p>
    <w:p w14:paraId="09557116" w14:textId="77777777" w:rsidR="00765A68" w:rsidRDefault="00112548" w:rsidP="00EC2DA8">
      <w:pPr>
        <w:ind w:firstLine="720"/>
        <w:rPr>
          <w:sz w:val="24"/>
          <w:szCs w:val="24"/>
        </w:rPr>
      </w:pPr>
      <w:r>
        <w:rPr>
          <w:sz w:val="24"/>
          <w:szCs w:val="24"/>
        </w:rPr>
        <w:lastRenderedPageBreak/>
        <w:t>G</w:t>
      </w:r>
      <w:r w:rsidRPr="00FE6187">
        <w:rPr>
          <w:sz w:val="24"/>
          <w:szCs w:val="24"/>
        </w:rPr>
        <w:t>iven experience since the 2008 global financial crisis</w:t>
      </w:r>
      <w:r>
        <w:rPr>
          <w:sz w:val="24"/>
          <w:szCs w:val="24"/>
        </w:rPr>
        <w:t>, i</w:t>
      </w:r>
      <w:r w:rsidR="00573318" w:rsidRPr="00FE6187">
        <w:rPr>
          <w:sz w:val="24"/>
          <w:szCs w:val="24"/>
        </w:rPr>
        <w:t xml:space="preserve">t is </w:t>
      </w:r>
      <w:r w:rsidR="00613BAF">
        <w:rPr>
          <w:sz w:val="24"/>
          <w:szCs w:val="24"/>
        </w:rPr>
        <w:t xml:space="preserve">perhaps puzzling that </w:t>
      </w:r>
      <w:r w:rsidR="00016D73" w:rsidRPr="00FE6187">
        <w:rPr>
          <w:sz w:val="24"/>
          <w:szCs w:val="24"/>
        </w:rPr>
        <w:t xml:space="preserve">sterilized intervention </w:t>
      </w:r>
      <w:r w:rsidR="0044574C">
        <w:rPr>
          <w:sz w:val="24"/>
          <w:szCs w:val="24"/>
        </w:rPr>
        <w:t xml:space="preserve">is still </w:t>
      </w:r>
      <w:r w:rsidR="004474C5" w:rsidRPr="00FE6187">
        <w:rPr>
          <w:sz w:val="24"/>
          <w:szCs w:val="24"/>
        </w:rPr>
        <w:t>often presumed ineffective</w:t>
      </w:r>
      <w:r w:rsidR="00016D73" w:rsidRPr="00FE6187">
        <w:rPr>
          <w:sz w:val="24"/>
          <w:szCs w:val="24"/>
        </w:rPr>
        <w:t>.  Among advanced countries that experience includes</w:t>
      </w:r>
      <w:r w:rsidR="008E32AD" w:rsidRPr="00FE6187">
        <w:rPr>
          <w:sz w:val="24"/>
          <w:szCs w:val="24"/>
        </w:rPr>
        <w:t>:</w:t>
      </w:r>
      <w:r w:rsidR="00016D73" w:rsidRPr="00FE6187">
        <w:rPr>
          <w:sz w:val="24"/>
          <w:szCs w:val="24"/>
        </w:rPr>
        <w:t xml:space="preserve">  quantitative easing, where the</w:t>
      </w:r>
      <w:r w:rsidR="00B36E56" w:rsidRPr="00FE6187">
        <w:rPr>
          <w:sz w:val="24"/>
          <w:szCs w:val="24"/>
        </w:rPr>
        <w:t xml:space="preserve"> composition of assets underlying a given monetary base is thought to make a difference; a surprising relapse to imperfect international integration of financial markets illustrated by a new failure of covered interest parity</w:t>
      </w:r>
      <w:r w:rsidR="00A630D5" w:rsidRPr="00FE6187">
        <w:rPr>
          <w:sz w:val="24"/>
          <w:szCs w:val="24"/>
        </w:rPr>
        <w:t xml:space="preserve">, let alone uncovered interest parity; </w:t>
      </w:r>
      <w:r w:rsidR="00B36E56" w:rsidRPr="00FE6187">
        <w:rPr>
          <w:sz w:val="24"/>
          <w:szCs w:val="24"/>
        </w:rPr>
        <w:t>a reversal in the previous trend of</w:t>
      </w:r>
      <w:r w:rsidR="00765A68">
        <w:rPr>
          <w:sz w:val="24"/>
          <w:szCs w:val="24"/>
        </w:rPr>
        <w:t xml:space="preserve"> diminishing home bias</w:t>
      </w:r>
      <w:r w:rsidR="00B36E56" w:rsidRPr="00FE6187">
        <w:rPr>
          <w:sz w:val="24"/>
          <w:szCs w:val="24"/>
        </w:rPr>
        <w:t xml:space="preserve">; and the unexpected loss of </w:t>
      </w:r>
      <w:r w:rsidR="00A630D5" w:rsidRPr="00FE6187">
        <w:rPr>
          <w:sz w:val="24"/>
          <w:szCs w:val="24"/>
        </w:rPr>
        <w:t xml:space="preserve">full creditworthiness represented by </w:t>
      </w:r>
      <w:r w:rsidR="00B36E56" w:rsidRPr="00FE6187">
        <w:rPr>
          <w:sz w:val="24"/>
          <w:szCs w:val="24"/>
        </w:rPr>
        <w:t xml:space="preserve">triple-A ratings by the US and some other major high-income </w:t>
      </w:r>
      <w:r w:rsidR="00A630D5" w:rsidRPr="00FE6187">
        <w:rPr>
          <w:sz w:val="24"/>
          <w:szCs w:val="24"/>
        </w:rPr>
        <w:t>(</w:t>
      </w:r>
      <w:r w:rsidR="00B36E56" w:rsidRPr="00FE6187">
        <w:rPr>
          <w:sz w:val="24"/>
          <w:szCs w:val="24"/>
        </w:rPr>
        <w:t>but high-debt</w:t>
      </w:r>
      <w:r w:rsidR="00A630D5" w:rsidRPr="00FE6187">
        <w:rPr>
          <w:sz w:val="24"/>
          <w:szCs w:val="24"/>
        </w:rPr>
        <w:t>)</w:t>
      </w:r>
      <w:r w:rsidR="00B36E56" w:rsidRPr="00FE6187">
        <w:rPr>
          <w:sz w:val="24"/>
          <w:szCs w:val="24"/>
        </w:rPr>
        <w:t xml:space="preserve"> countries.</w:t>
      </w:r>
      <w:r w:rsidR="008E32AD" w:rsidRPr="00FE6187">
        <w:rPr>
          <w:sz w:val="24"/>
          <w:szCs w:val="24"/>
        </w:rPr>
        <w:t xml:space="preserve">  More than </w:t>
      </w:r>
      <w:r w:rsidR="00EC2DA8">
        <w:rPr>
          <w:sz w:val="24"/>
          <w:szCs w:val="24"/>
        </w:rPr>
        <w:t xml:space="preserve">just </w:t>
      </w:r>
      <w:r w:rsidR="008E32AD" w:rsidRPr="00FE6187">
        <w:rPr>
          <w:sz w:val="24"/>
          <w:szCs w:val="24"/>
        </w:rPr>
        <w:t>money matters.</w:t>
      </w:r>
    </w:p>
    <w:p w14:paraId="2DE00FB1" w14:textId="0672F170" w:rsidR="00765A68" w:rsidRDefault="008E32AD" w:rsidP="00765A68">
      <w:pPr>
        <w:ind w:firstLine="720"/>
        <w:rPr>
          <w:sz w:val="24"/>
          <w:szCs w:val="24"/>
        </w:rPr>
      </w:pPr>
      <w:r w:rsidRPr="00FE6187">
        <w:rPr>
          <w:sz w:val="24"/>
          <w:szCs w:val="24"/>
        </w:rPr>
        <w:t>In any case</w:t>
      </w:r>
      <w:r w:rsidR="00A630D5" w:rsidRPr="00FE6187">
        <w:rPr>
          <w:sz w:val="24"/>
          <w:szCs w:val="24"/>
        </w:rPr>
        <w:t xml:space="preserve">, </w:t>
      </w:r>
      <w:r w:rsidR="00A973ED" w:rsidRPr="00FE6187">
        <w:rPr>
          <w:sz w:val="24"/>
          <w:szCs w:val="24"/>
        </w:rPr>
        <w:t xml:space="preserve">if one considers the effectiveness of intervention and managed floating these days, one is usually looking at Emerging Markets, since far more of them are managed floaters than was the case </w:t>
      </w:r>
      <w:r w:rsidR="00765A68">
        <w:rPr>
          <w:sz w:val="24"/>
          <w:szCs w:val="24"/>
        </w:rPr>
        <w:t xml:space="preserve">before the turn of the century, </w:t>
      </w:r>
      <w:r w:rsidR="00A973ED" w:rsidRPr="00FE6187">
        <w:rPr>
          <w:sz w:val="24"/>
          <w:szCs w:val="24"/>
        </w:rPr>
        <w:t xml:space="preserve">when they </w:t>
      </w:r>
      <w:r w:rsidR="00765A68">
        <w:rPr>
          <w:sz w:val="24"/>
          <w:szCs w:val="24"/>
        </w:rPr>
        <w:t>targeted exchange rates</w:t>
      </w:r>
      <w:r w:rsidR="00A973ED" w:rsidRPr="00FE6187">
        <w:rPr>
          <w:sz w:val="24"/>
          <w:szCs w:val="24"/>
        </w:rPr>
        <w:t>, while the largest industrialized countries have recently ceased foreign excha</w:t>
      </w:r>
      <w:r w:rsidRPr="00FE6187">
        <w:rPr>
          <w:sz w:val="24"/>
          <w:szCs w:val="24"/>
        </w:rPr>
        <w:t>nge intervention altogether</w:t>
      </w:r>
      <w:r w:rsidR="00A973ED" w:rsidRPr="00FE6187">
        <w:rPr>
          <w:sz w:val="24"/>
          <w:szCs w:val="24"/>
        </w:rPr>
        <w:t>.</w:t>
      </w:r>
      <w:r>
        <w:rPr>
          <w:rStyle w:val="FootnoteReference"/>
          <w:sz w:val="24"/>
          <w:szCs w:val="24"/>
        </w:rPr>
        <w:footnoteReference w:id="11"/>
      </w:r>
      <w:r w:rsidR="00A973ED" w:rsidRPr="00FE6187">
        <w:rPr>
          <w:sz w:val="24"/>
          <w:szCs w:val="24"/>
        </w:rPr>
        <w:t xml:space="preserve">   Among Emerging Market cou</w:t>
      </w:r>
      <w:r w:rsidR="00CD3B56">
        <w:rPr>
          <w:sz w:val="24"/>
          <w:szCs w:val="24"/>
        </w:rPr>
        <w:t xml:space="preserve">ntries the failure of </w:t>
      </w:r>
      <w:r w:rsidR="00A973ED" w:rsidRPr="00FE6187">
        <w:rPr>
          <w:sz w:val="24"/>
          <w:szCs w:val="24"/>
        </w:rPr>
        <w:t xml:space="preserve">interest parity and the </w:t>
      </w:r>
      <w:r w:rsidR="004474C5" w:rsidRPr="00FE6187">
        <w:rPr>
          <w:sz w:val="24"/>
          <w:szCs w:val="24"/>
        </w:rPr>
        <w:t xml:space="preserve">impact </w:t>
      </w:r>
      <w:r w:rsidR="00A973ED" w:rsidRPr="00FE6187">
        <w:rPr>
          <w:sz w:val="24"/>
          <w:szCs w:val="24"/>
        </w:rPr>
        <w:t xml:space="preserve">of outstanding stocks of government debt are nothing new.  </w:t>
      </w:r>
      <w:r w:rsidR="00A973ED" w:rsidRPr="000B0630">
        <w:rPr>
          <w:sz w:val="24"/>
          <w:szCs w:val="24"/>
        </w:rPr>
        <w:t>Hence the notion that</w:t>
      </w:r>
      <w:r w:rsidR="00CD3B56" w:rsidRPr="000B0630">
        <w:rPr>
          <w:sz w:val="24"/>
          <w:szCs w:val="24"/>
        </w:rPr>
        <w:t xml:space="preserve"> sterilized</w:t>
      </w:r>
      <w:r w:rsidR="000B0630" w:rsidRPr="000B0630">
        <w:rPr>
          <w:sz w:val="24"/>
          <w:szCs w:val="24"/>
        </w:rPr>
        <w:t xml:space="preserve"> intervention can have effects </w:t>
      </w:r>
      <w:r w:rsidR="00A973ED" w:rsidRPr="000B0630">
        <w:rPr>
          <w:sz w:val="24"/>
          <w:szCs w:val="24"/>
        </w:rPr>
        <w:t>comes more naturally</w:t>
      </w:r>
      <w:r w:rsidR="004474C5" w:rsidRPr="000B0630">
        <w:rPr>
          <w:sz w:val="24"/>
          <w:szCs w:val="24"/>
        </w:rPr>
        <w:t xml:space="preserve"> in the case of </w:t>
      </w:r>
      <w:commentRangeStart w:id="0"/>
      <w:r w:rsidR="004474C5" w:rsidRPr="000B0630">
        <w:rPr>
          <w:sz w:val="24"/>
          <w:szCs w:val="24"/>
        </w:rPr>
        <w:t>EMs</w:t>
      </w:r>
      <w:commentRangeEnd w:id="0"/>
      <w:r w:rsidR="00BA3AC9" w:rsidRPr="000B0630">
        <w:rPr>
          <w:rStyle w:val="CommentReference"/>
        </w:rPr>
        <w:commentReference w:id="0"/>
      </w:r>
      <w:r w:rsidR="00A973ED" w:rsidRPr="000B0630">
        <w:rPr>
          <w:sz w:val="24"/>
          <w:szCs w:val="24"/>
        </w:rPr>
        <w:t>.</w:t>
      </w:r>
      <w:r w:rsidR="00765A68">
        <w:rPr>
          <w:sz w:val="24"/>
          <w:szCs w:val="24"/>
        </w:rPr>
        <w:t xml:space="preserve"> </w:t>
      </w:r>
    </w:p>
    <w:p w14:paraId="07C6C3B5" w14:textId="77777777" w:rsidR="00882489" w:rsidRPr="00FE6187" w:rsidRDefault="00050EC4" w:rsidP="00765A68">
      <w:pPr>
        <w:ind w:firstLine="720"/>
        <w:rPr>
          <w:sz w:val="24"/>
          <w:szCs w:val="24"/>
        </w:rPr>
      </w:pPr>
      <w:r>
        <w:rPr>
          <w:rFonts w:cs="Arial"/>
          <w:color w:val="222222"/>
          <w:sz w:val="24"/>
          <w:szCs w:val="24"/>
          <w:shd w:val="clear" w:color="auto" w:fill="FFFFFF"/>
        </w:rPr>
        <w:t>O</w:t>
      </w:r>
      <w:r w:rsidR="009A3629" w:rsidRPr="00FE6187">
        <w:rPr>
          <w:rFonts w:cs="Arial"/>
          <w:color w:val="222222"/>
          <w:sz w:val="24"/>
          <w:szCs w:val="24"/>
          <w:shd w:val="clear" w:color="auto" w:fill="FFFFFF"/>
        </w:rPr>
        <w:t>f</w:t>
      </w:r>
      <w:r>
        <w:rPr>
          <w:rFonts w:cs="Arial"/>
          <w:color w:val="222222"/>
          <w:sz w:val="24"/>
          <w:szCs w:val="24"/>
          <w:shd w:val="clear" w:color="auto" w:fill="FFFFFF"/>
        </w:rPr>
        <w:t xml:space="preserve"> the</w:t>
      </w:r>
      <w:r w:rsidR="009A3629" w:rsidRPr="00FE6187">
        <w:rPr>
          <w:rFonts w:cs="Arial"/>
          <w:color w:val="222222"/>
          <w:sz w:val="24"/>
          <w:szCs w:val="24"/>
          <w:shd w:val="clear" w:color="auto" w:fill="FFFFFF"/>
        </w:rPr>
        <w:t xml:space="preserve"> re</w:t>
      </w:r>
      <w:r w:rsidR="004474C5" w:rsidRPr="00FE6187">
        <w:rPr>
          <w:rFonts w:cs="Arial"/>
          <w:color w:val="222222"/>
          <w:sz w:val="24"/>
          <w:szCs w:val="24"/>
          <w:shd w:val="clear" w:color="auto" w:fill="FFFFFF"/>
        </w:rPr>
        <w:t>cent studies of foreign exchange intervention in EM currencies,</w:t>
      </w:r>
      <w:r>
        <w:rPr>
          <w:rFonts w:cs="Arial"/>
          <w:color w:val="222222"/>
          <w:sz w:val="24"/>
          <w:szCs w:val="24"/>
          <w:shd w:val="clear" w:color="auto" w:fill="FFFFFF"/>
        </w:rPr>
        <w:t xml:space="preserve"> </w:t>
      </w:r>
      <w:r w:rsidR="009A3629" w:rsidRPr="00FE6187">
        <w:rPr>
          <w:rFonts w:cs="Arial"/>
          <w:color w:val="222222"/>
          <w:sz w:val="24"/>
          <w:szCs w:val="24"/>
          <w:shd w:val="clear" w:color="auto" w:fill="FFFFFF"/>
        </w:rPr>
        <w:t>most focus on just one or two countries.</w:t>
      </w:r>
      <w:r w:rsidR="009A3629">
        <w:rPr>
          <w:rStyle w:val="FootnoteReference"/>
          <w:rFonts w:cs="Arial"/>
          <w:color w:val="222222"/>
          <w:sz w:val="24"/>
          <w:szCs w:val="24"/>
          <w:shd w:val="clear" w:color="auto" w:fill="FFFFFF"/>
        </w:rPr>
        <w:footnoteReference w:id="12"/>
      </w:r>
      <w:r w:rsidR="009A3629" w:rsidRPr="00FE6187">
        <w:rPr>
          <w:rFonts w:cs="Arial"/>
          <w:color w:val="222222"/>
          <w:sz w:val="24"/>
          <w:szCs w:val="24"/>
          <w:shd w:val="clear" w:color="auto" w:fill="FFFFFF"/>
        </w:rPr>
        <w:t xml:space="preserve">  </w:t>
      </w:r>
      <w:r w:rsidR="004474C5" w:rsidRPr="00FE6187">
        <w:rPr>
          <w:rFonts w:cs="Arial"/>
          <w:color w:val="222222"/>
          <w:sz w:val="24"/>
          <w:szCs w:val="24"/>
          <w:shd w:val="clear" w:color="auto" w:fill="FFFFFF"/>
        </w:rPr>
        <w:t xml:space="preserve"> Fratzscher, Glo</w:t>
      </w:r>
      <w:r w:rsidR="009A3629" w:rsidRPr="00FE6187">
        <w:rPr>
          <w:rFonts w:cs="Arial"/>
          <w:color w:val="222222"/>
          <w:sz w:val="24"/>
          <w:szCs w:val="24"/>
          <w:shd w:val="clear" w:color="auto" w:fill="FFFFFF"/>
        </w:rPr>
        <w:t>ede, Menkhoff, Sarno, and Stöhr</w:t>
      </w:r>
      <w:r w:rsidR="004474C5" w:rsidRPr="00FE6187">
        <w:rPr>
          <w:rFonts w:cs="Arial"/>
          <w:color w:val="222222"/>
          <w:sz w:val="24"/>
          <w:szCs w:val="24"/>
          <w:shd w:val="clear" w:color="auto" w:fill="FFFFFF"/>
        </w:rPr>
        <w:t xml:space="preserve"> (2016) </w:t>
      </w:r>
      <w:r w:rsidR="009A3629" w:rsidRPr="00FE6187">
        <w:rPr>
          <w:rFonts w:cs="Arial"/>
          <w:color w:val="222222"/>
          <w:sz w:val="24"/>
          <w:szCs w:val="24"/>
          <w:shd w:val="clear" w:color="auto" w:fill="FFFFFF"/>
        </w:rPr>
        <w:t>manages to marshal</w:t>
      </w:r>
      <w:r w:rsidR="004474C5" w:rsidRPr="00FE6187">
        <w:rPr>
          <w:rFonts w:cs="Arial"/>
          <w:color w:val="222222"/>
          <w:sz w:val="24"/>
          <w:szCs w:val="24"/>
          <w:shd w:val="clear" w:color="auto" w:fill="FFFFFF"/>
        </w:rPr>
        <w:t xml:space="preserve"> data from an impressive sample of 33 countries.  Its conclusions are broadly similar to those regarding intervention</w:t>
      </w:r>
      <w:r w:rsidR="00765A68">
        <w:rPr>
          <w:rFonts w:cs="Arial"/>
          <w:color w:val="222222"/>
          <w:sz w:val="24"/>
          <w:szCs w:val="24"/>
          <w:shd w:val="clear" w:color="auto" w:fill="FFFFFF"/>
        </w:rPr>
        <w:t xml:space="preserve"> by major central banks</w:t>
      </w:r>
      <w:r w:rsidR="004474C5" w:rsidRPr="00FE6187">
        <w:rPr>
          <w:rFonts w:cs="Arial"/>
          <w:color w:val="222222"/>
          <w:sz w:val="24"/>
          <w:szCs w:val="24"/>
          <w:shd w:val="clear" w:color="auto" w:fill="FFFFFF"/>
        </w:rPr>
        <w:t xml:space="preserve"> in an earlier era.  First, intervent</w:t>
      </w:r>
      <w:r w:rsidR="00765A68">
        <w:rPr>
          <w:rFonts w:cs="Arial"/>
          <w:color w:val="222222"/>
          <w:sz w:val="24"/>
          <w:szCs w:val="24"/>
          <w:shd w:val="clear" w:color="auto" w:fill="FFFFFF"/>
        </w:rPr>
        <w:t>ion can be effective.</w:t>
      </w:r>
      <w:r w:rsidR="004474C5" w:rsidRPr="00FE6187">
        <w:rPr>
          <w:rFonts w:cs="Arial"/>
          <w:color w:val="222222"/>
          <w:sz w:val="24"/>
          <w:szCs w:val="24"/>
          <w:shd w:val="clear" w:color="auto" w:fill="FFFFFF"/>
        </w:rPr>
        <w:t xml:space="preserve">  Second it tends to be more effective when seeking to move the exchange rate in the direction of longer-term equilibrium.   Third, operations are more likely to be effective when orally communicated.</w:t>
      </w:r>
    </w:p>
    <w:p w14:paraId="6F4EB863" w14:textId="77777777" w:rsidR="004474C5" w:rsidRDefault="004474C5" w:rsidP="00A630D5">
      <w:pPr>
        <w:pStyle w:val="ListParagraph"/>
        <w:ind w:left="1440"/>
        <w:rPr>
          <w:sz w:val="24"/>
          <w:szCs w:val="24"/>
        </w:rPr>
      </w:pPr>
    </w:p>
    <w:p w14:paraId="3A04B2AA" w14:textId="77777777" w:rsidR="00FE6187" w:rsidRPr="008A3819" w:rsidRDefault="00FE6187" w:rsidP="008E32AD">
      <w:pPr>
        <w:pStyle w:val="ListParagraph"/>
        <w:numPr>
          <w:ilvl w:val="1"/>
          <w:numId w:val="1"/>
        </w:numPr>
        <w:rPr>
          <w:b/>
          <w:sz w:val="24"/>
          <w:szCs w:val="24"/>
        </w:rPr>
      </w:pPr>
      <w:r w:rsidRPr="008A3819">
        <w:rPr>
          <w:b/>
          <w:sz w:val="24"/>
          <w:szCs w:val="24"/>
        </w:rPr>
        <w:t>Exchange rate disconnect</w:t>
      </w:r>
      <w:r w:rsidR="008F381D" w:rsidRPr="008A3819">
        <w:rPr>
          <w:b/>
          <w:sz w:val="24"/>
          <w:szCs w:val="24"/>
        </w:rPr>
        <w:t xml:space="preserve"> </w:t>
      </w:r>
    </w:p>
    <w:p w14:paraId="6146F19B" w14:textId="77777777" w:rsidR="0042142F" w:rsidRDefault="00E7380C" w:rsidP="00FD5943">
      <w:pPr>
        <w:ind w:firstLine="360"/>
        <w:rPr>
          <w:sz w:val="24"/>
          <w:szCs w:val="24"/>
        </w:rPr>
      </w:pPr>
      <w:r>
        <w:rPr>
          <w:sz w:val="24"/>
          <w:szCs w:val="24"/>
        </w:rPr>
        <w:t>The fourth challenge to the conventional view is the “e</w:t>
      </w:r>
      <w:r w:rsidR="00FE6187">
        <w:rPr>
          <w:sz w:val="24"/>
          <w:szCs w:val="24"/>
        </w:rPr>
        <w:t>xchange rate disconnect</w:t>
      </w:r>
      <w:r>
        <w:rPr>
          <w:sz w:val="24"/>
          <w:szCs w:val="24"/>
        </w:rPr>
        <w:t>,</w:t>
      </w:r>
      <w:r w:rsidR="00FE6187">
        <w:rPr>
          <w:sz w:val="24"/>
          <w:szCs w:val="24"/>
        </w:rPr>
        <w:t xml:space="preserve">” </w:t>
      </w:r>
      <w:r>
        <w:rPr>
          <w:sz w:val="24"/>
          <w:szCs w:val="24"/>
        </w:rPr>
        <w:t xml:space="preserve">which </w:t>
      </w:r>
      <w:r w:rsidR="008F381D" w:rsidRPr="00FE6187">
        <w:rPr>
          <w:sz w:val="24"/>
          <w:szCs w:val="24"/>
        </w:rPr>
        <w:t>says that the nominal exchange rate has no implications for real economic factors such as the real exchange rate, trade, or output</w:t>
      </w:r>
      <w:r w:rsidR="00F031A3">
        <w:rPr>
          <w:sz w:val="24"/>
          <w:szCs w:val="24"/>
        </w:rPr>
        <w:t>.</w:t>
      </w:r>
      <w:r>
        <w:rPr>
          <w:sz w:val="24"/>
          <w:szCs w:val="24"/>
        </w:rPr>
        <w:t xml:space="preserve">  </w:t>
      </w:r>
      <w:r w:rsidRPr="00FE6187">
        <w:rPr>
          <w:sz w:val="24"/>
          <w:szCs w:val="24"/>
        </w:rPr>
        <w:t xml:space="preserve">This covers a broad range of papers, from empirical studies </w:t>
      </w:r>
      <w:r>
        <w:rPr>
          <w:sz w:val="24"/>
          <w:szCs w:val="24"/>
        </w:rPr>
        <w:t xml:space="preserve">to theoretical models.  The empirical studies </w:t>
      </w:r>
      <w:r w:rsidRPr="00FE6187">
        <w:rPr>
          <w:sz w:val="24"/>
          <w:szCs w:val="24"/>
        </w:rPr>
        <w:t xml:space="preserve">fail to find correlations between nominal exchange </w:t>
      </w:r>
      <w:r w:rsidRPr="00FE6187">
        <w:rPr>
          <w:sz w:val="24"/>
          <w:szCs w:val="24"/>
        </w:rPr>
        <w:lastRenderedPageBreak/>
        <w:t>rates and real variables</w:t>
      </w:r>
      <w:r>
        <w:rPr>
          <w:sz w:val="24"/>
          <w:szCs w:val="24"/>
        </w:rPr>
        <w:t>.</w:t>
      </w:r>
      <w:r w:rsidR="008E22F7">
        <w:rPr>
          <w:rStyle w:val="FootnoteReference"/>
          <w:sz w:val="24"/>
          <w:szCs w:val="24"/>
        </w:rPr>
        <w:footnoteReference w:id="13"/>
      </w:r>
      <w:r>
        <w:rPr>
          <w:sz w:val="24"/>
          <w:szCs w:val="24"/>
        </w:rPr>
        <w:t xml:space="preserve">  </w:t>
      </w:r>
      <w:r w:rsidR="00F031A3">
        <w:rPr>
          <w:sz w:val="24"/>
          <w:szCs w:val="24"/>
        </w:rPr>
        <w:t>The t</w:t>
      </w:r>
      <w:r w:rsidR="008F381D" w:rsidRPr="00FE6187">
        <w:rPr>
          <w:sz w:val="24"/>
          <w:szCs w:val="24"/>
        </w:rPr>
        <w:t>heoretical models</w:t>
      </w:r>
      <w:r w:rsidR="00D87786" w:rsidRPr="00FE6187">
        <w:rPr>
          <w:sz w:val="24"/>
          <w:szCs w:val="24"/>
        </w:rPr>
        <w:t xml:space="preserve"> (including Real Business Cycle models)</w:t>
      </w:r>
      <w:r w:rsidR="008F381D" w:rsidRPr="00FE6187">
        <w:rPr>
          <w:sz w:val="24"/>
          <w:szCs w:val="24"/>
        </w:rPr>
        <w:t xml:space="preserve"> </w:t>
      </w:r>
      <w:r>
        <w:rPr>
          <w:sz w:val="24"/>
          <w:szCs w:val="24"/>
        </w:rPr>
        <w:t>have the property that</w:t>
      </w:r>
      <w:r w:rsidR="008F381D" w:rsidRPr="00FE6187">
        <w:rPr>
          <w:sz w:val="24"/>
          <w:szCs w:val="24"/>
        </w:rPr>
        <w:t xml:space="preserve"> shocks have the same effect on the real exchange rate regardless whether the currency floats, in which case the shock appears in the nominal exchange rate, or is fixed, in which case the same shock shows up in price levels instead.   The strong claim </w:t>
      </w:r>
      <w:r w:rsidR="00D87786" w:rsidRPr="00FE6187">
        <w:rPr>
          <w:sz w:val="24"/>
          <w:szCs w:val="24"/>
        </w:rPr>
        <w:t xml:space="preserve">in this case </w:t>
      </w:r>
      <w:r w:rsidR="008F381D" w:rsidRPr="00FE6187">
        <w:rPr>
          <w:sz w:val="24"/>
          <w:szCs w:val="24"/>
        </w:rPr>
        <w:t>is that it doesn’t matter whether foreign exchange intervention is sterilized or not, nor whether it affe</w:t>
      </w:r>
      <w:r w:rsidR="00D219CC">
        <w:rPr>
          <w:sz w:val="24"/>
          <w:szCs w:val="24"/>
        </w:rPr>
        <w:t>cts the nominal exchange rate or</w:t>
      </w:r>
      <w:r w:rsidR="008F381D" w:rsidRPr="00FE6187">
        <w:rPr>
          <w:sz w:val="24"/>
          <w:szCs w:val="24"/>
        </w:rPr>
        <w:t xml:space="preserve"> not:  the same real exchange rate emerges regardless.</w:t>
      </w:r>
      <w:r w:rsidR="007A17D3" w:rsidRPr="00FE6187">
        <w:rPr>
          <w:sz w:val="24"/>
          <w:szCs w:val="24"/>
        </w:rPr>
        <w:t xml:space="preserve">  </w:t>
      </w:r>
      <w:r w:rsidR="007A17D3" w:rsidRPr="008E22F7">
        <w:t xml:space="preserve"> </w:t>
      </w:r>
    </w:p>
    <w:p w14:paraId="79AFBCF1" w14:textId="77777777" w:rsidR="0042142F" w:rsidRPr="002B195B" w:rsidRDefault="0042142F" w:rsidP="002B195B">
      <w:pPr>
        <w:rPr>
          <w:sz w:val="24"/>
          <w:szCs w:val="24"/>
        </w:rPr>
      </w:pPr>
    </w:p>
    <w:p w14:paraId="65F0707F" w14:textId="77777777" w:rsidR="000D69A3" w:rsidRPr="009B3044" w:rsidRDefault="002B195B" w:rsidP="002B195B">
      <w:pPr>
        <w:pStyle w:val="ListParagraph"/>
        <w:numPr>
          <w:ilvl w:val="0"/>
          <w:numId w:val="1"/>
        </w:numPr>
        <w:rPr>
          <w:b/>
          <w:sz w:val="24"/>
          <w:szCs w:val="24"/>
        </w:rPr>
      </w:pPr>
      <w:r w:rsidRPr="009B3044">
        <w:rPr>
          <w:b/>
          <w:sz w:val="24"/>
          <w:szCs w:val="24"/>
        </w:rPr>
        <w:t>What countries actually do</w:t>
      </w:r>
    </w:p>
    <w:p w14:paraId="54189738" w14:textId="77777777" w:rsidR="002B195B" w:rsidRPr="000D69A3" w:rsidRDefault="00D219CC" w:rsidP="000D69A3">
      <w:pPr>
        <w:ind w:firstLine="360"/>
        <w:rPr>
          <w:sz w:val="24"/>
          <w:szCs w:val="24"/>
        </w:rPr>
      </w:pPr>
      <w:r w:rsidRPr="000D69A3">
        <w:rPr>
          <w:sz w:val="24"/>
          <w:szCs w:val="24"/>
        </w:rPr>
        <w:t>This section of the paper</w:t>
      </w:r>
      <w:r w:rsidR="000D69A3" w:rsidRPr="000D69A3">
        <w:rPr>
          <w:sz w:val="24"/>
          <w:szCs w:val="24"/>
        </w:rPr>
        <w:t xml:space="preserve"> considers the exchange rate regimes that countries follow.  Our empirical</w:t>
      </w:r>
      <w:r w:rsidR="00137CE2">
        <w:rPr>
          <w:sz w:val="24"/>
          <w:szCs w:val="24"/>
        </w:rPr>
        <w:t xml:space="preserve"> focus</w:t>
      </w:r>
      <w:r w:rsidR="000D69A3">
        <w:rPr>
          <w:sz w:val="24"/>
          <w:szCs w:val="24"/>
        </w:rPr>
        <w:t xml:space="preserve"> will ultimately fall on three: firm fixing, free floating, and systematically-managed floating.</w:t>
      </w:r>
    </w:p>
    <w:p w14:paraId="4E6E2C70" w14:textId="77777777" w:rsidR="00D219CC" w:rsidRPr="003C0865" w:rsidRDefault="00D219CC" w:rsidP="00D219CC">
      <w:pPr>
        <w:pStyle w:val="ListParagraph"/>
        <w:rPr>
          <w:sz w:val="24"/>
          <w:szCs w:val="24"/>
        </w:rPr>
      </w:pPr>
    </w:p>
    <w:p w14:paraId="73ABB082" w14:textId="77777777" w:rsidR="00EC684C" w:rsidRPr="009B3044" w:rsidRDefault="002B195B" w:rsidP="00EC684C">
      <w:pPr>
        <w:pStyle w:val="ListParagraph"/>
        <w:numPr>
          <w:ilvl w:val="1"/>
          <w:numId w:val="1"/>
        </w:numPr>
        <w:rPr>
          <w:b/>
          <w:sz w:val="24"/>
          <w:szCs w:val="24"/>
        </w:rPr>
      </w:pPr>
      <w:r w:rsidRPr="009B3044">
        <w:rPr>
          <w:b/>
          <w:sz w:val="24"/>
          <w:szCs w:val="24"/>
        </w:rPr>
        <w:t>Classification systems</w:t>
      </w:r>
      <w:r w:rsidR="005228E0" w:rsidRPr="009B3044">
        <w:rPr>
          <w:b/>
          <w:sz w:val="24"/>
          <w:szCs w:val="24"/>
        </w:rPr>
        <w:t xml:space="preserve"> </w:t>
      </w:r>
      <w:r w:rsidR="0042142F">
        <w:rPr>
          <w:b/>
          <w:sz w:val="24"/>
          <w:szCs w:val="24"/>
        </w:rPr>
        <w:br/>
      </w:r>
    </w:p>
    <w:p w14:paraId="1C9F53AE" w14:textId="77777777" w:rsidR="00FE6187" w:rsidRDefault="00EC684C" w:rsidP="001A19B4">
      <w:pPr>
        <w:pStyle w:val="ListParagraph"/>
        <w:numPr>
          <w:ilvl w:val="2"/>
          <w:numId w:val="1"/>
        </w:numPr>
        <w:ind w:left="2880" w:hanging="900"/>
        <w:rPr>
          <w:sz w:val="24"/>
          <w:szCs w:val="24"/>
        </w:rPr>
      </w:pPr>
      <w:r>
        <w:rPr>
          <w:sz w:val="24"/>
          <w:szCs w:val="24"/>
        </w:rPr>
        <w:t>De facto vs. de jure</w:t>
      </w:r>
    </w:p>
    <w:p w14:paraId="2759F5C8" w14:textId="10D18F8D" w:rsidR="00381AA5" w:rsidRPr="00FE6187" w:rsidRDefault="001A19B4" w:rsidP="00C75794">
      <w:pPr>
        <w:ind w:firstLine="720"/>
        <w:rPr>
          <w:sz w:val="24"/>
          <w:szCs w:val="24"/>
        </w:rPr>
      </w:pPr>
      <w:r w:rsidRPr="00FE6187">
        <w:rPr>
          <w:sz w:val="24"/>
          <w:szCs w:val="24"/>
        </w:rPr>
        <w:t>It is well-established that de facto</w:t>
      </w:r>
      <w:r w:rsidR="008E22F7" w:rsidRPr="00FE6187">
        <w:rPr>
          <w:sz w:val="24"/>
          <w:szCs w:val="24"/>
        </w:rPr>
        <w:t xml:space="preserve"> </w:t>
      </w:r>
      <w:r w:rsidR="00C75794">
        <w:rPr>
          <w:sz w:val="24"/>
          <w:szCs w:val="24"/>
        </w:rPr>
        <w:t xml:space="preserve">regimes </w:t>
      </w:r>
      <w:r w:rsidR="008E22F7" w:rsidRPr="00FE6187">
        <w:rPr>
          <w:sz w:val="24"/>
          <w:szCs w:val="24"/>
        </w:rPr>
        <w:t>need not correspond to de jure</w:t>
      </w:r>
      <w:r w:rsidRPr="00FE6187">
        <w:rPr>
          <w:sz w:val="24"/>
          <w:szCs w:val="24"/>
        </w:rPr>
        <w:t>, that what a country does in practice often differs from what it says it does officially.  To take three cases:   countries that s</w:t>
      </w:r>
      <w:r w:rsidR="0081275F">
        <w:rPr>
          <w:sz w:val="24"/>
          <w:szCs w:val="24"/>
        </w:rPr>
        <w:t>ay they fix their exchange rate</w:t>
      </w:r>
      <w:r w:rsidRPr="00FE6187">
        <w:rPr>
          <w:sz w:val="24"/>
          <w:szCs w:val="24"/>
        </w:rPr>
        <w:t xml:space="preserve"> often in practice adjust it at the</w:t>
      </w:r>
      <w:r w:rsidR="00CE0CA3" w:rsidRPr="00FE6187">
        <w:rPr>
          <w:sz w:val="24"/>
          <w:szCs w:val="24"/>
        </w:rPr>
        <w:t xml:space="preserve"> first serious sign </w:t>
      </w:r>
      <w:r w:rsidR="00BA3AC9">
        <w:rPr>
          <w:sz w:val="24"/>
          <w:szCs w:val="24"/>
        </w:rPr>
        <w:t>of</w:t>
      </w:r>
      <w:r w:rsidR="00BA3AC9" w:rsidRPr="00FE6187">
        <w:rPr>
          <w:sz w:val="24"/>
          <w:szCs w:val="24"/>
        </w:rPr>
        <w:t xml:space="preserve"> </w:t>
      </w:r>
      <w:r w:rsidR="00CE0CA3" w:rsidRPr="00FE6187">
        <w:rPr>
          <w:sz w:val="24"/>
          <w:szCs w:val="24"/>
        </w:rPr>
        <w:t>trouble</w:t>
      </w:r>
      <w:r w:rsidR="00CE0CA3">
        <w:rPr>
          <w:rStyle w:val="FootnoteReference"/>
          <w:sz w:val="24"/>
          <w:szCs w:val="24"/>
        </w:rPr>
        <w:footnoteReference w:id="14"/>
      </w:r>
      <w:r w:rsidRPr="00FE6187">
        <w:rPr>
          <w:sz w:val="24"/>
          <w:szCs w:val="24"/>
        </w:rPr>
        <w:t xml:space="preserve">; countries that say they float often can’t refrain </w:t>
      </w:r>
      <w:r w:rsidR="00CE0CA3" w:rsidRPr="00FE6187">
        <w:rPr>
          <w:sz w:val="24"/>
          <w:szCs w:val="24"/>
        </w:rPr>
        <w:t>from intervening in the market</w:t>
      </w:r>
      <w:r w:rsidR="00CE0CA3">
        <w:rPr>
          <w:rStyle w:val="FootnoteReference"/>
          <w:sz w:val="24"/>
          <w:szCs w:val="24"/>
        </w:rPr>
        <w:footnoteReference w:id="15"/>
      </w:r>
      <w:r w:rsidRPr="00FE6187">
        <w:rPr>
          <w:sz w:val="24"/>
          <w:szCs w:val="24"/>
        </w:rPr>
        <w:t>;  and countries that say they follow a basket peg often keep the weights secret so that they can depart from the bask</w:t>
      </w:r>
      <w:r w:rsidR="00CE0CA3" w:rsidRPr="00FE6187">
        <w:rPr>
          <w:sz w:val="24"/>
          <w:szCs w:val="24"/>
        </w:rPr>
        <w:t>et without immediate detection</w:t>
      </w:r>
      <w:r w:rsidR="0093776E" w:rsidRPr="00FE6187">
        <w:rPr>
          <w:sz w:val="24"/>
          <w:szCs w:val="24"/>
        </w:rPr>
        <w:t>.</w:t>
      </w:r>
      <w:r w:rsidR="00CE0CA3">
        <w:rPr>
          <w:rStyle w:val="FootnoteReference"/>
          <w:sz w:val="24"/>
          <w:szCs w:val="24"/>
        </w:rPr>
        <w:footnoteReference w:id="16"/>
      </w:r>
      <w:r w:rsidR="005831B6">
        <w:rPr>
          <w:sz w:val="24"/>
          <w:szCs w:val="24"/>
        </w:rPr>
        <w:t xml:space="preserve">  </w:t>
      </w:r>
      <w:r w:rsidR="0093776E" w:rsidRPr="00FE6187">
        <w:rPr>
          <w:sz w:val="24"/>
          <w:szCs w:val="24"/>
        </w:rPr>
        <w:t>Th</w:t>
      </w:r>
      <w:r w:rsidR="0081275F">
        <w:rPr>
          <w:sz w:val="24"/>
          <w:szCs w:val="24"/>
        </w:rPr>
        <w:t xml:space="preserve">e rampant discrepancies have </w:t>
      </w:r>
      <w:r w:rsidR="0093776E" w:rsidRPr="00FE6187">
        <w:rPr>
          <w:sz w:val="24"/>
          <w:szCs w:val="24"/>
        </w:rPr>
        <w:t>led to a collection of studies that attempt to estimate and report the true de facto regimes.</w:t>
      </w:r>
      <w:r w:rsidR="00D219CC" w:rsidRPr="00D219CC">
        <w:rPr>
          <w:rStyle w:val="FootnoteReference"/>
          <w:sz w:val="24"/>
          <w:szCs w:val="24"/>
        </w:rPr>
        <w:t xml:space="preserve"> </w:t>
      </w:r>
      <w:r w:rsidR="00D219CC">
        <w:rPr>
          <w:rStyle w:val="FootnoteReference"/>
          <w:sz w:val="24"/>
          <w:szCs w:val="24"/>
        </w:rPr>
        <w:footnoteReference w:id="17"/>
      </w:r>
    </w:p>
    <w:p w14:paraId="4136BCA4" w14:textId="77777777" w:rsidR="00EC684C" w:rsidRPr="00D219CC" w:rsidRDefault="00381AA5" w:rsidP="00D219CC">
      <w:pPr>
        <w:ind w:firstLine="720"/>
        <w:rPr>
          <w:sz w:val="24"/>
          <w:szCs w:val="24"/>
        </w:rPr>
      </w:pPr>
      <w:r w:rsidRPr="00D219CC">
        <w:rPr>
          <w:sz w:val="24"/>
          <w:szCs w:val="24"/>
        </w:rPr>
        <w:t>The IMF discontinued reporting the regime claims of its members at face value and began to offer its own de facto schemes.</w:t>
      </w:r>
      <w:r w:rsidRPr="00D219CC">
        <w:rPr>
          <w:rStyle w:val="FootnoteReference"/>
          <w:sz w:val="24"/>
          <w:szCs w:val="24"/>
        </w:rPr>
        <w:footnoteReference w:id="18"/>
      </w:r>
      <w:r w:rsidRPr="00D219CC">
        <w:rPr>
          <w:sz w:val="24"/>
          <w:szCs w:val="24"/>
        </w:rPr>
        <w:t xml:space="preserve">   It seems </w:t>
      </w:r>
      <w:r w:rsidR="005831B6" w:rsidRPr="00D219CC">
        <w:rPr>
          <w:sz w:val="24"/>
          <w:szCs w:val="24"/>
        </w:rPr>
        <w:t>likely</w:t>
      </w:r>
      <w:r w:rsidR="00C75794">
        <w:rPr>
          <w:sz w:val="24"/>
          <w:szCs w:val="24"/>
        </w:rPr>
        <w:t>, however,</w:t>
      </w:r>
      <w:r w:rsidR="005831B6" w:rsidRPr="00D219CC">
        <w:rPr>
          <w:sz w:val="24"/>
          <w:szCs w:val="24"/>
        </w:rPr>
        <w:t xml:space="preserve"> that they are still heavily</w:t>
      </w:r>
      <w:r w:rsidRPr="00D219CC">
        <w:rPr>
          <w:sz w:val="24"/>
          <w:szCs w:val="24"/>
        </w:rPr>
        <w:t xml:space="preserve"> influenced by the claims of member governments, whereas academic researchers </w:t>
      </w:r>
      <w:r w:rsidR="005831B6" w:rsidRPr="00D219CC">
        <w:rPr>
          <w:sz w:val="24"/>
          <w:szCs w:val="24"/>
        </w:rPr>
        <w:t>a</w:t>
      </w:r>
      <w:r w:rsidRPr="00D219CC">
        <w:rPr>
          <w:sz w:val="24"/>
          <w:szCs w:val="24"/>
        </w:rPr>
        <w:t xml:space="preserve">re more </w:t>
      </w:r>
      <w:r w:rsidRPr="00D219CC">
        <w:rPr>
          <w:sz w:val="24"/>
          <w:szCs w:val="24"/>
        </w:rPr>
        <w:lastRenderedPageBreak/>
        <w:t xml:space="preserve">likely to go wherever </w:t>
      </w:r>
      <w:r w:rsidR="005831B6" w:rsidRPr="00D219CC">
        <w:rPr>
          <w:sz w:val="24"/>
          <w:szCs w:val="24"/>
        </w:rPr>
        <w:t>the data led them (which is not</w:t>
      </w:r>
      <w:r w:rsidRPr="00D219CC">
        <w:rPr>
          <w:sz w:val="24"/>
          <w:szCs w:val="24"/>
        </w:rPr>
        <w:t xml:space="preserve"> always the right way, it must be admitted).</w:t>
      </w:r>
      <w:r w:rsidR="001A19B4" w:rsidRPr="00D219CC">
        <w:rPr>
          <w:sz w:val="24"/>
          <w:szCs w:val="24"/>
        </w:rPr>
        <w:br/>
      </w:r>
    </w:p>
    <w:p w14:paraId="6BEFC840" w14:textId="77777777" w:rsidR="00FE6187" w:rsidRPr="00C75794" w:rsidRDefault="00DF4324" w:rsidP="00BB4707">
      <w:pPr>
        <w:pStyle w:val="ListParagraph"/>
        <w:numPr>
          <w:ilvl w:val="2"/>
          <w:numId w:val="1"/>
        </w:numPr>
        <w:rPr>
          <w:sz w:val="24"/>
          <w:szCs w:val="24"/>
        </w:rPr>
      </w:pPr>
      <w:r w:rsidRPr="00C75794">
        <w:rPr>
          <w:sz w:val="24"/>
          <w:szCs w:val="24"/>
        </w:rPr>
        <w:t>Disagreement amo</w:t>
      </w:r>
      <w:r w:rsidR="00FE6187" w:rsidRPr="00C75794">
        <w:rPr>
          <w:sz w:val="24"/>
          <w:szCs w:val="24"/>
        </w:rPr>
        <w:t>ng de facto classificat</w:t>
      </w:r>
      <w:r w:rsidR="005831B6" w:rsidRPr="00C75794">
        <w:rPr>
          <w:sz w:val="24"/>
          <w:szCs w:val="24"/>
        </w:rPr>
        <w:t>ion</w:t>
      </w:r>
      <w:r w:rsidR="00FE6187" w:rsidRPr="00C75794">
        <w:rPr>
          <w:sz w:val="24"/>
          <w:szCs w:val="24"/>
        </w:rPr>
        <w:t xml:space="preserve"> schemes</w:t>
      </w:r>
    </w:p>
    <w:p w14:paraId="68E235EF" w14:textId="102B20C3" w:rsidR="00EC684C" w:rsidRPr="00FE6187" w:rsidRDefault="00C75794" w:rsidP="00C75794">
      <w:pPr>
        <w:ind w:firstLine="720"/>
        <w:rPr>
          <w:sz w:val="24"/>
          <w:szCs w:val="24"/>
        </w:rPr>
      </w:pPr>
      <w:r w:rsidRPr="00C75794">
        <w:rPr>
          <w:sz w:val="24"/>
          <w:szCs w:val="24"/>
        </w:rPr>
        <w:t>I</w:t>
      </w:r>
      <w:r w:rsidR="00D55552" w:rsidRPr="00C75794">
        <w:rPr>
          <w:sz w:val="24"/>
          <w:szCs w:val="24"/>
        </w:rPr>
        <w:t xml:space="preserve">t has become evident that the </w:t>
      </w:r>
      <w:commentRangeStart w:id="1"/>
      <w:r w:rsidR="00D55552" w:rsidRPr="00C75794">
        <w:rPr>
          <w:sz w:val="24"/>
          <w:szCs w:val="24"/>
        </w:rPr>
        <w:t>various different</w:t>
      </w:r>
      <w:commentRangeEnd w:id="1"/>
      <w:r w:rsidR="00BA3AC9">
        <w:rPr>
          <w:rStyle w:val="CommentReference"/>
        </w:rPr>
        <w:commentReference w:id="1"/>
      </w:r>
      <w:r w:rsidR="00D55552" w:rsidRPr="00C75794">
        <w:rPr>
          <w:sz w:val="24"/>
          <w:szCs w:val="24"/>
        </w:rPr>
        <w:t xml:space="preserve"> de facto classification schemes, though designed to get at the “true answer</w:t>
      </w:r>
      <w:r w:rsidR="00CE6272" w:rsidRPr="00C75794">
        <w:rPr>
          <w:sz w:val="24"/>
          <w:szCs w:val="24"/>
        </w:rPr>
        <w:t>,</w:t>
      </w:r>
      <w:r w:rsidR="00D55552" w:rsidRPr="00C75794">
        <w:rPr>
          <w:sz w:val="24"/>
          <w:szCs w:val="24"/>
        </w:rPr>
        <w:t xml:space="preserve">” disagree </w:t>
      </w:r>
      <w:r w:rsidR="00CE6272" w:rsidRPr="00C75794">
        <w:rPr>
          <w:sz w:val="24"/>
          <w:szCs w:val="24"/>
        </w:rPr>
        <w:t xml:space="preserve">widely </w:t>
      </w:r>
      <w:r w:rsidR="00D55552" w:rsidRPr="00C75794">
        <w:rPr>
          <w:sz w:val="24"/>
          <w:szCs w:val="24"/>
        </w:rPr>
        <w:t>among themselves.</w:t>
      </w:r>
      <w:r w:rsidR="00D55552" w:rsidRPr="00C75794">
        <w:rPr>
          <w:rStyle w:val="FootnoteReference"/>
          <w:sz w:val="24"/>
          <w:szCs w:val="24"/>
        </w:rPr>
        <w:footnoteReference w:id="19"/>
      </w:r>
      <w:r w:rsidR="00D55552" w:rsidRPr="00C75794">
        <w:rPr>
          <w:sz w:val="24"/>
          <w:szCs w:val="24"/>
        </w:rPr>
        <w:t xml:space="preserve">  A table in Frankel (2004) show</w:t>
      </w:r>
      <w:r w:rsidR="00B06815">
        <w:rPr>
          <w:sz w:val="24"/>
          <w:szCs w:val="24"/>
        </w:rPr>
        <w:t>ed</w:t>
      </w:r>
      <w:r w:rsidR="00D55552" w:rsidRPr="00C75794">
        <w:rPr>
          <w:sz w:val="24"/>
          <w:szCs w:val="24"/>
        </w:rPr>
        <w:t xml:space="preserve"> that the classifications of three prominent schemes coincide</w:t>
      </w:r>
      <w:r w:rsidR="00B06815">
        <w:rPr>
          <w:sz w:val="24"/>
          <w:szCs w:val="24"/>
        </w:rPr>
        <w:t>d</w:t>
      </w:r>
      <w:r w:rsidR="00D55552" w:rsidRPr="00C75794">
        <w:rPr>
          <w:sz w:val="24"/>
          <w:szCs w:val="24"/>
        </w:rPr>
        <w:t xml:space="preserve"> with the IMF de jure classification only 50.4% of the time, averaging across the three.  But they coincide</w:t>
      </w:r>
      <w:r w:rsidR="00B06815">
        <w:rPr>
          <w:sz w:val="24"/>
          <w:szCs w:val="24"/>
        </w:rPr>
        <w:t>d</w:t>
      </w:r>
      <w:r w:rsidR="00D55552" w:rsidRPr="00C75794">
        <w:rPr>
          <w:sz w:val="24"/>
          <w:szCs w:val="24"/>
        </w:rPr>
        <w:t xml:space="preserve"> with each other even less, </w:t>
      </w:r>
      <w:r w:rsidR="008E76E8" w:rsidRPr="00C75794">
        <w:rPr>
          <w:sz w:val="24"/>
          <w:szCs w:val="24"/>
        </w:rPr>
        <w:t xml:space="preserve">only </w:t>
      </w:r>
      <w:r w:rsidR="00D55552" w:rsidRPr="00C75794">
        <w:rPr>
          <w:sz w:val="24"/>
          <w:szCs w:val="24"/>
        </w:rPr>
        <w:t xml:space="preserve">38.6% of the </w:t>
      </w:r>
      <w:r w:rsidR="008E76E8" w:rsidRPr="00C75794">
        <w:rPr>
          <w:sz w:val="24"/>
          <w:szCs w:val="24"/>
        </w:rPr>
        <w:t>time!</w:t>
      </w:r>
      <w:r w:rsidR="00BB4707" w:rsidRPr="00C75794">
        <w:rPr>
          <w:rStyle w:val="FootnoteReference"/>
          <w:sz w:val="24"/>
          <w:szCs w:val="24"/>
        </w:rPr>
        <w:footnoteReference w:id="20"/>
      </w:r>
      <w:r w:rsidR="00BB4707" w:rsidRPr="00C75794">
        <w:rPr>
          <w:sz w:val="24"/>
          <w:szCs w:val="24"/>
        </w:rPr>
        <w:t xml:space="preserve">  </w:t>
      </w:r>
      <w:r w:rsidR="00381AA5" w:rsidRPr="00C75794">
        <w:rPr>
          <w:sz w:val="24"/>
          <w:szCs w:val="24"/>
        </w:rPr>
        <w:t xml:space="preserve">Similarly, a table in </w:t>
      </w:r>
      <w:r w:rsidR="008E76E8" w:rsidRPr="00C75794">
        <w:rPr>
          <w:sz w:val="24"/>
          <w:szCs w:val="24"/>
        </w:rPr>
        <w:t xml:space="preserve">Bénassy-Quéré, </w:t>
      </w:r>
      <w:r w:rsidR="00381AA5" w:rsidRPr="00C75794">
        <w:rPr>
          <w:sz w:val="24"/>
          <w:szCs w:val="24"/>
        </w:rPr>
        <w:t xml:space="preserve">et al (2004) showed three de facto schemes on average correlated </w:t>
      </w:r>
      <w:r w:rsidR="00BB4707" w:rsidRPr="00C75794">
        <w:rPr>
          <w:sz w:val="24"/>
          <w:szCs w:val="24"/>
        </w:rPr>
        <w:t>.</w:t>
      </w:r>
      <w:r w:rsidR="00381AA5" w:rsidRPr="00C75794">
        <w:rPr>
          <w:sz w:val="24"/>
          <w:szCs w:val="24"/>
        </w:rPr>
        <w:t xml:space="preserve">69 with the IMF de jure scheme, but only </w:t>
      </w:r>
      <w:r w:rsidR="00BB4707" w:rsidRPr="00C75794">
        <w:rPr>
          <w:sz w:val="24"/>
          <w:szCs w:val="24"/>
        </w:rPr>
        <w:t>.</w:t>
      </w:r>
      <w:r w:rsidR="00381AA5" w:rsidRPr="00C75794">
        <w:rPr>
          <w:sz w:val="24"/>
          <w:szCs w:val="24"/>
        </w:rPr>
        <w:t>63 with each other.</w:t>
      </w:r>
      <w:r w:rsidR="00BB4707" w:rsidRPr="00C75794">
        <w:rPr>
          <w:sz w:val="24"/>
          <w:szCs w:val="24"/>
        </w:rPr>
        <w:t xml:space="preserve">   A table in Shambaugh (2007) reported for three de facto schemes an average of 80 percent agreement with the de jure listings, but only 78 per cent among themselves.  Finally, a table in Klein and Shambaugh (2011) showed that three de facto schemes coincided with the IMF classification 62 per cent of the time, and coincided with each other also 62 per cent of the time.  All-in-all, the evidence is clear that the evidence of the classification schemes is not clear.</w:t>
      </w:r>
      <w:r w:rsidR="007A5533" w:rsidRPr="00C75794">
        <w:rPr>
          <w:rStyle w:val="FootnoteReference"/>
          <w:sz w:val="24"/>
          <w:szCs w:val="24"/>
        </w:rPr>
        <w:footnoteReference w:id="21"/>
      </w:r>
      <w:r w:rsidR="00B06815">
        <w:rPr>
          <w:sz w:val="24"/>
          <w:szCs w:val="24"/>
        </w:rPr>
        <w:br/>
      </w:r>
    </w:p>
    <w:p w14:paraId="493C073D" w14:textId="77777777" w:rsidR="00EC684C" w:rsidRDefault="00EC684C" w:rsidP="00EC684C">
      <w:pPr>
        <w:pStyle w:val="ListParagraph"/>
        <w:numPr>
          <w:ilvl w:val="2"/>
          <w:numId w:val="1"/>
        </w:numPr>
        <w:rPr>
          <w:sz w:val="24"/>
          <w:szCs w:val="24"/>
        </w:rPr>
      </w:pPr>
      <w:r>
        <w:rPr>
          <w:sz w:val="24"/>
          <w:szCs w:val="24"/>
        </w:rPr>
        <w:t>Reasons for disagreement</w:t>
      </w:r>
    </w:p>
    <w:p w14:paraId="1EEE7AD7" w14:textId="77777777" w:rsidR="00C75794" w:rsidRPr="00C75794" w:rsidRDefault="00C75794" w:rsidP="00C75794">
      <w:pPr>
        <w:ind w:firstLine="720"/>
        <w:rPr>
          <w:sz w:val="24"/>
          <w:szCs w:val="24"/>
        </w:rPr>
      </w:pPr>
      <w:r>
        <w:rPr>
          <w:sz w:val="24"/>
          <w:szCs w:val="24"/>
        </w:rPr>
        <w:t xml:space="preserve">There are three reasons why the classification schemes give such different answers:  differences in </w:t>
      </w:r>
      <w:r w:rsidRPr="00C75794">
        <w:rPr>
          <w:sz w:val="24"/>
          <w:szCs w:val="24"/>
        </w:rPr>
        <w:t>estimation techniques</w:t>
      </w:r>
      <w:r>
        <w:rPr>
          <w:sz w:val="24"/>
          <w:szCs w:val="24"/>
        </w:rPr>
        <w:t xml:space="preserve"> or other methodology; murkiness of true regimes</w:t>
      </w:r>
      <w:r w:rsidR="00AB766C">
        <w:rPr>
          <w:sz w:val="24"/>
          <w:szCs w:val="24"/>
        </w:rPr>
        <w:t>; and frequent changes.</w:t>
      </w:r>
    </w:p>
    <w:p w14:paraId="3DEB4F1D" w14:textId="6D1F75B4" w:rsidR="002D3994" w:rsidRDefault="00C75794" w:rsidP="00AB766C">
      <w:pPr>
        <w:ind w:firstLine="720"/>
        <w:rPr>
          <w:sz w:val="24"/>
          <w:szCs w:val="24"/>
        </w:rPr>
      </w:pPr>
      <w:r w:rsidRPr="00C75794">
        <w:rPr>
          <w:sz w:val="24"/>
          <w:szCs w:val="24"/>
        </w:rPr>
        <w:t xml:space="preserve">1. </w:t>
      </w:r>
      <w:r w:rsidR="002D3994" w:rsidRPr="00C75794">
        <w:rPr>
          <w:sz w:val="24"/>
          <w:szCs w:val="24"/>
        </w:rPr>
        <w:t>Difference</w:t>
      </w:r>
      <w:r>
        <w:rPr>
          <w:sz w:val="24"/>
          <w:szCs w:val="24"/>
        </w:rPr>
        <w:t>s</w:t>
      </w:r>
      <w:r w:rsidR="002D3994" w:rsidRPr="00C75794">
        <w:rPr>
          <w:sz w:val="24"/>
          <w:szCs w:val="24"/>
        </w:rPr>
        <w:t xml:space="preserve"> in</w:t>
      </w:r>
      <w:r>
        <w:rPr>
          <w:sz w:val="24"/>
          <w:szCs w:val="24"/>
        </w:rPr>
        <w:t xml:space="preserve"> methodology</w:t>
      </w:r>
      <w:r w:rsidR="002D3994" w:rsidRPr="00C75794">
        <w:rPr>
          <w:sz w:val="24"/>
          <w:szCs w:val="24"/>
        </w:rPr>
        <w:t xml:space="preserve">.  </w:t>
      </w:r>
      <w:r w:rsidR="002D3994" w:rsidRPr="00FE6187">
        <w:rPr>
          <w:sz w:val="24"/>
          <w:szCs w:val="24"/>
        </w:rPr>
        <w:t xml:space="preserve">Some </w:t>
      </w:r>
      <w:r>
        <w:rPr>
          <w:sz w:val="24"/>
          <w:szCs w:val="24"/>
        </w:rPr>
        <w:t xml:space="preserve">schemes </w:t>
      </w:r>
      <w:r w:rsidR="002D3994" w:rsidRPr="00FE6187">
        <w:rPr>
          <w:sz w:val="24"/>
          <w:szCs w:val="24"/>
        </w:rPr>
        <w:t>work off of the official classifications, re-classifying countries when necessary.</w:t>
      </w:r>
      <w:r w:rsidR="00BE1835">
        <w:rPr>
          <w:rStyle w:val="FootnoteReference"/>
          <w:sz w:val="24"/>
          <w:szCs w:val="24"/>
        </w:rPr>
        <w:footnoteReference w:id="22"/>
      </w:r>
      <w:r w:rsidR="002D3994" w:rsidRPr="00FE6187">
        <w:rPr>
          <w:sz w:val="24"/>
          <w:szCs w:val="24"/>
        </w:rPr>
        <w:t xml:space="preserve">  </w:t>
      </w:r>
      <w:r>
        <w:rPr>
          <w:sz w:val="24"/>
          <w:szCs w:val="24"/>
        </w:rPr>
        <w:t xml:space="preserve">Other </w:t>
      </w:r>
      <w:r w:rsidR="002D3994" w:rsidRPr="00FE6187">
        <w:rPr>
          <w:sz w:val="24"/>
          <w:szCs w:val="24"/>
        </w:rPr>
        <w:t>approaches estimate de facto regimes from observed data</w:t>
      </w:r>
      <w:r>
        <w:rPr>
          <w:sz w:val="24"/>
          <w:szCs w:val="24"/>
        </w:rPr>
        <w:t xml:space="preserve"> alone.  Among the latter</w:t>
      </w:r>
      <w:r w:rsidR="002D3994" w:rsidRPr="00FE6187">
        <w:rPr>
          <w:sz w:val="24"/>
          <w:szCs w:val="24"/>
        </w:rPr>
        <w:t>, some look simply at the v</w:t>
      </w:r>
      <w:r w:rsidR="00772D75" w:rsidRPr="00FE6187">
        <w:rPr>
          <w:sz w:val="24"/>
          <w:szCs w:val="24"/>
        </w:rPr>
        <w:t>olatility of the exchange rate, without comparing it to the variability of reserves.</w:t>
      </w:r>
      <w:r w:rsidR="00772D75">
        <w:rPr>
          <w:rStyle w:val="FootnoteReference"/>
          <w:sz w:val="24"/>
          <w:szCs w:val="24"/>
        </w:rPr>
        <w:footnoteReference w:id="23"/>
      </w:r>
      <w:r w:rsidR="002D3994" w:rsidRPr="00FE6187">
        <w:rPr>
          <w:sz w:val="24"/>
          <w:szCs w:val="24"/>
        </w:rPr>
        <w:t xml:space="preserve">   Admittedly, if the variance </w:t>
      </w:r>
      <w:r w:rsidR="00772D75" w:rsidRPr="00FE6187">
        <w:rPr>
          <w:sz w:val="24"/>
          <w:szCs w:val="24"/>
        </w:rPr>
        <w:t xml:space="preserve">of the currency </w:t>
      </w:r>
      <w:r w:rsidR="002D3994" w:rsidRPr="00FE6187">
        <w:rPr>
          <w:sz w:val="24"/>
          <w:szCs w:val="24"/>
        </w:rPr>
        <w:lastRenderedPageBreak/>
        <w:t xml:space="preserve">vis-à-vis the dollar or other major currency is </w:t>
      </w:r>
      <w:r>
        <w:rPr>
          <w:sz w:val="24"/>
          <w:szCs w:val="24"/>
        </w:rPr>
        <w:t>essentially zero</w:t>
      </w:r>
      <w:r w:rsidR="002D3994" w:rsidRPr="00FE6187">
        <w:rPr>
          <w:sz w:val="24"/>
          <w:szCs w:val="24"/>
        </w:rPr>
        <w:t xml:space="preserve">, that is clear evidence of a fixed exchange rate.  But it does not follow that </w:t>
      </w:r>
      <w:r w:rsidR="0066577C" w:rsidRPr="00FE6187">
        <w:rPr>
          <w:sz w:val="24"/>
          <w:szCs w:val="24"/>
        </w:rPr>
        <w:t>the flexibility of exchange rate regimes can be ranked according to the variability of the exchange rate.  O</w:t>
      </w:r>
      <w:r w:rsidR="002D3994" w:rsidRPr="00FE6187">
        <w:rPr>
          <w:sz w:val="24"/>
          <w:szCs w:val="24"/>
        </w:rPr>
        <w:t>ne should compare the variance of the exchange rate changes to the variance of reserve changes.  Only if the latter is large relati</w:t>
      </w:r>
      <w:r w:rsidR="000B0630">
        <w:rPr>
          <w:sz w:val="24"/>
          <w:szCs w:val="24"/>
        </w:rPr>
        <w:t>ve to the former can the regime</w:t>
      </w:r>
      <w:r w:rsidR="002D3994" w:rsidRPr="00FE6187">
        <w:rPr>
          <w:sz w:val="24"/>
          <w:szCs w:val="24"/>
        </w:rPr>
        <w:t xml:space="preserve"> be pronounced highly flexible.  Otherwise a large exchange rate variance might in truth be due t</w:t>
      </w:r>
      <w:r w:rsidR="005831B6">
        <w:rPr>
          <w:sz w:val="24"/>
          <w:szCs w:val="24"/>
        </w:rPr>
        <w:t>o large external shocks.</w:t>
      </w:r>
      <w:r w:rsidR="0041198F">
        <w:rPr>
          <w:sz w:val="24"/>
          <w:szCs w:val="24"/>
        </w:rPr>
        <w:t xml:space="preserve">  </w:t>
      </w:r>
      <w:r w:rsidR="002D3994" w:rsidRPr="00FE6187">
        <w:rPr>
          <w:sz w:val="24"/>
          <w:szCs w:val="24"/>
        </w:rPr>
        <w:t>Conversely an exchange rate may show relatively low variability, but this might be due to small shocks rather than a heavily man</w:t>
      </w:r>
      <w:r w:rsidR="008979D2" w:rsidRPr="00FE6187">
        <w:rPr>
          <w:sz w:val="24"/>
          <w:szCs w:val="24"/>
        </w:rPr>
        <w:t>aged exchange rate. That is the proper inference</w:t>
      </w:r>
      <w:r w:rsidR="002D3994" w:rsidRPr="00FE6187">
        <w:rPr>
          <w:sz w:val="24"/>
          <w:szCs w:val="24"/>
        </w:rPr>
        <w:t xml:space="preserve"> if foreign exchange reserves are even more stable or </w:t>
      </w:r>
      <w:r w:rsidR="005831B6">
        <w:rPr>
          <w:sz w:val="24"/>
          <w:szCs w:val="24"/>
        </w:rPr>
        <w:t xml:space="preserve">if </w:t>
      </w:r>
      <w:r w:rsidR="002D3994" w:rsidRPr="00FE6187">
        <w:rPr>
          <w:sz w:val="24"/>
          <w:szCs w:val="24"/>
        </w:rPr>
        <w:t>there is direct evidence of little or no foreign exchange intervention</w:t>
      </w:r>
      <w:r w:rsidR="008979D2" w:rsidRPr="00FE6187">
        <w:rPr>
          <w:sz w:val="24"/>
          <w:szCs w:val="24"/>
        </w:rPr>
        <w:t>.</w:t>
      </w:r>
      <w:r w:rsidR="0041198F">
        <w:rPr>
          <w:sz w:val="24"/>
          <w:szCs w:val="24"/>
        </w:rPr>
        <w:t xml:space="preserve">  To take the example of Figure 1, the Singapore dollar appreciated more in 2010 than the Indian rupee, but this was apparently because it experienced a bigger shock (measured by total exchange market pressure), perhaps because it is a smaller more open economy, and not because its regime has higher flexibility.</w:t>
      </w:r>
      <w:r w:rsidR="005831B6">
        <w:rPr>
          <w:rStyle w:val="FootnoteReference"/>
          <w:sz w:val="24"/>
          <w:szCs w:val="24"/>
        </w:rPr>
        <w:footnoteReference w:id="24"/>
      </w:r>
    </w:p>
    <w:p w14:paraId="0746F08B" w14:textId="77777777" w:rsidR="005831B6" w:rsidRPr="00FE6187" w:rsidRDefault="005831B6" w:rsidP="00C75794">
      <w:pPr>
        <w:ind w:firstLine="720"/>
        <w:rPr>
          <w:sz w:val="24"/>
          <w:szCs w:val="24"/>
        </w:rPr>
      </w:pPr>
      <w:r w:rsidRPr="005831B6">
        <w:rPr>
          <w:sz w:val="24"/>
          <w:szCs w:val="24"/>
        </w:rPr>
        <w:t>Reinhart (2000) and Calvo and Reinhart (2002) compared exchange rate variability with reserve variability to show how de facto exchange rate regime</w:t>
      </w:r>
      <w:r w:rsidR="00F868FC">
        <w:rPr>
          <w:sz w:val="24"/>
          <w:szCs w:val="24"/>
        </w:rPr>
        <w:t>s</w:t>
      </w:r>
      <w:r w:rsidRPr="005831B6">
        <w:rPr>
          <w:sz w:val="24"/>
          <w:szCs w:val="24"/>
        </w:rPr>
        <w:t xml:space="preserve"> differed from de jure</w:t>
      </w:r>
      <w:r w:rsidR="003017CF">
        <w:rPr>
          <w:sz w:val="24"/>
          <w:szCs w:val="24"/>
        </w:rPr>
        <w:t xml:space="preserve"> characterization</w:t>
      </w:r>
      <w:r w:rsidR="00F868FC">
        <w:rPr>
          <w:sz w:val="24"/>
          <w:szCs w:val="24"/>
        </w:rPr>
        <w:t>s</w:t>
      </w:r>
      <w:r w:rsidRPr="005831B6">
        <w:rPr>
          <w:sz w:val="24"/>
          <w:szCs w:val="24"/>
        </w:rPr>
        <w:t xml:space="preserve">.   The classification scheme of Levy-Yeyati and Sturzenegger (2001, 2003) is </w:t>
      </w:r>
      <w:r w:rsidR="0041198F">
        <w:rPr>
          <w:sz w:val="24"/>
          <w:szCs w:val="24"/>
        </w:rPr>
        <w:t xml:space="preserve">entirely </w:t>
      </w:r>
      <w:r w:rsidRPr="005831B6">
        <w:rPr>
          <w:sz w:val="24"/>
          <w:szCs w:val="24"/>
        </w:rPr>
        <w:t xml:space="preserve">based on a comparison of the variance of exchange rate changes versus the variance of reserve changes.  </w:t>
      </w:r>
    </w:p>
    <w:p w14:paraId="4786B247" w14:textId="1554BD34" w:rsidR="00C75794" w:rsidRDefault="00C75794" w:rsidP="00AB766C">
      <w:pPr>
        <w:ind w:firstLine="720"/>
        <w:rPr>
          <w:sz w:val="24"/>
          <w:szCs w:val="24"/>
        </w:rPr>
      </w:pPr>
      <w:r>
        <w:rPr>
          <w:sz w:val="24"/>
          <w:szCs w:val="24"/>
        </w:rPr>
        <w:t xml:space="preserve">2. </w:t>
      </w:r>
      <w:r w:rsidR="00AB766C">
        <w:rPr>
          <w:sz w:val="24"/>
          <w:szCs w:val="24"/>
        </w:rPr>
        <w:t xml:space="preserve">Murky regimes.  </w:t>
      </w:r>
      <w:r w:rsidR="004474C5" w:rsidRPr="00C75794">
        <w:rPr>
          <w:sz w:val="24"/>
          <w:szCs w:val="24"/>
        </w:rPr>
        <w:t xml:space="preserve">Relatively </w:t>
      </w:r>
      <w:r w:rsidR="00EC684C" w:rsidRPr="00C75794">
        <w:rPr>
          <w:sz w:val="24"/>
          <w:szCs w:val="24"/>
        </w:rPr>
        <w:t>few countries follow a single clean regime</w:t>
      </w:r>
      <w:r w:rsidR="002D3994" w:rsidRPr="00C75794">
        <w:rPr>
          <w:sz w:val="24"/>
          <w:szCs w:val="24"/>
        </w:rPr>
        <w:t xml:space="preserve">.  </w:t>
      </w:r>
      <w:r w:rsidR="00FE6187">
        <w:rPr>
          <w:sz w:val="24"/>
          <w:szCs w:val="24"/>
        </w:rPr>
        <w:t>Reinhart and Rogoff</w:t>
      </w:r>
      <w:r w:rsidR="005831B6">
        <w:rPr>
          <w:sz w:val="24"/>
          <w:szCs w:val="24"/>
        </w:rPr>
        <w:t xml:space="preserve"> (2004)</w:t>
      </w:r>
      <w:r w:rsidR="00FE6187">
        <w:rPr>
          <w:sz w:val="24"/>
          <w:szCs w:val="24"/>
        </w:rPr>
        <w:t xml:space="preserve">, </w:t>
      </w:r>
      <w:r w:rsidR="002D3994" w:rsidRPr="00FE6187">
        <w:rPr>
          <w:sz w:val="24"/>
          <w:szCs w:val="24"/>
        </w:rPr>
        <w:t>for example, argue that there sh</w:t>
      </w:r>
      <w:r w:rsidR="007C6412">
        <w:rPr>
          <w:sz w:val="24"/>
          <w:szCs w:val="24"/>
        </w:rPr>
        <w:t>ould be a category of free-fall</w:t>
      </w:r>
      <w:r w:rsidR="002D3994" w:rsidRPr="00FE6187">
        <w:rPr>
          <w:sz w:val="24"/>
          <w:szCs w:val="24"/>
        </w:rPr>
        <w:t>ing</w:t>
      </w:r>
      <w:r w:rsidR="00A82B1D">
        <w:rPr>
          <w:sz w:val="24"/>
          <w:szCs w:val="24"/>
        </w:rPr>
        <w:t xml:space="preserve"> currencies and</w:t>
      </w:r>
      <w:r w:rsidR="002D3994" w:rsidRPr="00FE6187">
        <w:rPr>
          <w:sz w:val="24"/>
          <w:szCs w:val="24"/>
        </w:rPr>
        <w:t xml:space="preserve"> point out that it is misleading to characterize them as floating merely because the changes are so large.</w:t>
      </w:r>
      <w:r w:rsidR="00A82B1D">
        <w:rPr>
          <w:sz w:val="24"/>
          <w:szCs w:val="24"/>
        </w:rPr>
        <w:t xml:space="preserve"> </w:t>
      </w:r>
      <w:r w:rsidR="00EC684C" w:rsidRPr="00FE6187">
        <w:rPr>
          <w:sz w:val="24"/>
          <w:szCs w:val="24"/>
        </w:rPr>
        <w:t xml:space="preserve"> </w:t>
      </w:r>
      <w:r w:rsidR="007C6412">
        <w:rPr>
          <w:sz w:val="24"/>
          <w:szCs w:val="24"/>
        </w:rPr>
        <w:t xml:space="preserve">Rose (2011) more generally </w:t>
      </w:r>
      <w:r w:rsidR="006A3332">
        <w:rPr>
          <w:sz w:val="24"/>
          <w:szCs w:val="24"/>
        </w:rPr>
        <w:t>calls many countries’ regimes</w:t>
      </w:r>
      <w:r w:rsidR="007C6412">
        <w:rPr>
          <w:sz w:val="24"/>
          <w:szCs w:val="24"/>
        </w:rPr>
        <w:t xml:space="preserve"> neither fixed nor floating, but “flaky.”</w:t>
      </w:r>
    </w:p>
    <w:p w14:paraId="157226F6" w14:textId="6EEB1ED2" w:rsidR="00233654" w:rsidRPr="00233654" w:rsidRDefault="00C75794" w:rsidP="00AB766C">
      <w:pPr>
        <w:ind w:firstLine="720"/>
        <w:rPr>
          <w:sz w:val="24"/>
          <w:szCs w:val="24"/>
        </w:rPr>
      </w:pPr>
      <w:r>
        <w:rPr>
          <w:sz w:val="24"/>
          <w:szCs w:val="24"/>
        </w:rPr>
        <w:t>3. Changeability.   F</w:t>
      </w:r>
      <w:r w:rsidR="005831B6" w:rsidRPr="00C75794">
        <w:rPr>
          <w:sz w:val="24"/>
          <w:szCs w:val="24"/>
        </w:rPr>
        <w:t>or many countries, i</w:t>
      </w:r>
      <w:r w:rsidR="00EC684C" w:rsidRPr="00C75794">
        <w:rPr>
          <w:sz w:val="24"/>
          <w:szCs w:val="24"/>
        </w:rPr>
        <w:t>f they do</w:t>
      </w:r>
      <w:r w:rsidR="002D3994" w:rsidRPr="00C75794">
        <w:rPr>
          <w:sz w:val="24"/>
          <w:szCs w:val="24"/>
        </w:rPr>
        <w:t xml:space="preserve"> follow a </w:t>
      </w:r>
      <w:r w:rsidR="005831B6" w:rsidRPr="00C75794">
        <w:rPr>
          <w:sz w:val="24"/>
          <w:szCs w:val="24"/>
        </w:rPr>
        <w:t xml:space="preserve">peg or other </w:t>
      </w:r>
      <w:r w:rsidR="002D3994" w:rsidRPr="00C75794">
        <w:rPr>
          <w:sz w:val="24"/>
          <w:szCs w:val="24"/>
        </w:rPr>
        <w:t>clear regime</w:t>
      </w:r>
      <w:r w:rsidR="00EC684C" w:rsidRPr="00C75794">
        <w:rPr>
          <w:sz w:val="24"/>
          <w:szCs w:val="24"/>
        </w:rPr>
        <w:t xml:space="preserve">, it is </w:t>
      </w:r>
      <w:r w:rsidR="002D3994" w:rsidRPr="00C75794">
        <w:rPr>
          <w:sz w:val="24"/>
          <w:szCs w:val="24"/>
        </w:rPr>
        <w:t xml:space="preserve">often </w:t>
      </w:r>
      <w:r w:rsidR="00EC684C" w:rsidRPr="00C75794">
        <w:rPr>
          <w:sz w:val="24"/>
          <w:szCs w:val="24"/>
        </w:rPr>
        <w:t>not for very long</w:t>
      </w:r>
      <w:r w:rsidR="00FE6187" w:rsidRPr="00C75794">
        <w:rPr>
          <w:sz w:val="24"/>
          <w:szCs w:val="24"/>
        </w:rPr>
        <w:t>.</w:t>
      </w:r>
      <w:r w:rsidR="005831B6" w:rsidRPr="00C75794">
        <w:rPr>
          <w:sz w:val="24"/>
          <w:szCs w:val="24"/>
        </w:rPr>
        <w:t xml:space="preserve">  </w:t>
      </w:r>
      <w:r w:rsidR="00FE6187" w:rsidRPr="00C75794">
        <w:rPr>
          <w:sz w:val="24"/>
          <w:szCs w:val="24"/>
        </w:rPr>
        <w:t>T</w:t>
      </w:r>
      <w:r w:rsidR="00EC684C" w:rsidRPr="00C75794">
        <w:rPr>
          <w:sz w:val="24"/>
          <w:szCs w:val="24"/>
        </w:rPr>
        <w:t xml:space="preserve">hey </w:t>
      </w:r>
      <w:r w:rsidR="006171A9" w:rsidRPr="00C75794">
        <w:rPr>
          <w:sz w:val="24"/>
          <w:szCs w:val="24"/>
        </w:rPr>
        <w:t>tend every few years to change parameters (devaluing, widening a band, changing weight</w:t>
      </w:r>
      <w:r w:rsidR="00942137">
        <w:rPr>
          <w:sz w:val="24"/>
          <w:szCs w:val="24"/>
        </w:rPr>
        <w:t>s</w:t>
      </w:r>
      <w:r w:rsidR="006171A9" w:rsidRPr="00C75794">
        <w:rPr>
          <w:sz w:val="24"/>
          <w:szCs w:val="24"/>
        </w:rPr>
        <w:t xml:space="preserve"> in a basket, etc.) or </w:t>
      </w:r>
      <w:r w:rsidR="005831B6" w:rsidRPr="00C75794">
        <w:rPr>
          <w:sz w:val="24"/>
          <w:szCs w:val="24"/>
        </w:rPr>
        <w:t xml:space="preserve">to </w:t>
      </w:r>
      <w:r w:rsidR="00EC684C" w:rsidRPr="00C75794">
        <w:rPr>
          <w:sz w:val="24"/>
          <w:szCs w:val="24"/>
        </w:rPr>
        <w:t xml:space="preserve">switch </w:t>
      </w:r>
      <w:r w:rsidR="006171A9" w:rsidRPr="00C75794">
        <w:rPr>
          <w:sz w:val="24"/>
          <w:szCs w:val="24"/>
        </w:rPr>
        <w:t>regimes</w:t>
      </w:r>
      <w:r w:rsidR="005831B6" w:rsidRPr="00C75794">
        <w:rPr>
          <w:sz w:val="24"/>
          <w:szCs w:val="24"/>
        </w:rPr>
        <w:t xml:space="preserve"> altogether.  One could cope with f</w:t>
      </w:r>
      <w:r w:rsidR="005228E0" w:rsidRPr="00C75794">
        <w:rPr>
          <w:sz w:val="24"/>
          <w:szCs w:val="24"/>
        </w:rPr>
        <w:t>requent changes</w:t>
      </w:r>
      <w:r w:rsidR="005831B6" w:rsidRPr="00C75794">
        <w:rPr>
          <w:sz w:val="24"/>
          <w:szCs w:val="24"/>
        </w:rPr>
        <w:t xml:space="preserve"> by estimating</w:t>
      </w:r>
      <w:r w:rsidR="005228E0" w:rsidRPr="00C75794">
        <w:rPr>
          <w:sz w:val="24"/>
          <w:szCs w:val="24"/>
        </w:rPr>
        <w:t xml:space="preserve"> </w:t>
      </w:r>
      <w:r w:rsidR="005831B6" w:rsidRPr="00C75794">
        <w:rPr>
          <w:sz w:val="24"/>
          <w:szCs w:val="24"/>
        </w:rPr>
        <w:t xml:space="preserve">equations </w:t>
      </w:r>
      <w:r w:rsidR="005228E0" w:rsidRPr="00C75794">
        <w:rPr>
          <w:sz w:val="24"/>
          <w:szCs w:val="24"/>
        </w:rPr>
        <w:t>for short sub-</w:t>
      </w:r>
      <w:r w:rsidR="008979D2" w:rsidRPr="00C75794">
        <w:rPr>
          <w:sz w:val="24"/>
          <w:szCs w:val="24"/>
        </w:rPr>
        <w:t>p</w:t>
      </w:r>
      <w:r w:rsidR="005228E0" w:rsidRPr="00C75794">
        <w:rPr>
          <w:sz w:val="24"/>
          <w:szCs w:val="24"/>
        </w:rPr>
        <w:t>e</w:t>
      </w:r>
      <w:r w:rsidR="008979D2" w:rsidRPr="00C75794">
        <w:rPr>
          <w:sz w:val="24"/>
          <w:szCs w:val="24"/>
        </w:rPr>
        <w:t>r</w:t>
      </w:r>
      <w:r w:rsidR="005831B6" w:rsidRPr="00C75794">
        <w:rPr>
          <w:sz w:val="24"/>
          <w:szCs w:val="24"/>
        </w:rPr>
        <w:t>iods</w:t>
      </w:r>
      <w:r w:rsidR="005228E0" w:rsidRPr="00C75794">
        <w:rPr>
          <w:sz w:val="24"/>
          <w:szCs w:val="24"/>
        </w:rPr>
        <w:t xml:space="preserve"> or us</w:t>
      </w:r>
      <w:r w:rsidR="005831B6" w:rsidRPr="00C75794">
        <w:rPr>
          <w:sz w:val="24"/>
          <w:szCs w:val="24"/>
        </w:rPr>
        <w:t>ing</w:t>
      </w:r>
      <w:r w:rsidR="005228E0" w:rsidRPr="00C75794">
        <w:rPr>
          <w:sz w:val="24"/>
          <w:szCs w:val="24"/>
        </w:rPr>
        <w:t xml:space="preserve"> an econometric technique that allows</w:t>
      </w:r>
      <w:r w:rsidR="006E029E" w:rsidRPr="00C75794">
        <w:rPr>
          <w:sz w:val="24"/>
          <w:szCs w:val="24"/>
        </w:rPr>
        <w:t xml:space="preserve"> for endogenous estimation of structural breaks.</w:t>
      </w:r>
      <w:r w:rsidR="00164689">
        <w:rPr>
          <w:sz w:val="24"/>
          <w:szCs w:val="24"/>
        </w:rPr>
        <w:t xml:space="preserve">  </w:t>
      </w:r>
      <w:r w:rsidR="007C6412">
        <w:rPr>
          <w:sz w:val="24"/>
          <w:szCs w:val="24"/>
        </w:rPr>
        <w:t>A</w:t>
      </w:r>
      <w:r w:rsidR="005831B6" w:rsidRPr="00C75794">
        <w:rPr>
          <w:sz w:val="24"/>
          <w:szCs w:val="24"/>
        </w:rPr>
        <w:t xml:space="preserve"> country that follows no systematic regime for longer than a year or two at a time should </w:t>
      </w:r>
      <w:r w:rsidR="007C6412">
        <w:rPr>
          <w:sz w:val="24"/>
          <w:szCs w:val="24"/>
        </w:rPr>
        <w:t xml:space="preserve">perhaps </w:t>
      </w:r>
      <w:r w:rsidR="005831B6" w:rsidRPr="00C75794">
        <w:rPr>
          <w:sz w:val="24"/>
          <w:szCs w:val="24"/>
        </w:rPr>
        <w:t>be treated as having no systematic regime at all</w:t>
      </w:r>
      <w:r w:rsidR="007C6412">
        <w:rPr>
          <w:sz w:val="24"/>
          <w:szCs w:val="24"/>
        </w:rPr>
        <w:t>, joining those in the murky category</w:t>
      </w:r>
      <w:r w:rsidR="005831B6" w:rsidRPr="00C75794">
        <w:rPr>
          <w:sz w:val="24"/>
          <w:szCs w:val="24"/>
        </w:rPr>
        <w:t>.</w:t>
      </w:r>
      <w:r w:rsidR="00A763B1">
        <w:rPr>
          <w:sz w:val="24"/>
          <w:szCs w:val="24"/>
        </w:rPr>
        <w:br/>
      </w:r>
      <w:r w:rsidR="000B0630">
        <w:rPr>
          <w:sz w:val="24"/>
          <w:szCs w:val="24"/>
        </w:rPr>
        <w:br/>
      </w:r>
    </w:p>
    <w:p w14:paraId="574D64B0" w14:textId="77777777" w:rsidR="00FF7EA1" w:rsidRPr="009B3044" w:rsidRDefault="00FF7EA1" w:rsidP="00233654">
      <w:pPr>
        <w:pStyle w:val="ListParagraph"/>
        <w:numPr>
          <w:ilvl w:val="1"/>
          <w:numId w:val="1"/>
        </w:numPr>
        <w:rPr>
          <w:b/>
          <w:sz w:val="24"/>
          <w:szCs w:val="24"/>
        </w:rPr>
      </w:pPr>
      <w:r w:rsidRPr="009B3044">
        <w:rPr>
          <w:b/>
          <w:sz w:val="24"/>
          <w:szCs w:val="24"/>
        </w:rPr>
        <w:lastRenderedPageBreak/>
        <w:t xml:space="preserve"> Identifying countries that are systematic managed floaters</w:t>
      </w:r>
    </w:p>
    <w:p w14:paraId="4F1C8C0D" w14:textId="4B08156F" w:rsidR="00FD5943" w:rsidRDefault="00FF7EA1" w:rsidP="00FD5943">
      <w:pPr>
        <w:ind w:firstLine="720"/>
        <w:rPr>
          <w:sz w:val="24"/>
          <w:szCs w:val="24"/>
        </w:rPr>
      </w:pPr>
      <w:r w:rsidRPr="00FF7EA1">
        <w:rPr>
          <w:sz w:val="24"/>
          <w:szCs w:val="24"/>
        </w:rPr>
        <w:t>Within the large set of countries that are neither firm fixers nor free floaters, we would li</w:t>
      </w:r>
      <w:r w:rsidR="00B06815">
        <w:rPr>
          <w:sz w:val="24"/>
          <w:szCs w:val="24"/>
        </w:rPr>
        <w:t xml:space="preserve">ke to try to identify the </w:t>
      </w:r>
      <w:r w:rsidRPr="00FF7EA1">
        <w:rPr>
          <w:sz w:val="24"/>
          <w:szCs w:val="24"/>
        </w:rPr>
        <w:t>subset that systematically manage</w:t>
      </w:r>
      <w:r w:rsidR="00164689">
        <w:rPr>
          <w:sz w:val="24"/>
          <w:szCs w:val="24"/>
        </w:rPr>
        <w:t>s</w:t>
      </w:r>
      <w:r w:rsidRPr="00FF7EA1">
        <w:rPr>
          <w:sz w:val="24"/>
          <w:szCs w:val="24"/>
        </w:rPr>
        <w:t xml:space="preserve"> their floats</w:t>
      </w:r>
      <w:r w:rsidR="000C0B63">
        <w:rPr>
          <w:sz w:val="24"/>
          <w:szCs w:val="24"/>
        </w:rPr>
        <w:t xml:space="preserve">.  </w:t>
      </w:r>
      <w:r w:rsidR="007C6412">
        <w:rPr>
          <w:sz w:val="24"/>
          <w:szCs w:val="24"/>
        </w:rPr>
        <w:t>We are not interested in the murky regimes</w:t>
      </w:r>
      <w:r w:rsidR="003A1C70">
        <w:rPr>
          <w:sz w:val="24"/>
          <w:szCs w:val="24"/>
        </w:rPr>
        <w:t>.  We have no particular hypothesis in their case.  By contrast, in the last part of the paper we have a hypothesis</w:t>
      </w:r>
      <w:r w:rsidR="00164689">
        <w:rPr>
          <w:sz w:val="24"/>
          <w:szCs w:val="24"/>
        </w:rPr>
        <w:t xml:space="preserve"> that we want </w:t>
      </w:r>
      <w:r w:rsidR="003A1C70">
        <w:rPr>
          <w:sz w:val="24"/>
          <w:szCs w:val="24"/>
        </w:rPr>
        <w:t xml:space="preserve">to test </w:t>
      </w:r>
      <w:r w:rsidR="007C6412">
        <w:rPr>
          <w:sz w:val="24"/>
          <w:szCs w:val="24"/>
        </w:rPr>
        <w:t>for the managed floaters</w:t>
      </w:r>
      <w:r w:rsidR="003A1C70">
        <w:rPr>
          <w:sz w:val="24"/>
          <w:szCs w:val="24"/>
        </w:rPr>
        <w:t xml:space="preserve">:  </w:t>
      </w:r>
      <w:r w:rsidR="007C6412">
        <w:rPr>
          <w:sz w:val="24"/>
          <w:szCs w:val="24"/>
        </w:rPr>
        <w:t>that they experience external shocks as accommodating movements in their real exchange rate</w:t>
      </w:r>
      <w:r w:rsidR="003A1C70">
        <w:rPr>
          <w:sz w:val="24"/>
          <w:szCs w:val="24"/>
        </w:rPr>
        <w:t xml:space="preserve">, to a greater extent than the firm fixers do, but </w:t>
      </w:r>
      <w:r w:rsidR="00942137">
        <w:rPr>
          <w:sz w:val="24"/>
          <w:szCs w:val="24"/>
        </w:rPr>
        <w:t xml:space="preserve">to </w:t>
      </w:r>
      <w:r w:rsidR="003A1C70">
        <w:rPr>
          <w:sz w:val="24"/>
          <w:szCs w:val="24"/>
        </w:rPr>
        <w:t>a lesser extent than the free floaters.</w:t>
      </w:r>
      <w:r w:rsidR="007C6412">
        <w:rPr>
          <w:sz w:val="24"/>
          <w:szCs w:val="24"/>
        </w:rPr>
        <w:t xml:space="preserve">  </w:t>
      </w:r>
    </w:p>
    <w:p w14:paraId="1535BFF1" w14:textId="1D5EAED2" w:rsidR="00FF7EA1" w:rsidRDefault="007C6412" w:rsidP="00FF7EA1">
      <w:pPr>
        <w:ind w:firstLine="720"/>
        <w:rPr>
          <w:sz w:val="24"/>
          <w:szCs w:val="24"/>
        </w:rPr>
      </w:pPr>
      <w:r>
        <w:rPr>
          <w:sz w:val="24"/>
          <w:szCs w:val="24"/>
        </w:rPr>
        <w:t xml:space="preserve">How do we identify the systematic managed floaters?  We </w:t>
      </w:r>
      <w:r w:rsidR="00FF7EA1" w:rsidRPr="00FF7EA1">
        <w:rPr>
          <w:sz w:val="24"/>
          <w:szCs w:val="24"/>
        </w:rPr>
        <w:t xml:space="preserve">take as a starting point those that are identified as managed floaters by the IMF or by one of the other classification schemes such as Ilzetzki, Reinhart and Rogoff (2017).  </w:t>
      </w:r>
      <w:r w:rsidR="002F5845">
        <w:rPr>
          <w:sz w:val="24"/>
          <w:szCs w:val="24"/>
        </w:rPr>
        <w:t xml:space="preserve">But we have something more specific in mind, represented by the word “systematic.”  </w:t>
      </w:r>
      <w:r w:rsidR="003A1C70">
        <w:rPr>
          <w:sz w:val="24"/>
          <w:szCs w:val="24"/>
        </w:rPr>
        <w:t>We mean that when faced with Exchange Market Pressure, they tend generally to take a particular portion of it in the form of currency appreciation and the remainder in the form of higher foreign exchange reserves, where the portion lies somewhere between all (which would be free floating) and nothing (which would be firm fixing).</w:t>
      </w:r>
    </w:p>
    <w:p w14:paraId="4A1145A2" w14:textId="77777777" w:rsidR="00D74DF7" w:rsidRDefault="00164689" w:rsidP="00FF7EA1">
      <w:pPr>
        <w:ind w:firstLine="720"/>
        <w:rPr>
          <w:sz w:val="24"/>
          <w:szCs w:val="24"/>
        </w:rPr>
      </w:pPr>
      <w:r>
        <w:rPr>
          <w:sz w:val="24"/>
          <w:szCs w:val="24"/>
        </w:rPr>
        <w:t>One way to approach the problem</w:t>
      </w:r>
      <w:r w:rsidR="00D74DF7">
        <w:rPr>
          <w:sz w:val="24"/>
          <w:szCs w:val="24"/>
        </w:rPr>
        <w:t xml:space="preserve"> is to run a regression of changes in the exchange rate against Exchange Market Pressure.  A coefficient that is significantly greater than zero and significantly less than one indicates a systematic managed float.   The following section elaborates.</w:t>
      </w:r>
    </w:p>
    <w:p w14:paraId="13A943D4" w14:textId="77777777" w:rsidR="00164689" w:rsidRDefault="00D74DF7" w:rsidP="00FF7EA1">
      <w:pPr>
        <w:ind w:firstLine="720"/>
        <w:rPr>
          <w:sz w:val="24"/>
          <w:szCs w:val="24"/>
        </w:rPr>
      </w:pPr>
      <w:r>
        <w:rPr>
          <w:sz w:val="24"/>
          <w:szCs w:val="24"/>
        </w:rPr>
        <w:t>Another way to approach the problem</w:t>
      </w:r>
      <w:r w:rsidR="00164689">
        <w:rPr>
          <w:sz w:val="24"/>
          <w:szCs w:val="24"/>
        </w:rPr>
        <w:t xml:space="preserve"> is to </w:t>
      </w:r>
      <w:r>
        <w:rPr>
          <w:sz w:val="24"/>
          <w:szCs w:val="24"/>
        </w:rPr>
        <w:t xml:space="preserve">treat reserve changes </w:t>
      </w:r>
      <w:r w:rsidR="00942137">
        <w:rPr>
          <w:sz w:val="24"/>
          <w:szCs w:val="24"/>
        </w:rPr>
        <w:t xml:space="preserve">rather than exchange rate changes </w:t>
      </w:r>
      <w:r>
        <w:rPr>
          <w:sz w:val="24"/>
          <w:szCs w:val="24"/>
        </w:rPr>
        <w:t xml:space="preserve">as the dependent variable.   One </w:t>
      </w:r>
      <w:r w:rsidR="00164689">
        <w:rPr>
          <w:sz w:val="24"/>
          <w:szCs w:val="24"/>
        </w:rPr>
        <w:t>estimate</w:t>
      </w:r>
      <w:r>
        <w:rPr>
          <w:sz w:val="24"/>
          <w:szCs w:val="24"/>
        </w:rPr>
        <w:t>s</w:t>
      </w:r>
      <w:r w:rsidR="00164689">
        <w:rPr>
          <w:sz w:val="24"/>
          <w:szCs w:val="24"/>
        </w:rPr>
        <w:t xml:space="preserve"> a central bank reaction function by running a regression of foreign exchange intervention against the exchange rate.  A significant coefficient implies that the country is a systematic managed floater.  We do that </w:t>
      </w:r>
      <w:r w:rsidR="007369EE">
        <w:rPr>
          <w:sz w:val="24"/>
          <w:szCs w:val="24"/>
        </w:rPr>
        <w:t xml:space="preserve">for the case of Turkey [with a focus on two alternative measures of intervention] </w:t>
      </w:r>
      <w:r w:rsidR="00164689">
        <w:rPr>
          <w:sz w:val="24"/>
          <w:szCs w:val="24"/>
        </w:rPr>
        <w:t xml:space="preserve">in the section </w:t>
      </w:r>
      <w:r w:rsidR="007369EE">
        <w:rPr>
          <w:sz w:val="24"/>
          <w:szCs w:val="24"/>
        </w:rPr>
        <w:t>that follows the next.</w:t>
      </w:r>
    </w:p>
    <w:p w14:paraId="5F9BC5AD" w14:textId="2AF6606C" w:rsidR="00FF7EA1" w:rsidRPr="009B3044" w:rsidRDefault="007369EE" w:rsidP="009B3044">
      <w:pPr>
        <w:ind w:firstLine="720"/>
        <w:rPr>
          <w:sz w:val="24"/>
          <w:szCs w:val="24"/>
        </w:rPr>
      </w:pPr>
      <w:r>
        <w:rPr>
          <w:sz w:val="24"/>
          <w:szCs w:val="24"/>
        </w:rPr>
        <w:t>But there is a problem.   Why should intervention be considered the dependent variable and the exchange rate the independent variable?  Or why, on the other hand, should the exchange rate be considered the independent variable?  In truth, aren’t they both endogenous in the case of a managed float?</w:t>
      </w:r>
      <w:r w:rsidR="000B0630">
        <w:rPr>
          <w:sz w:val="24"/>
          <w:szCs w:val="24"/>
        </w:rPr>
        <w:br/>
      </w:r>
    </w:p>
    <w:p w14:paraId="75FB5762" w14:textId="77777777" w:rsidR="000D53F1" w:rsidRPr="000D53F1" w:rsidRDefault="000D53F1" w:rsidP="000D53F1">
      <w:pPr>
        <w:pStyle w:val="ListParagraph"/>
        <w:numPr>
          <w:ilvl w:val="2"/>
          <w:numId w:val="1"/>
        </w:numPr>
        <w:rPr>
          <w:sz w:val="24"/>
          <w:szCs w:val="24"/>
        </w:rPr>
      </w:pPr>
      <w:r>
        <w:rPr>
          <w:sz w:val="24"/>
          <w:szCs w:val="24"/>
        </w:rPr>
        <w:t xml:space="preserve"> A simple-minded criterion for systematic managed floaters</w:t>
      </w:r>
    </w:p>
    <w:p w14:paraId="46544D20" w14:textId="77777777" w:rsidR="003E0F20" w:rsidRDefault="000D53F1" w:rsidP="003E0F20">
      <w:pPr>
        <w:ind w:firstLine="720"/>
        <w:rPr>
          <w:sz w:val="24"/>
          <w:szCs w:val="24"/>
        </w:rPr>
      </w:pPr>
      <w:r>
        <w:rPr>
          <w:sz w:val="24"/>
          <w:szCs w:val="24"/>
        </w:rPr>
        <w:t xml:space="preserve">We here propose an amazingly simple-minded test to identify systematic managed floaters.  Whether its crudeness is considered a </w:t>
      </w:r>
      <w:r w:rsidR="00FF6D6F">
        <w:rPr>
          <w:sz w:val="24"/>
          <w:szCs w:val="24"/>
        </w:rPr>
        <w:t>vice or its elegance is considered a virtue</w:t>
      </w:r>
      <w:r>
        <w:rPr>
          <w:sz w:val="24"/>
          <w:szCs w:val="24"/>
        </w:rPr>
        <w:t xml:space="preserve">, it at least has the desirable property of making no presumption about direction of causality.  </w:t>
      </w:r>
    </w:p>
    <w:p w14:paraId="2B1FAEA6" w14:textId="77777777" w:rsidR="003E0F20" w:rsidRDefault="000D53F1" w:rsidP="003E0F20">
      <w:pPr>
        <w:ind w:firstLine="720"/>
        <w:rPr>
          <w:sz w:val="24"/>
          <w:szCs w:val="24"/>
        </w:rPr>
      </w:pPr>
      <w:r>
        <w:rPr>
          <w:sz w:val="24"/>
          <w:szCs w:val="24"/>
        </w:rPr>
        <w:lastRenderedPageBreak/>
        <w:t>The test is to compute for each country the correlation of the change in the foreign exchange value of the currency (in percent) with the change in reserves (as a percentage of the monetary base).   If the correla</w:t>
      </w:r>
      <w:r w:rsidR="00FF6D6F">
        <w:rPr>
          <w:sz w:val="24"/>
          <w:szCs w:val="24"/>
        </w:rPr>
        <w:t xml:space="preserve">tion is positive and </w:t>
      </w:r>
      <w:r>
        <w:rPr>
          <w:sz w:val="24"/>
          <w:szCs w:val="24"/>
        </w:rPr>
        <w:t>high</w:t>
      </w:r>
      <w:r w:rsidR="00FF6D6F">
        <w:rPr>
          <w:sz w:val="24"/>
          <w:szCs w:val="24"/>
        </w:rPr>
        <w:t xml:space="preserve"> enough to clear some threshold</w:t>
      </w:r>
      <w:r>
        <w:rPr>
          <w:sz w:val="24"/>
          <w:szCs w:val="24"/>
        </w:rPr>
        <w:t xml:space="preserve"> it is a systematic managed floater.</w:t>
      </w:r>
      <w:r w:rsidR="003E0F20">
        <w:rPr>
          <w:sz w:val="24"/>
          <w:szCs w:val="24"/>
        </w:rPr>
        <w:t xml:space="preserve">   At one extreme, a truly fixed exchange rate will show a correlation of zero, because the exchange rate by definition never changes.   At the other extreme, a purely floating exchange rate will again show a coefficient of zero, because reserves by definition never change.   But it is not just the residents of fixed and floating corners that will fail to meet this criterion.  Most countries that are normally classified as </w:t>
      </w:r>
      <w:r w:rsidR="00942137">
        <w:rPr>
          <w:sz w:val="24"/>
          <w:szCs w:val="24"/>
        </w:rPr>
        <w:t>intermediate regimes</w:t>
      </w:r>
      <w:r w:rsidR="003E0F20">
        <w:rPr>
          <w:sz w:val="24"/>
          <w:szCs w:val="24"/>
        </w:rPr>
        <w:t xml:space="preserve"> will fail the criterion as well, their intervention being much more episodic than that.  Only those that respond to exchange market pressure systematically will show a high positive correlation.</w:t>
      </w:r>
      <w:r w:rsidR="003E0F20">
        <w:rPr>
          <w:rStyle w:val="FootnoteReference"/>
          <w:sz w:val="24"/>
          <w:szCs w:val="24"/>
        </w:rPr>
        <w:footnoteReference w:id="25"/>
      </w:r>
    </w:p>
    <w:p w14:paraId="61949FB8" w14:textId="4C7BF57C" w:rsidR="00B06815" w:rsidRDefault="003E0F20" w:rsidP="003E0F20">
      <w:pPr>
        <w:pStyle w:val="ListParagraph"/>
        <w:ind w:left="0" w:firstLine="720"/>
        <w:rPr>
          <w:sz w:val="24"/>
          <w:szCs w:val="24"/>
        </w:rPr>
      </w:pPr>
      <w:r>
        <w:rPr>
          <w:sz w:val="24"/>
          <w:szCs w:val="24"/>
        </w:rPr>
        <w:t>A correlation coefficient of 1, hypothetically, would mean that the management of the f</w:t>
      </w:r>
      <w:r w:rsidR="00942137">
        <w:rPr>
          <w:sz w:val="24"/>
          <w:szCs w:val="24"/>
        </w:rPr>
        <w:t xml:space="preserve">loat is perfectly systematic.  </w:t>
      </w:r>
      <w:r>
        <w:rPr>
          <w:sz w:val="24"/>
          <w:szCs w:val="24"/>
        </w:rPr>
        <w:t xml:space="preserve">A separate question is how aggressive the management is.  Assume a constant of proportionality </w:t>
      </w:r>
      <w:r w:rsidR="00370A0F">
        <w:rPr>
          <w:sz w:val="24"/>
          <w:szCs w:val="24"/>
        </w:rPr>
        <w:t xml:space="preserve">φ </w:t>
      </w:r>
      <w:r>
        <w:rPr>
          <w:sz w:val="24"/>
          <w:szCs w:val="24"/>
        </w:rPr>
        <w:t>between percentage exchange rate changes and percentage reserve changes</w:t>
      </w:r>
      <w:r w:rsidR="00B06815">
        <w:rPr>
          <w:sz w:val="24"/>
          <w:szCs w:val="24"/>
        </w:rPr>
        <w:t>:</w:t>
      </w:r>
      <w:r>
        <w:rPr>
          <w:sz w:val="24"/>
          <w:szCs w:val="24"/>
        </w:rPr>
        <w:t xml:space="preserve">  </w:t>
      </w:r>
    </w:p>
    <w:p w14:paraId="6C491C14" w14:textId="4A858025" w:rsidR="00370A0F" w:rsidRDefault="00370A0F" w:rsidP="00370A0F">
      <w:pPr>
        <w:pStyle w:val="ListParagraph"/>
        <w:ind w:left="2160" w:firstLine="720"/>
        <w:rPr>
          <w:sz w:val="24"/>
          <w:szCs w:val="24"/>
        </w:rPr>
      </w:pPr>
      <w:r>
        <w:rPr>
          <w:sz w:val="24"/>
          <w:szCs w:val="24"/>
        </w:rPr>
        <w:t xml:space="preserve">          </w:t>
      </w:r>
      <w:r w:rsidR="00B06815">
        <w:rPr>
          <w:sz w:val="24"/>
          <w:szCs w:val="24"/>
        </w:rPr>
        <w:t xml:space="preserve">Δs = φ (ΔRes)/MB, </w:t>
      </w:r>
      <w:r>
        <w:rPr>
          <w:sz w:val="24"/>
          <w:szCs w:val="24"/>
        </w:rPr>
        <w:tab/>
      </w:r>
      <w:r>
        <w:rPr>
          <w:sz w:val="24"/>
          <w:szCs w:val="24"/>
        </w:rPr>
        <w:tab/>
      </w:r>
      <w:r>
        <w:rPr>
          <w:sz w:val="24"/>
          <w:szCs w:val="24"/>
        </w:rPr>
        <w:tab/>
      </w:r>
      <w:r>
        <w:rPr>
          <w:sz w:val="24"/>
          <w:szCs w:val="24"/>
        </w:rPr>
        <w:tab/>
      </w:r>
      <w:r>
        <w:rPr>
          <w:sz w:val="24"/>
          <w:szCs w:val="24"/>
        </w:rPr>
        <w:tab/>
        <w:t>(1)</w:t>
      </w:r>
    </w:p>
    <w:p w14:paraId="75440E57" w14:textId="1135DC37" w:rsidR="00B06815" w:rsidRDefault="00B06815" w:rsidP="00370A0F">
      <w:pPr>
        <w:rPr>
          <w:sz w:val="24"/>
          <w:szCs w:val="24"/>
        </w:rPr>
      </w:pPr>
      <w:r w:rsidRPr="00370A0F">
        <w:rPr>
          <w:sz w:val="24"/>
          <w:szCs w:val="24"/>
        </w:rPr>
        <w:t xml:space="preserve">where </w:t>
      </w:r>
      <w:r w:rsidR="00370A0F" w:rsidRPr="00370A0F">
        <w:rPr>
          <w:sz w:val="24"/>
          <w:szCs w:val="24"/>
        </w:rPr>
        <w:t>Δ</w:t>
      </w:r>
      <w:r w:rsidRPr="00370A0F">
        <w:rPr>
          <w:sz w:val="24"/>
          <w:szCs w:val="24"/>
        </w:rPr>
        <w:t>s ≡ the</w:t>
      </w:r>
      <w:r w:rsidR="00370A0F" w:rsidRPr="00370A0F">
        <w:rPr>
          <w:sz w:val="24"/>
          <w:szCs w:val="24"/>
        </w:rPr>
        <w:t xml:space="preserve"> change in the log of the</w:t>
      </w:r>
      <w:r w:rsidRPr="00370A0F">
        <w:rPr>
          <w:sz w:val="24"/>
          <w:szCs w:val="24"/>
        </w:rPr>
        <w:t xml:space="preserve"> foreign exchange value of the domestic currency</w:t>
      </w:r>
      <w:r w:rsidR="00370A0F">
        <w:rPr>
          <w:sz w:val="24"/>
          <w:szCs w:val="24"/>
        </w:rPr>
        <w:t>;</w:t>
      </w:r>
      <w:r w:rsidR="00370A0F">
        <w:rPr>
          <w:sz w:val="24"/>
          <w:szCs w:val="24"/>
        </w:rPr>
        <w:br/>
      </w:r>
      <w:r>
        <w:rPr>
          <w:sz w:val="24"/>
          <w:szCs w:val="24"/>
        </w:rPr>
        <w:t>ΔRes ≡</w:t>
      </w:r>
      <w:r w:rsidR="00370A0F">
        <w:rPr>
          <w:sz w:val="24"/>
          <w:szCs w:val="24"/>
        </w:rPr>
        <w:t xml:space="preserve"> the change in the central bank’s holdings of foreign exchange reserves;</w:t>
      </w:r>
      <w:r w:rsidR="00370A0F">
        <w:rPr>
          <w:sz w:val="24"/>
          <w:szCs w:val="24"/>
        </w:rPr>
        <w:br/>
      </w:r>
      <w:r>
        <w:rPr>
          <w:sz w:val="24"/>
          <w:szCs w:val="24"/>
        </w:rPr>
        <w:t>MB ≡</w:t>
      </w:r>
      <w:r w:rsidR="00370A0F">
        <w:rPr>
          <w:sz w:val="24"/>
          <w:szCs w:val="24"/>
        </w:rPr>
        <w:t xml:space="preserve"> monetary base;</w:t>
      </w:r>
      <w:r>
        <w:rPr>
          <w:sz w:val="24"/>
          <w:szCs w:val="24"/>
        </w:rPr>
        <w:br/>
        <w:t>φ ≡</w:t>
      </w:r>
      <w:r w:rsidR="00370A0F">
        <w:rPr>
          <w:sz w:val="24"/>
          <w:szCs w:val="24"/>
        </w:rPr>
        <w:t xml:space="preserve"> the parameter that captures how flexible is the exchange rate regime.</w:t>
      </w:r>
    </w:p>
    <w:p w14:paraId="797BF0F7" w14:textId="27042D48" w:rsidR="003E0F20" w:rsidRPr="00BE7656" w:rsidRDefault="003E0F20" w:rsidP="00370A0F">
      <w:pPr>
        <w:pStyle w:val="ListParagraph"/>
        <w:ind w:left="0" w:firstLine="720"/>
        <w:rPr>
          <w:sz w:val="24"/>
          <w:szCs w:val="24"/>
        </w:rPr>
      </w:pPr>
      <w:r>
        <w:rPr>
          <w:sz w:val="24"/>
          <w:szCs w:val="24"/>
        </w:rPr>
        <w:t xml:space="preserve">At one extreme, if the constant </w:t>
      </w:r>
      <w:r w:rsidR="00370A0F">
        <w:rPr>
          <w:sz w:val="24"/>
          <w:szCs w:val="24"/>
        </w:rPr>
        <w:t xml:space="preserve">φ </w:t>
      </w:r>
      <w:r>
        <w:rPr>
          <w:sz w:val="24"/>
          <w:szCs w:val="24"/>
        </w:rPr>
        <w:t>is zero then the regime</w:t>
      </w:r>
      <w:r w:rsidR="00942137">
        <w:rPr>
          <w:sz w:val="24"/>
          <w:szCs w:val="24"/>
        </w:rPr>
        <w:t xml:space="preserve"> in the limit</w:t>
      </w:r>
      <w:r>
        <w:rPr>
          <w:sz w:val="24"/>
          <w:szCs w:val="24"/>
        </w:rPr>
        <w:t xml:space="preserve"> is so heavily managed that it onc</w:t>
      </w:r>
      <w:r w:rsidR="00942137">
        <w:rPr>
          <w:sz w:val="24"/>
          <w:szCs w:val="24"/>
        </w:rPr>
        <w:t xml:space="preserve">e again collapses into a peg.  </w:t>
      </w:r>
      <w:r>
        <w:rPr>
          <w:sz w:val="24"/>
          <w:szCs w:val="24"/>
        </w:rPr>
        <w:t>At the far extreme, as the constant goes to infinity</w:t>
      </w:r>
      <w:r w:rsidR="00942137">
        <w:rPr>
          <w:sz w:val="24"/>
          <w:szCs w:val="24"/>
        </w:rPr>
        <w:t>,</w:t>
      </w:r>
      <w:r>
        <w:rPr>
          <w:sz w:val="24"/>
          <w:szCs w:val="24"/>
        </w:rPr>
        <w:t xml:space="preserve"> the currency is so lightly managed </w:t>
      </w:r>
      <w:r w:rsidR="00942137">
        <w:rPr>
          <w:sz w:val="24"/>
          <w:szCs w:val="24"/>
        </w:rPr>
        <w:t xml:space="preserve">that in the limit </w:t>
      </w:r>
      <w:r>
        <w:rPr>
          <w:sz w:val="24"/>
          <w:szCs w:val="24"/>
        </w:rPr>
        <w:t>becomes a float.</w:t>
      </w:r>
      <w:r w:rsidR="00FF6D6F">
        <w:rPr>
          <w:sz w:val="24"/>
          <w:szCs w:val="24"/>
        </w:rPr>
        <w:t xml:space="preserve">   In between, a finite </w:t>
      </w:r>
      <w:r w:rsidR="00370A0F">
        <w:rPr>
          <w:sz w:val="24"/>
          <w:szCs w:val="24"/>
        </w:rPr>
        <w:t xml:space="preserve">φ  </w:t>
      </w:r>
      <w:r w:rsidR="00FF6D6F">
        <w:rPr>
          <w:sz w:val="24"/>
          <w:szCs w:val="24"/>
        </w:rPr>
        <w:t>implies an intermediate degree of management, which is what we have in mind.</w:t>
      </w:r>
    </w:p>
    <w:p w14:paraId="22D82BB1" w14:textId="77777777" w:rsidR="003E0F20" w:rsidRPr="000D53F1" w:rsidRDefault="00FF6D6F" w:rsidP="000D53F1">
      <w:pPr>
        <w:ind w:firstLine="720"/>
        <w:rPr>
          <w:sz w:val="24"/>
          <w:szCs w:val="24"/>
        </w:rPr>
      </w:pPr>
      <w:r>
        <w:rPr>
          <w:sz w:val="24"/>
          <w:szCs w:val="24"/>
        </w:rPr>
        <w:t xml:space="preserve">There is one dimension on which the correlation test may lose its claim to elegance.  That is the question of what is the numeraire currency in which the exchange rate and value of foreign exchange reserves is measured.  We start by using the dollar, which will give the right answer for many countries.   </w:t>
      </w:r>
      <w:r w:rsidR="00942137">
        <w:rPr>
          <w:sz w:val="24"/>
          <w:szCs w:val="24"/>
        </w:rPr>
        <w:t>But some c</w:t>
      </w:r>
      <w:r>
        <w:rPr>
          <w:sz w:val="24"/>
          <w:szCs w:val="24"/>
        </w:rPr>
        <w:t xml:space="preserve">ountries gauge the value of their currency in terms of </w:t>
      </w:r>
      <w:r w:rsidR="00942137">
        <w:rPr>
          <w:sz w:val="24"/>
          <w:szCs w:val="24"/>
        </w:rPr>
        <w:t xml:space="preserve">other major countries or </w:t>
      </w:r>
      <w:r>
        <w:rPr>
          <w:sz w:val="24"/>
          <w:szCs w:val="24"/>
        </w:rPr>
        <w:t xml:space="preserve">a weighted average </w:t>
      </w:r>
      <w:r w:rsidR="00942137">
        <w:rPr>
          <w:sz w:val="24"/>
          <w:szCs w:val="24"/>
        </w:rPr>
        <w:t>of trading partners</w:t>
      </w:r>
      <w:r>
        <w:rPr>
          <w:sz w:val="24"/>
          <w:szCs w:val="24"/>
        </w:rPr>
        <w:t xml:space="preserve">.  This obviously </w:t>
      </w:r>
      <w:r w:rsidR="00233249">
        <w:rPr>
          <w:sz w:val="24"/>
          <w:szCs w:val="24"/>
        </w:rPr>
        <w:t xml:space="preserve">needs to be considered for </w:t>
      </w:r>
      <w:r>
        <w:rPr>
          <w:sz w:val="24"/>
          <w:szCs w:val="24"/>
        </w:rPr>
        <w:t xml:space="preserve">those that formally declare a role for a basket in their regime, but it is likely true at an implicit level of others too.  </w:t>
      </w:r>
    </w:p>
    <w:p w14:paraId="5A10F7CC" w14:textId="62442E39" w:rsidR="000D53F1" w:rsidRDefault="00FF6D6F" w:rsidP="00FF6D6F">
      <w:pPr>
        <w:rPr>
          <w:sz w:val="24"/>
          <w:szCs w:val="24"/>
        </w:rPr>
      </w:pPr>
      <w:r>
        <w:rPr>
          <w:sz w:val="24"/>
          <w:szCs w:val="24"/>
        </w:rPr>
        <w:lastRenderedPageBreak/>
        <w:tab/>
        <w:t>We could address this problem with alternative approaches such as</w:t>
      </w:r>
      <w:r w:rsidR="00233249">
        <w:rPr>
          <w:sz w:val="24"/>
          <w:szCs w:val="24"/>
        </w:rPr>
        <w:t xml:space="preserve"> using the SDR as the numeraire</w:t>
      </w:r>
      <w:r>
        <w:rPr>
          <w:sz w:val="24"/>
          <w:szCs w:val="24"/>
        </w:rPr>
        <w:t xml:space="preserve"> or experimenting on a case-by-case basis.  But </w:t>
      </w:r>
      <w:r w:rsidR="00370A0F">
        <w:rPr>
          <w:sz w:val="24"/>
          <w:szCs w:val="24"/>
        </w:rPr>
        <w:t xml:space="preserve">a </w:t>
      </w:r>
      <w:r>
        <w:rPr>
          <w:sz w:val="24"/>
          <w:szCs w:val="24"/>
        </w:rPr>
        <w:t xml:space="preserve">well-specified way to estimate the </w:t>
      </w:r>
      <w:r w:rsidR="00370A0F">
        <w:rPr>
          <w:sz w:val="24"/>
          <w:szCs w:val="24"/>
        </w:rPr>
        <w:t xml:space="preserve">implicit </w:t>
      </w:r>
      <w:r>
        <w:rPr>
          <w:sz w:val="24"/>
          <w:szCs w:val="24"/>
        </w:rPr>
        <w:t xml:space="preserve">weights in a currency basket is described in the following section, so for </w:t>
      </w:r>
      <w:r w:rsidR="00370A0F">
        <w:rPr>
          <w:sz w:val="24"/>
          <w:szCs w:val="24"/>
        </w:rPr>
        <w:t>the moment</w:t>
      </w:r>
      <w:r>
        <w:rPr>
          <w:sz w:val="24"/>
          <w:szCs w:val="24"/>
        </w:rPr>
        <w:t xml:space="preserve"> we will be content with the dollar numeraire.</w:t>
      </w:r>
    </w:p>
    <w:p w14:paraId="2CAF2735" w14:textId="6AEA1CAA" w:rsidR="006D5861" w:rsidRPr="006D5861" w:rsidRDefault="00BD3BD5" w:rsidP="006D5861">
      <w:pPr>
        <w:ind w:firstLine="720"/>
        <w:rPr>
          <w:sz w:val="24"/>
          <w:szCs w:val="24"/>
        </w:rPr>
      </w:pPr>
      <w:r>
        <w:rPr>
          <w:rFonts w:eastAsiaTheme="minorEastAsia"/>
          <w:b/>
          <w:sz w:val="26"/>
          <w:szCs w:val="26"/>
        </w:rPr>
        <w:t xml:space="preserve">Table 1: </w:t>
      </w:r>
      <w:r w:rsidRPr="00B01B73">
        <w:rPr>
          <w:rFonts w:eastAsiaTheme="minorEastAsia"/>
          <w:b/>
          <w:sz w:val="26"/>
          <w:szCs w:val="26"/>
        </w:rPr>
        <w:t xml:space="preserve">Correlation between Δ </w:t>
      </w:r>
      <w:r w:rsidR="00AA0544">
        <w:rPr>
          <w:rFonts w:eastAsiaTheme="minorEastAsia"/>
          <w:b/>
          <w:sz w:val="26"/>
          <w:szCs w:val="26"/>
        </w:rPr>
        <w:t>s</w:t>
      </w:r>
      <w:r w:rsidRPr="00B01B73">
        <w:rPr>
          <w:rFonts w:eastAsiaTheme="minorEastAsia"/>
          <w:b/>
          <w:sz w:val="26"/>
          <w:szCs w:val="26"/>
        </w:rPr>
        <w:t xml:space="preserve"> and (Δ Res)/MB</w:t>
      </w:r>
    </w:p>
    <w:p w14:paraId="174BA36F" w14:textId="62B8E9B1" w:rsidR="00BD3BD5" w:rsidRPr="006D5861" w:rsidRDefault="006D5861" w:rsidP="006D5861">
      <w:pPr>
        <w:ind w:left="1440" w:firstLine="720"/>
      </w:pPr>
      <w:r>
        <w:rPr>
          <w:rStyle w:val="apple-converted-space"/>
          <w:rFonts w:ascii="Arial" w:hAnsi="Arial" w:cs="Arial"/>
          <w:color w:val="222222"/>
          <w:shd w:val="clear" w:color="auto" w:fill="FFFFFF"/>
        </w:rPr>
        <w:t> </w:t>
      </w:r>
      <w:r>
        <w:rPr>
          <w:rFonts w:ascii="Arial" w:hAnsi="Arial" w:cs="Arial"/>
          <w:color w:val="222222"/>
          <w:shd w:val="clear" w:color="auto" w:fill="FFFFFF"/>
        </w:rPr>
        <w:t>(Jan. 1997-Dec.2015)</w:t>
      </w:r>
    </w:p>
    <w:tbl>
      <w:tblPr>
        <w:tblStyle w:val="PlainTable41"/>
        <w:tblW w:w="11088" w:type="dxa"/>
        <w:tblLook w:val="04A0" w:firstRow="1" w:lastRow="0" w:firstColumn="1" w:lastColumn="0" w:noHBand="0" w:noVBand="1"/>
      </w:tblPr>
      <w:tblGrid>
        <w:gridCol w:w="558"/>
        <w:gridCol w:w="252"/>
        <w:gridCol w:w="108"/>
        <w:gridCol w:w="3420"/>
        <w:gridCol w:w="4301"/>
        <w:gridCol w:w="1099"/>
        <w:gridCol w:w="1350"/>
      </w:tblGrid>
      <w:tr w:rsidR="00BD3BD5" w:rsidRPr="00097A51" w14:paraId="574CD99F" w14:textId="77777777" w:rsidTr="00AA05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gridSpan w:val="2"/>
          </w:tcPr>
          <w:p w14:paraId="4BC9A514" w14:textId="77777777" w:rsidR="00BD3BD5" w:rsidRPr="00097A51" w:rsidRDefault="00BD3BD5" w:rsidP="002F782A">
            <w:pPr>
              <w:rPr>
                <w:sz w:val="24"/>
                <w:szCs w:val="24"/>
              </w:rPr>
            </w:pPr>
            <w:r>
              <w:rPr>
                <w:sz w:val="24"/>
                <w:szCs w:val="24"/>
              </w:rPr>
              <w:t xml:space="preserve">          </w:t>
            </w:r>
          </w:p>
        </w:tc>
        <w:tc>
          <w:tcPr>
            <w:tcW w:w="10278" w:type="dxa"/>
            <w:gridSpan w:val="5"/>
          </w:tcPr>
          <w:p w14:paraId="11CEBC3F" w14:textId="77777777" w:rsidR="00BD3BD5" w:rsidRPr="00787123" w:rsidRDefault="00BD3BD5" w:rsidP="002F782A">
            <w:pPr>
              <w:cnfStyle w:val="100000000000" w:firstRow="1" w:lastRow="0" w:firstColumn="0" w:lastColumn="0" w:oddVBand="0" w:evenVBand="0" w:oddHBand="0" w:evenHBand="0" w:firstRowFirstColumn="0" w:firstRowLastColumn="0" w:lastRowFirstColumn="0" w:lastRowLastColumn="0"/>
              <w:rPr>
                <w:rFonts w:eastAsiaTheme="minorEastAsia"/>
                <w:sz w:val="24"/>
                <w:szCs w:val="24"/>
              </w:rPr>
            </w:pPr>
            <w:r w:rsidRPr="00787123">
              <w:rPr>
                <w:sz w:val="26"/>
                <w:szCs w:val="24"/>
              </w:rPr>
              <w:t>Asian Economies (Non-Commodity-Exporters)</w:t>
            </w:r>
          </w:p>
          <w:tbl>
            <w:tblPr>
              <w:tblStyle w:val="PlainTable41"/>
              <w:tblW w:w="10062" w:type="dxa"/>
              <w:tblLook w:val="04A0" w:firstRow="1" w:lastRow="0" w:firstColumn="1" w:lastColumn="0" w:noHBand="0" w:noVBand="1"/>
            </w:tblPr>
            <w:tblGrid>
              <w:gridCol w:w="3451"/>
              <w:gridCol w:w="6611"/>
            </w:tblGrid>
            <w:tr w:rsidR="00BD3BD5" w:rsidRPr="00097A51" w14:paraId="3337509E"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1" w:type="dxa"/>
                </w:tcPr>
                <w:p w14:paraId="43187768" w14:textId="77777777" w:rsidR="00BD3BD5" w:rsidRPr="00097A51" w:rsidRDefault="00BD3BD5" w:rsidP="002F782A">
                  <w:pPr>
                    <w:rPr>
                      <w:sz w:val="24"/>
                      <w:szCs w:val="24"/>
                    </w:rPr>
                  </w:pPr>
                  <w:r>
                    <w:rPr>
                      <w:sz w:val="24"/>
                      <w:szCs w:val="24"/>
                    </w:rPr>
                    <w:t>Hong Kong</w:t>
                  </w:r>
                  <w:r w:rsidRPr="00097A51">
                    <w:rPr>
                      <w:sz w:val="24"/>
                      <w:szCs w:val="24"/>
                    </w:rPr>
                    <w:t xml:space="preserve"> </w:t>
                  </w:r>
                </w:p>
              </w:tc>
              <w:tc>
                <w:tcPr>
                  <w:tcW w:w="6611" w:type="dxa"/>
                </w:tcPr>
                <w:p w14:paraId="1CA9A54E" w14:textId="77777777" w:rsidR="00BD3BD5" w:rsidRPr="00787123" w:rsidRDefault="00BD3BD5" w:rsidP="002F782A">
                  <w:pPr>
                    <w:cnfStyle w:val="100000000000" w:firstRow="1" w:lastRow="0" w:firstColumn="0" w:lastColumn="0" w:oddVBand="0" w:evenVBand="0" w:oddHBand="0" w:evenHBand="0" w:firstRowFirstColumn="0" w:firstRowLastColumn="0" w:lastRowFirstColumn="0" w:lastRowLastColumn="0"/>
                    <w:rPr>
                      <w:b w:val="0"/>
                      <w:sz w:val="24"/>
                      <w:szCs w:val="24"/>
                    </w:rPr>
                  </w:pPr>
                  <w:r w:rsidRPr="00787123">
                    <w:rPr>
                      <w:b w:val="0"/>
                      <w:sz w:val="24"/>
                      <w:szCs w:val="24"/>
                    </w:rPr>
                    <w:t>0.0446</w:t>
                  </w:r>
                </w:p>
              </w:tc>
            </w:tr>
            <w:tr w:rsidR="00BD3BD5" w:rsidRPr="00097A51" w14:paraId="7F42D861"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1" w:type="dxa"/>
                </w:tcPr>
                <w:p w14:paraId="6C1C8879" w14:textId="77777777" w:rsidR="00BD3BD5" w:rsidRPr="00097A51" w:rsidRDefault="00BD3BD5" w:rsidP="002F782A">
                  <w:pPr>
                    <w:rPr>
                      <w:sz w:val="24"/>
                      <w:szCs w:val="24"/>
                    </w:rPr>
                  </w:pPr>
                  <w:r>
                    <w:rPr>
                      <w:sz w:val="24"/>
                      <w:szCs w:val="24"/>
                    </w:rPr>
                    <w:t>India</w:t>
                  </w:r>
                </w:p>
              </w:tc>
              <w:tc>
                <w:tcPr>
                  <w:tcW w:w="6611" w:type="dxa"/>
                </w:tcPr>
                <w:p w14:paraId="1DAC8A50"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0.4453</w:t>
                  </w:r>
                </w:p>
              </w:tc>
            </w:tr>
            <w:tr w:rsidR="00BD3BD5" w:rsidRPr="00097A51" w14:paraId="07F5981D" w14:textId="77777777" w:rsidTr="002F782A">
              <w:tc>
                <w:tcPr>
                  <w:cnfStyle w:val="001000000000" w:firstRow="0" w:lastRow="0" w:firstColumn="1" w:lastColumn="0" w:oddVBand="0" w:evenVBand="0" w:oddHBand="0" w:evenHBand="0" w:firstRowFirstColumn="0" w:firstRowLastColumn="0" w:lastRowFirstColumn="0" w:lastRowLastColumn="0"/>
                  <w:tcW w:w="3451" w:type="dxa"/>
                </w:tcPr>
                <w:p w14:paraId="4273FFB8" w14:textId="77777777" w:rsidR="00BD3BD5" w:rsidRPr="00097A51" w:rsidRDefault="00BD3BD5" w:rsidP="002F782A">
                  <w:pPr>
                    <w:rPr>
                      <w:sz w:val="24"/>
                      <w:szCs w:val="24"/>
                    </w:rPr>
                  </w:pPr>
                  <w:r>
                    <w:rPr>
                      <w:sz w:val="24"/>
                      <w:szCs w:val="24"/>
                    </w:rPr>
                    <w:t>Korea, Rep.</w:t>
                  </w:r>
                </w:p>
              </w:tc>
              <w:tc>
                <w:tcPr>
                  <w:tcW w:w="6611" w:type="dxa"/>
                </w:tcPr>
                <w:p w14:paraId="772600B2"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0.5530</w:t>
                  </w:r>
                </w:p>
              </w:tc>
            </w:tr>
            <w:tr w:rsidR="00BD3BD5" w:rsidRPr="00097A51" w14:paraId="1AFB17B4"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1" w:type="dxa"/>
                </w:tcPr>
                <w:p w14:paraId="73D9564A" w14:textId="77777777" w:rsidR="00BD3BD5" w:rsidRPr="00097A51" w:rsidRDefault="00BD3BD5" w:rsidP="002F782A">
                  <w:pPr>
                    <w:rPr>
                      <w:sz w:val="24"/>
                      <w:szCs w:val="24"/>
                    </w:rPr>
                  </w:pPr>
                  <w:r>
                    <w:rPr>
                      <w:sz w:val="24"/>
                      <w:szCs w:val="24"/>
                    </w:rPr>
                    <w:t>Malaysia</w:t>
                  </w:r>
                </w:p>
              </w:tc>
              <w:tc>
                <w:tcPr>
                  <w:tcW w:w="6611" w:type="dxa"/>
                </w:tcPr>
                <w:p w14:paraId="73D05934"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0.2685</w:t>
                  </w:r>
                </w:p>
              </w:tc>
            </w:tr>
            <w:tr w:rsidR="00BD3BD5" w:rsidRPr="00097A51" w14:paraId="1ED2EF41" w14:textId="77777777" w:rsidTr="002F782A">
              <w:tc>
                <w:tcPr>
                  <w:cnfStyle w:val="001000000000" w:firstRow="0" w:lastRow="0" w:firstColumn="1" w:lastColumn="0" w:oddVBand="0" w:evenVBand="0" w:oddHBand="0" w:evenHBand="0" w:firstRowFirstColumn="0" w:firstRowLastColumn="0" w:lastRowFirstColumn="0" w:lastRowLastColumn="0"/>
                  <w:tcW w:w="3451" w:type="dxa"/>
                </w:tcPr>
                <w:p w14:paraId="2DC918F4" w14:textId="77777777" w:rsidR="00BD3BD5" w:rsidRPr="00097A51" w:rsidRDefault="00BD3BD5" w:rsidP="002F782A">
                  <w:pPr>
                    <w:rPr>
                      <w:sz w:val="24"/>
                      <w:szCs w:val="24"/>
                    </w:rPr>
                  </w:pPr>
                  <w:r>
                    <w:rPr>
                      <w:sz w:val="24"/>
                      <w:szCs w:val="24"/>
                    </w:rPr>
                    <w:t>Philippines</w:t>
                  </w:r>
                </w:p>
              </w:tc>
              <w:tc>
                <w:tcPr>
                  <w:tcW w:w="6611" w:type="dxa"/>
                </w:tcPr>
                <w:p w14:paraId="16CF03D6"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0.3023</w:t>
                  </w:r>
                </w:p>
              </w:tc>
            </w:tr>
            <w:tr w:rsidR="00BD3BD5" w:rsidRPr="00097A51" w14:paraId="1436DC33"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1" w:type="dxa"/>
                </w:tcPr>
                <w:p w14:paraId="1D31412B" w14:textId="77777777" w:rsidR="00BD3BD5" w:rsidRPr="00097A51" w:rsidRDefault="00BD3BD5" w:rsidP="002F782A">
                  <w:pPr>
                    <w:rPr>
                      <w:sz w:val="24"/>
                      <w:szCs w:val="24"/>
                    </w:rPr>
                  </w:pPr>
                  <w:r>
                    <w:rPr>
                      <w:sz w:val="24"/>
                      <w:szCs w:val="24"/>
                    </w:rPr>
                    <w:t>Singapore</w:t>
                  </w:r>
                </w:p>
              </w:tc>
              <w:tc>
                <w:tcPr>
                  <w:tcW w:w="6611" w:type="dxa"/>
                </w:tcPr>
                <w:p w14:paraId="059DDD13"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0.6074</w:t>
                  </w:r>
                </w:p>
              </w:tc>
            </w:tr>
            <w:tr w:rsidR="00BD3BD5" w:rsidRPr="00097A51" w14:paraId="2906B0F3" w14:textId="77777777" w:rsidTr="002F782A">
              <w:tc>
                <w:tcPr>
                  <w:cnfStyle w:val="001000000000" w:firstRow="0" w:lastRow="0" w:firstColumn="1" w:lastColumn="0" w:oddVBand="0" w:evenVBand="0" w:oddHBand="0" w:evenHBand="0" w:firstRowFirstColumn="0" w:firstRowLastColumn="0" w:lastRowFirstColumn="0" w:lastRowLastColumn="0"/>
                  <w:tcW w:w="3451" w:type="dxa"/>
                </w:tcPr>
                <w:p w14:paraId="17AA5025" w14:textId="77777777" w:rsidR="00BD3BD5" w:rsidRPr="00097A51" w:rsidRDefault="00BD3BD5" w:rsidP="002F782A">
                  <w:pPr>
                    <w:rPr>
                      <w:sz w:val="24"/>
                      <w:szCs w:val="24"/>
                    </w:rPr>
                  </w:pPr>
                  <w:r>
                    <w:rPr>
                      <w:sz w:val="24"/>
                      <w:szCs w:val="24"/>
                    </w:rPr>
                    <w:t>Thailand</w:t>
                  </w:r>
                </w:p>
              </w:tc>
              <w:tc>
                <w:tcPr>
                  <w:tcW w:w="6611" w:type="dxa"/>
                </w:tcPr>
                <w:p w14:paraId="7BD15715"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0.2643</w:t>
                  </w:r>
                </w:p>
              </w:tc>
            </w:tr>
            <w:tr w:rsidR="00BD3BD5" w:rsidRPr="00097A51" w14:paraId="089866A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1" w:type="dxa"/>
                </w:tcPr>
                <w:p w14:paraId="00BF188C" w14:textId="77777777" w:rsidR="00BD3BD5" w:rsidRPr="00097A51" w:rsidRDefault="00BD3BD5" w:rsidP="002F782A">
                  <w:pPr>
                    <w:rPr>
                      <w:sz w:val="24"/>
                      <w:szCs w:val="24"/>
                    </w:rPr>
                  </w:pPr>
                  <w:r>
                    <w:rPr>
                      <w:sz w:val="24"/>
                      <w:szCs w:val="24"/>
                    </w:rPr>
                    <w:t>Turkey</w:t>
                  </w:r>
                </w:p>
              </w:tc>
              <w:tc>
                <w:tcPr>
                  <w:tcW w:w="6611" w:type="dxa"/>
                </w:tcPr>
                <w:p w14:paraId="3E1D642A"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0.2950</w:t>
                  </w:r>
                </w:p>
              </w:tc>
            </w:tr>
            <w:tr w:rsidR="00BD3BD5" w:rsidRPr="00097A51" w14:paraId="581E587A" w14:textId="77777777" w:rsidTr="002F782A">
              <w:tc>
                <w:tcPr>
                  <w:cnfStyle w:val="001000000000" w:firstRow="0" w:lastRow="0" w:firstColumn="1" w:lastColumn="0" w:oddVBand="0" w:evenVBand="0" w:oddHBand="0" w:evenHBand="0" w:firstRowFirstColumn="0" w:firstRowLastColumn="0" w:lastRowFirstColumn="0" w:lastRowLastColumn="0"/>
                  <w:tcW w:w="3451" w:type="dxa"/>
                </w:tcPr>
                <w:p w14:paraId="59A77108" w14:textId="77777777" w:rsidR="00BD3BD5" w:rsidRDefault="00BD3BD5" w:rsidP="002F782A">
                  <w:pPr>
                    <w:rPr>
                      <w:sz w:val="24"/>
                      <w:szCs w:val="24"/>
                    </w:rPr>
                  </w:pPr>
                  <w:r>
                    <w:rPr>
                      <w:sz w:val="24"/>
                      <w:szCs w:val="24"/>
                    </w:rPr>
                    <w:t>Vietnam</w:t>
                  </w:r>
                </w:p>
              </w:tc>
              <w:tc>
                <w:tcPr>
                  <w:tcW w:w="6611" w:type="dxa"/>
                </w:tcPr>
                <w:p w14:paraId="07A8219E" w14:textId="77777777" w:rsidR="00BD3BD5" w:rsidRPr="00D6330E" w:rsidRDefault="00BD3BD5" w:rsidP="002F782A">
                  <w:pPr>
                    <w:cnfStyle w:val="000000000000" w:firstRow="0" w:lastRow="0" w:firstColumn="0" w:lastColumn="0" w:oddVBand="0" w:evenVBand="0" w:oddHBand="0" w:evenHBand="0" w:firstRowFirstColumn="0" w:firstRowLastColumn="0" w:lastRowFirstColumn="0" w:lastRowLastColumn="0"/>
                    <w:rPr>
                      <w:sz w:val="16"/>
                      <w:szCs w:val="16"/>
                    </w:rPr>
                  </w:pPr>
                  <w:r w:rsidRPr="00001789">
                    <w:rPr>
                      <w:sz w:val="24"/>
                      <w:szCs w:val="24"/>
                    </w:rPr>
                    <w:t>0.1142</w:t>
                  </w:r>
                </w:p>
              </w:tc>
            </w:tr>
          </w:tbl>
          <w:p w14:paraId="1F35355C" w14:textId="77777777" w:rsidR="00BD3BD5" w:rsidRPr="00097A51" w:rsidRDefault="00BD3BD5" w:rsidP="002F782A">
            <w:pPr>
              <w:cnfStyle w:val="100000000000" w:firstRow="1" w:lastRow="0" w:firstColumn="0" w:lastColumn="0" w:oddVBand="0" w:evenVBand="0" w:oddHBand="0" w:evenHBand="0" w:firstRowFirstColumn="0" w:firstRowLastColumn="0" w:lastRowFirstColumn="0" w:lastRowLastColumn="0"/>
              <w:rPr>
                <w:sz w:val="24"/>
                <w:szCs w:val="24"/>
              </w:rPr>
            </w:pPr>
            <w:r w:rsidRPr="00BD3BD5">
              <w:rPr>
                <w:sz w:val="16"/>
                <w:szCs w:val="16"/>
              </w:rPr>
              <w:br/>
            </w:r>
            <w:r w:rsidRPr="00097A51">
              <w:rPr>
                <w:sz w:val="26"/>
                <w:szCs w:val="24"/>
              </w:rPr>
              <w:t>Commodity Exporters</w:t>
            </w:r>
          </w:p>
        </w:tc>
      </w:tr>
      <w:tr w:rsidR="00BD3BD5" w:rsidRPr="00097A51" w14:paraId="0FE68C1F" w14:textId="77777777" w:rsidTr="00AA0544">
        <w:trPr>
          <w:gridBefore w:val="3"/>
          <w:gridAfter w:val="2"/>
          <w:cnfStyle w:val="000000100000" w:firstRow="0" w:lastRow="0" w:firstColumn="0" w:lastColumn="0" w:oddVBand="0" w:evenVBand="0" w:oddHBand="1" w:evenHBand="0" w:firstRowFirstColumn="0" w:firstRowLastColumn="0" w:lastRowFirstColumn="0" w:lastRowLastColumn="0"/>
          <w:wBefore w:w="918" w:type="dxa"/>
          <w:wAfter w:w="2449" w:type="dxa"/>
        </w:trPr>
        <w:tc>
          <w:tcPr>
            <w:cnfStyle w:val="001000000000" w:firstRow="0" w:lastRow="0" w:firstColumn="1" w:lastColumn="0" w:oddVBand="0" w:evenVBand="0" w:oddHBand="0" w:evenHBand="0" w:firstRowFirstColumn="0" w:firstRowLastColumn="0" w:lastRowFirstColumn="0" w:lastRowLastColumn="0"/>
            <w:tcW w:w="3420" w:type="dxa"/>
          </w:tcPr>
          <w:p w14:paraId="3A458260" w14:textId="77777777" w:rsidR="00BD3BD5" w:rsidRPr="0040629D" w:rsidRDefault="00BD3BD5" w:rsidP="002F782A">
            <w:pPr>
              <w:rPr>
                <w:sz w:val="24"/>
                <w:szCs w:val="24"/>
              </w:rPr>
            </w:pPr>
            <w:r w:rsidRPr="0040629D">
              <w:rPr>
                <w:sz w:val="24"/>
                <w:szCs w:val="24"/>
              </w:rPr>
              <w:t>Australia</w:t>
            </w:r>
          </w:p>
        </w:tc>
        <w:tc>
          <w:tcPr>
            <w:tcW w:w="4301" w:type="dxa"/>
          </w:tcPr>
          <w:p w14:paraId="17A78002" w14:textId="77777777" w:rsidR="00BD3BD5" w:rsidRPr="0040629D"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0.1755</w:t>
            </w:r>
          </w:p>
        </w:tc>
      </w:tr>
      <w:tr w:rsidR="00BD3BD5" w:rsidRPr="00097A51" w14:paraId="61182CDB"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1A9A2801" w14:textId="77777777" w:rsidR="00BD3BD5" w:rsidRPr="0040629D" w:rsidRDefault="00BD3BD5" w:rsidP="002F782A">
            <w:pPr>
              <w:rPr>
                <w:sz w:val="24"/>
                <w:szCs w:val="24"/>
              </w:rPr>
            </w:pPr>
            <w:r w:rsidRPr="0040629D">
              <w:rPr>
                <w:sz w:val="24"/>
                <w:szCs w:val="24"/>
              </w:rPr>
              <w:t xml:space="preserve">New Zealand </w:t>
            </w:r>
          </w:p>
        </w:tc>
        <w:tc>
          <w:tcPr>
            <w:tcW w:w="6750" w:type="dxa"/>
            <w:gridSpan w:val="3"/>
          </w:tcPr>
          <w:p w14:paraId="26FD5E52" w14:textId="77777777" w:rsidR="00BD3BD5" w:rsidRPr="0040629D"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40629D">
              <w:rPr>
                <w:sz w:val="24"/>
                <w:szCs w:val="24"/>
              </w:rPr>
              <w:t>0.2199</w:t>
            </w:r>
          </w:p>
        </w:tc>
      </w:tr>
      <w:tr w:rsidR="00BD3BD5" w:rsidRPr="00097A51" w14:paraId="7E6725F4"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777DA8D1" w14:textId="77777777" w:rsidR="00BD3BD5" w:rsidRPr="00097A51" w:rsidRDefault="00BD3BD5" w:rsidP="002F782A">
            <w:pPr>
              <w:rPr>
                <w:sz w:val="24"/>
                <w:szCs w:val="24"/>
              </w:rPr>
            </w:pPr>
            <w:r>
              <w:rPr>
                <w:sz w:val="24"/>
                <w:szCs w:val="24"/>
              </w:rPr>
              <w:t>South Africa</w:t>
            </w:r>
            <w:r w:rsidRPr="00097A51">
              <w:rPr>
                <w:sz w:val="24"/>
                <w:szCs w:val="24"/>
              </w:rPr>
              <w:t xml:space="preserve"> </w:t>
            </w:r>
          </w:p>
        </w:tc>
        <w:tc>
          <w:tcPr>
            <w:tcW w:w="6750" w:type="dxa"/>
            <w:gridSpan w:val="3"/>
          </w:tcPr>
          <w:p w14:paraId="2AC26345"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0.2736</w:t>
            </w:r>
          </w:p>
        </w:tc>
      </w:tr>
      <w:tr w:rsidR="00BD3BD5" w:rsidRPr="00097A51" w14:paraId="53D61DDC"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56280451" w14:textId="77777777" w:rsidR="00BD3BD5" w:rsidRPr="00097A51" w:rsidRDefault="00BD3BD5" w:rsidP="002F782A">
            <w:pPr>
              <w:rPr>
                <w:sz w:val="24"/>
                <w:szCs w:val="24"/>
              </w:rPr>
            </w:pPr>
            <w:r>
              <w:rPr>
                <w:sz w:val="24"/>
                <w:szCs w:val="24"/>
              </w:rPr>
              <w:t>Brazil</w:t>
            </w:r>
          </w:p>
        </w:tc>
        <w:tc>
          <w:tcPr>
            <w:tcW w:w="6750" w:type="dxa"/>
            <w:gridSpan w:val="3"/>
          </w:tcPr>
          <w:p w14:paraId="583A68DF"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0.2884</w:t>
            </w:r>
          </w:p>
        </w:tc>
      </w:tr>
      <w:tr w:rsidR="00BD3BD5" w:rsidRPr="00097A51" w14:paraId="6FBEE9E2"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58445B82" w14:textId="77777777" w:rsidR="00BD3BD5" w:rsidRPr="00097A51" w:rsidRDefault="00BD3BD5" w:rsidP="002F782A">
            <w:pPr>
              <w:rPr>
                <w:sz w:val="24"/>
                <w:szCs w:val="24"/>
              </w:rPr>
            </w:pPr>
            <w:r>
              <w:rPr>
                <w:sz w:val="24"/>
                <w:szCs w:val="24"/>
              </w:rPr>
              <w:t>Chile</w:t>
            </w:r>
            <w:r w:rsidRPr="00097A51">
              <w:rPr>
                <w:sz w:val="24"/>
                <w:szCs w:val="24"/>
              </w:rPr>
              <w:t xml:space="preserve"> </w:t>
            </w:r>
          </w:p>
        </w:tc>
        <w:tc>
          <w:tcPr>
            <w:tcW w:w="6750" w:type="dxa"/>
            <w:gridSpan w:val="3"/>
          </w:tcPr>
          <w:p w14:paraId="51777B38"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0.1007</w:t>
            </w:r>
          </w:p>
        </w:tc>
      </w:tr>
      <w:tr w:rsidR="00BD3BD5" w:rsidRPr="00097A51" w14:paraId="4ED98C56"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0A1F7B71" w14:textId="77777777" w:rsidR="00BD3BD5" w:rsidRPr="00097A51" w:rsidRDefault="00BD3BD5" w:rsidP="002F782A">
            <w:pPr>
              <w:rPr>
                <w:sz w:val="24"/>
                <w:szCs w:val="24"/>
              </w:rPr>
            </w:pPr>
            <w:r>
              <w:rPr>
                <w:sz w:val="24"/>
                <w:szCs w:val="24"/>
              </w:rPr>
              <w:t>Colombia</w:t>
            </w:r>
            <w:r w:rsidRPr="00097A51">
              <w:rPr>
                <w:sz w:val="24"/>
                <w:szCs w:val="24"/>
              </w:rPr>
              <w:t xml:space="preserve"> </w:t>
            </w:r>
          </w:p>
        </w:tc>
        <w:tc>
          <w:tcPr>
            <w:tcW w:w="6750" w:type="dxa"/>
            <w:gridSpan w:val="3"/>
          </w:tcPr>
          <w:p w14:paraId="74CF46BC"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0.2100</w:t>
            </w:r>
          </w:p>
        </w:tc>
      </w:tr>
      <w:tr w:rsidR="00BD3BD5" w:rsidRPr="00097A51" w14:paraId="25D6DD8F"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0AE9AAC5" w14:textId="77777777" w:rsidR="00BD3BD5" w:rsidRPr="00097A51" w:rsidRDefault="00BD3BD5" w:rsidP="002F782A">
            <w:pPr>
              <w:rPr>
                <w:sz w:val="24"/>
                <w:szCs w:val="24"/>
              </w:rPr>
            </w:pPr>
            <w:r>
              <w:rPr>
                <w:sz w:val="24"/>
                <w:szCs w:val="24"/>
              </w:rPr>
              <w:t>Indonesia</w:t>
            </w:r>
          </w:p>
        </w:tc>
        <w:tc>
          <w:tcPr>
            <w:tcW w:w="6750" w:type="dxa"/>
            <w:gridSpan w:val="3"/>
          </w:tcPr>
          <w:p w14:paraId="4148EDC8"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-0.0061</w:t>
            </w:r>
          </w:p>
        </w:tc>
      </w:tr>
      <w:tr w:rsidR="00BD3BD5" w:rsidRPr="00097A51" w14:paraId="2395C75E"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3EFE90DD" w14:textId="77777777" w:rsidR="00BD3BD5" w:rsidRPr="00097A51" w:rsidRDefault="00BD3BD5" w:rsidP="002F782A">
            <w:pPr>
              <w:rPr>
                <w:sz w:val="24"/>
                <w:szCs w:val="24"/>
              </w:rPr>
            </w:pPr>
            <w:r>
              <w:rPr>
                <w:sz w:val="24"/>
                <w:szCs w:val="24"/>
              </w:rPr>
              <w:t>Peru</w:t>
            </w:r>
            <w:r w:rsidRPr="00097A51">
              <w:rPr>
                <w:sz w:val="24"/>
                <w:szCs w:val="24"/>
              </w:rPr>
              <w:t xml:space="preserve"> </w:t>
            </w:r>
          </w:p>
        </w:tc>
        <w:tc>
          <w:tcPr>
            <w:tcW w:w="6750" w:type="dxa"/>
            <w:gridSpan w:val="3"/>
          </w:tcPr>
          <w:p w14:paraId="470846ED"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0.2758</w:t>
            </w:r>
          </w:p>
        </w:tc>
      </w:tr>
      <w:tr w:rsidR="00BD3BD5" w:rsidRPr="00097A51" w14:paraId="1D0E9AEC"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440E2FC0" w14:textId="77777777" w:rsidR="00BD3BD5" w:rsidRPr="00097A51" w:rsidRDefault="00BD3BD5" w:rsidP="002F782A">
            <w:pPr>
              <w:rPr>
                <w:sz w:val="24"/>
                <w:szCs w:val="24"/>
              </w:rPr>
            </w:pPr>
            <w:r>
              <w:rPr>
                <w:sz w:val="24"/>
                <w:szCs w:val="24"/>
              </w:rPr>
              <w:t>Papua New Guinea</w:t>
            </w:r>
          </w:p>
        </w:tc>
        <w:tc>
          <w:tcPr>
            <w:tcW w:w="6750" w:type="dxa"/>
            <w:gridSpan w:val="3"/>
          </w:tcPr>
          <w:p w14:paraId="6F4AA0FA"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0.2396</w:t>
            </w:r>
          </w:p>
        </w:tc>
      </w:tr>
      <w:tr w:rsidR="00BD3BD5" w:rsidRPr="00097A51" w14:paraId="292B9327"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545A0C33" w14:textId="77777777" w:rsidR="00BD3BD5" w:rsidRPr="00097A51" w:rsidRDefault="00BD3BD5" w:rsidP="002F782A">
            <w:pPr>
              <w:rPr>
                <w:sz w:val="24"/>
                <w:szCs w:val="24"/>
              </w:rPr>
            </w:pPr>
            <w:r>
              <w:rPr>
                <w:sz w:val="24"/>
                <w:szCs w:val="24"/>
              </w:rPr>
              <w:t>Mongolia</w:t>
            </w:r>
            <w:r w:rsidRPr="00097A51">
              <w:rPr>
                <w:sz w:val="24"/>
                <w:szCs w:val="24"/>
              </w:rPr>
              <w:t xml:space="preserve"> </w:t>
            </w:r>
          </w:p>
        </w:tc>
        <w:tc>
          <w:tcPr>
            <w:tcW w:w="6750" w:type="dxa"/>
            <w:gridSpan w:val="3"/>
          </w:tcPr>
          <w:p w14:paraId="1D92F0C6"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0.1889</w:t>
            </w:r>
          </w:p>
        </w:tc>
      </w:tr>
      <w:tr w:rsidR="00BD3BD5" w:rsidRPr="00097A51" w14:paraId="63AFF2C5"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07B913FE" w14:textId="77777777" w:rsidR="00BD3BD5" w:rsidRPr="00097A51" w:rsidRDefault="00BD3BD5" w:rsidP="002F782A">
            <w:pPr>
              <w:rPr>
                <w:sz w:val="24"/>
                <w:szCs w:val="24"/>
              </w:rPr>
            </w:pPr>
            <w:r>
              <w:rPr>
                <w:sz w:val="24"/>
                <w:szCs w:val="24"/>
              </w:rPr>
              <w:t>Canada</w:t>
            </w:r>
            <w:r w:rsidRPr="00097A51">
              <w:rPr>
                <w:sz w:val="24"/>
                <w:szCs w:val="24"/>
              </w:rPr>
              <w:t xml:space="preserve"> </w:t>
            </w:r>
          </w:p>
        </w:tc>
        <w:tc>
          <w:tcPr>
            <w:tcW w:w="6750" w:type="dxa"/>
            <w:gridSpan w:val="3"/>
          </w:tcPr>
          <w:p w14:paraId="62409C10" w14:textId="77777777" w:rsidR="00BD3BD5" w:rsidRPr="00097A51" w:rsidRDefault="00BD3BD5" w:rsidP="002F782A">
            <w:pPr>
              <w:tabs>
                <w:tab w:val="left" w:pos="1125"/>
              </w:tabs>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0.1021</w:t>
            </w:r>
          </w:p>
        </w:tc>
      </w:tr>
      <w:tr w:rsidR="00BD3BD5" w:rsidRPr="00097A51" w14:paraId="00AE1121"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70014B0D" w14:textId="77777777" w:rsidR="00BD3BD5" w:rsidRPr="00097A51" w:rsidRDefault="00BD3BD5" w:rsidP="002F782A">
            <w:pPr>
              <w:rPr>
                <w:sz w:val="24"/>
                <w:szCs w:val="24"/>
              </w:rPr>
            </w:pPr>
            <w:r>
              <w:rPr>
                <w:sz w:val="24"/>
                <w:szCs w:val="24"/>
              </w:rPr>
              <w:t>Kazakhstan</w:t>
            </w:r>
            <w:r w:rsidRPr="00097A51">
              <w:rPr>
                <w:sz w:val="24"/>
                <w:szCs w:val="24"/>
              </w:rPr>
              <w:t xml:space="preserve"> </w:t>
            </w:r>
          </w:p>
        </w:tc>
        <w:tc>
          <w:tcPr>
            <w:tcW w:w="6750" w:type="dxa"/>
            <w:gridSpan w:val="3"/>
          </w:tcPr>
          <w:p w14:paraId="7CA9299B"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0.1506</w:t>
            </w:r>
          </w:p>
        </w:tc>
      </w:tr>
      <w:tr w:rsidR="00BD3BD5" w:rsidRPr="00097A51" w14:paraId="74357F9E"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30D3CF2B" w14:textId="77777777" w:rsidR="00BD3BD5" w:rsidRPr="00097A51" w:rsidRDefault="00BD3BD5" w:rsidP="002F782A">
            <w:pPr>
              <w:rPr>
                <w:sz w:val="24"/>
                <w:szCs w:val="24"/>
              </w:rPr>
            </w:pPr>
            <w:r>
              <w:rPr>
                <w:sz w:val="24"/>
                <w:szCs w:val="24"/>
              </w:rPr>
              <w:t>Kuwait</w:t>
            </w:r>
            <w:r w:rsidRPr="00097A51">
              <w:rPr>
                <w:sz w:val="24"/>
                <w:szCs w:val="24"/>
              </w:rPr>
              <w:t xml:space="preserve"> </w:t>
            </w:r>
          </w:p>
        </w:tc>
        <w:tc>
          <w:tcPr>
            <w:tcW w:w="6750" w:type="dxa"/>
            <w:gridSpan w:val="3"/>
          </w:tcPr>
          <w:p w14:paraId="48BF7698"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-0.1025</w:t>
            </w:r>
          </w:p>
        </w:tc>
      </w:tr>
      <w:tr w:rsidR="00BD3BD5" w:rsidRPr="00097A51" w14:paraId="63B8FD5B"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436DC330" w14:textId="77777777" w:rsidR="00BD3BD5" w:rsidRPr="00097A51" w:rsidRDefault="00BD3BD5" w:rsidP="002F782A">
            <w:pPr>
              <w:rPr>
                <w:sz w:val="24"/>
                <w:szCs w:val="24"/>
              </w:rPr>
            </w:pPr>
            <w:r>
              <w:rPr>
                <w:sz w:val="24"/>
                <w:szCs w:val="24"/>
              </w:rPr>
              <w:t>Russia</w:t>
            </w:r>
            <w:r w:rsidRPr="00097A51">
              <w:rPr>
                <w:sz w:val="24"/>
                <w:szCs w:val="24"/>
              </w:rPr>
              <w:t xml:space="preserve"> </w:t>
            </w:r>
          </w:p>
        </w:tc>
        <w:tc>
          <w:tcPr>
            <w:tcW w:w="6750" w:type="dxa"/>
            <w:gridSpan w:val="3"/>
          </w:tcPr>
          <w:p w14:paraId="64E5ECC4"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0.2637</w:t>
            </w:r>
          </w:p>
        </w:tc>
      </w:tr>
      <w:tr w:rsidR="00BD3BD5" w:rsidRPr="00097A51" w14:paraId="32626353"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4ADC8A50" w14:textId="77777777" w:rsidR="00BD3BD5" w:rsidRDefault="00BD3BD5" w:rsidP="002F782A">
            <w:pPr>
              <w:rPr>
                <w:sz w:val="24"/>
                <w:szCs w:val="24"/>
              </w:rPr>
            </w:pPr>
            <w:r>
              <w:rPr>
                <w:sz w:val="24"/>
                <w:szCs w:val="24"/>
              </w:rPr>
              <w:t>Saudi Arabia</w:t>
            </w:r>
          </w:p>
        </w:tc>
        <w:tc>
          <w:tcPr>
            <w:tcW w:w="6750" w:type="dxa"/>
            <w:gridSpan w:val="3"/>
          </w:tcPr>
          <w:p w14:paraId="09B2FB61" w14:textId="77777777" w:rsidR="00BD3BD5" w:rsidRPr="00001789"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-0.0319</w:t>
            </w:r>
          </w:p>
        </w:tc>
      </w:tr>
      <w:tr w:rsidR="00AA0544" w:rsidRPr="00097A51" w14:paraId="20B23777"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03892BA4" w14:textId="77777777" w:rsidR="00BD3BD5" w:rsidRPr="0040629D" w:rsidRDefault="00BD3BD5" w:rsidP="002F782A">
            <w:pPr>
              <w:rPr>
                <w:sz w:val="24"/>
                <w:szCs w:val="24"/>
              </w:rPr>
            </w:pPr>
            <w:r w:rsidRPr="0040629D">
              <w:rPr>
                <w:sz w:val="24"/>
                <w:szCs w:val="24"/>
              </w:rPr>
              <w:t>Bahrain</w:t>
            </w:r>
          </w:p>
        </w:tc>
        <w:tc>
          <w:tcPr>
            <w:tcW w:w="6750" w:type="dxa"/>
            <w:gridSpan w:val="3"/>
          </w:tcPr>
          <w:p w14:paraId="405BE6CE" w14:textId="77777777" w:rsidR="00BD3BD5" w:rsidRPr="0040629D"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40629D">
              <w:rPr>
                <w:sz w:val="24"/>
                <w:szCs w:val="24"/>
              </w:rPr>
              <w:t>0</w:t>
            </w:r>
          </w:p>
        </w:tc>
      </w:tr>
      <w:tr w:rsidR="00BD3BD5" w:rsidRPr="00097A51" w14:paraId="7FF32BF7"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7006A6C5" w14:textId="77777777" w:rsidR="00BD3BD5" w:rsidRPr="0040629D" w:rsidRDefault="00BD3BD5" w:rsidP="002F782A">
            <w:pPr>
              <w:rPr>
                <w:sz w:val="24"/>
                <w:szCs w:val="24"/>
              </w:rPr>
            </w:pPr>
            <w:r w:rsidRPr="0040629D">
              <w:rPr>
                <w:sz w:val="24"/>
                <w:szCs w:val="24"/>
              </w:rPr>
              <w:t>Qatar</w:t>
            </w:r>
          </w:p>
        </w:tc>
        <w:tc>
          <w:tcPr>
            <w:tcW w:w="6750" w:type="dxa"/>
            <w:gridSpan w:val="3"/>
          </w:tcPr>
          <w:p w14:paraId="4A38CBE7" w14:textId="77777777" w:rsidR="00BD3BD5" w:rsidRPr="0040629D"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40629D">
              <w:rPr>
                <w:sz w:val="24"/>
                <w:szCs w:val="24"/>
              </w:rPr>
              <w:t xml:space="preserve">0 </w:t>
            </w:r>
          </w:p>
        </w:tc>
      </w:tr>
      <w:tr w:rsidR="00AA0544" w:rsidRPr="00097A51" w14:paraId="37B37FEF"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2EEA94C6" w14:textId="77777777" w:rsidR="00BD3BD5" w:rsidRDefault="00BD3BD5" w:rsidP="002F782A">
            <w:pPr>
              <w:rPr>
                <w:sz w:val="24"/>
                <w:szCs w:val="24"/>
              </w:rPr>
            </w:pPr>
            <w:r>
              <w:rPr>
                <w:sz w:val="24"/>
                <w:szCs w:val="24"/>
              </w:rPr>
              <w:t>UAE</w:t>
            </w:r>
          </w:p>
        </w:tc>
        <w:tc>
          <w:tcPr>
            <w:tcW w:w="6750" w:type="dxa"/>
            <w:gridSpan w:val="3"/>
          </w:tcPr>
          <w:p w14:paraId="785A3516" w14:textId="77777777" w:rsidR="00BD3BD5" w:rsidRPr="001324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1F304F">
              <w:rPr>
                <w:sz w:val="24"/>
                <w:szCs w:val="24"/>
              </w:rPr>
              <w:t>0.0437</w:t>
            </w:r>
          </w:p>
        </w:tc>
      </w:tr>
      <w:tr w:rsidR="00BD3BD5" w:rsidRPr="00097A51" w14:paraId="7FFD6D9D"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7C3FBFE0" w14:textId="77777777" w:rsidR="00BD3BD5" w:rsidRDefault="00BD3BD5" w:rsidP="002F782A">
            <w:pPr>
              <w:rPr>
                <w:sz w:val="24"/>
                <w:szCs w:val="24"/>
              </w:rPr>
            </w:pPr>
            <w:r>
              <w:rPr>
                <w:sz w:val="24"/>
                <w:szCs w:val="24"/>
              </w:rPr>
              <w:t>Brunei</w:t>
            </w:r>
          </w:p>
        </w:tc>
        <w:tc>
          <w:tcPr>
            <w:tcW w:w="6750" w:type="dxa"/>
            <w:gridSpan w:val="3"/>
          </w:tcPr>
          <w:p w14:paraId="34B0DC3A" w14:textId="77777777" w:rsidR="00BD3BD5" w:rsidRPr="001324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0.0465</w:t>
            </w:r>
          </w:p>
        </w:tc>
      </w:tr>
      <w:tr w:rsidR="00BD3BD5" w:rsidRPr="00097A51" w14:paraId="4F5CA486" w14:textId="77777777" w:rsidTr="00AA0544">
        <w:trPr>
          <w:gridBefore w:val="1"/>
          <w:gridAfter w:val="1"/>
          <w:wBefore w:w="558" w:type="dxa"/>
          <w:wAfter w:w="1350" w:type="dxa"/>
          <w:trHeight w:val="80"/>
        </w:trPr>
        <w:tc>
          <w:tcPr>
            <w:cnfStyle w:val="001000000000" w:firstRow="0" w:lastRow="0" w:firstColumn="1" w:lastColumn="0" w:oddVBand="0" w:evenVBand="0" w:oddHBand="0" w:evenHBand="0" w:firstRowFirstColumn="0" w:firstRowLastColumn="0" w:lastRowFirstColumn="0" w:lastRowLastColumn="0"/>
            <w:tcW w:w="9180" w:type="dxa"/>
            <w:gridSpan w:val="5"/>
          </w:tcPr>
          <w:p w14:paraId="38632A5B" w14:textId="77777777" w:rsidR="00BD3BD5" w:rsidRPr="00B8061B" w:rsidRDefault="00AA0544" w:rsidP="00AA0544">
            <w:pPr>
              <w:rPr>
                <w:b w:val="0"/>
                <w:sz w:val="24"/>
                <w:szCs w:val="24"/>
              </w:rPr>
            </w:pPr>
            <w:r>
              <w:rPr>
                <w:b w:val="0"/>
                <w:sz w:val="24"/>
                <w:szCs w:val="24"/>
              </w:rPr>
              <w:t xml:space="preserve">Note: </w:t>
            </w:r>
            <w:r w:rsidR="00BD3BD5">
              <w:rPr>
                <w:b w:val="0"/>
                <w:sz w:val="24"/>
                <w:szCs w:val="24"/>
              </w:rPr>
              <w:t>s</w:t>
            </w:r>
            <w:r w:rsidR="00BD3BD5" w:rsidRPr="00B8061B">
              <w:rPr>
                <w:b w:val="0"/>
                <w:sz w:val="24"/>
                <w:szCs w:val="24"/>
              </w:rPr>
              <w:t xml:space="preserve"> is the </w:t>
            </w:r>
            <w:r w:rsidR="00BD3BD5">
              <w:rPr>
                <w:b w:val="0"/>
                <w:sz w:val="24"/>
                <w:szCs w:val="24"/>
              </w:rPr>
              <w:t xml:space="preserve">log of the </w:t>
            </w:r>
            <w:r w:rsidR="00BD3BD5" w:rsidRPr="00B8061B">
              <w:rPr>
                <w:b w:val="0"/>
                <w:sz w:val="24"/>
                <w:szCs w:val="24"/>
              </w:rPr>
              <w:t>exchange rate defined as the dollar price of the domestic currency</w:t>
            </w:r>
            <w:r w:rsidR="00BD3BD5">
              <w:rPr>
                <w:b w:val="0"/>
                <w:sz w:val="24"/>
                <w:szCs w:val="24"/>
              </w:rPr>
              <w:t>.</w:t>
            </w:r>
            <w:r w:rsidR="00BD3BD5" w:rsidRPr="00B8061B">
              <w:rPr>
                <w:b w:val="0"/>
                <w:sz w:val="24"/>
                <w:szCs w:val="24"/>
              </w:rPr>
              <w:t xml:space="preserve"> </w:t>
            </w:r>
          </w:p>
        </w:tc>
      </w:tr>
    </w:tbl>
    <w:p w14:paraId="30207CC0" w14:textId="77777777" w:rsidR="00BD3BD5" w:rsidRPr="00097A51" w:rsidRDefault="00BD3BD5" w:rsidP="00BD3BD5">
      <w:pPr>
        <w:rPr>
          <w:sz w:val="24"/>
          <w:szCs w:val="24"/>
        </w:rPr>
      </w:pPr>
    </w:p>
    <w:p w14:paraId="695EA3F2" w14:textId="49909C7B" w:rsidR="00B91C0E" w:rsidRPr="008B7BCD" w:rsidRDefault="006B4EC3" w:rsidP="008B7BCD">
      <w:pPr>
        <w:pStyle w:val="ListParagraph"/>
        <w:ind w:left="0" w:firstLine="720"/>
        <w:rPr>
          <w:sz w:val="24"/>
          <w:szCs w:val="24"/>
        </w:rPr>
      </w:pPr>
      <w:r>
        <w:rPr>
          <w:sz w:val="24"/>
          <w:szCs w:val="24"/>
        </w:rPr>
        <w:lastRenderedPageBreak/>
        <w:t xml:space="preserve">Table 1 reports the coefficient of correlation between the percentage change in the foreign exchange value of the domestic currency and the change in foreign exchange reserves, scaled by the monetary base.   The countries with the highest correlation, strongly </w:t>
      </w:r>
      <w:r w:rsidR="00370A0F">
        <w:rPr>
          <w:sz w:val="24"/>
          <w:szCs w:val="24"/>
        </w:rPr>
        <w:t xml:space="preserve">suggesting </w:t>
      </w:r>
      <w:r>
        <w:rPr>
          <w:sz w:val="24"/>
          <w:szCs w:val="24"/>
        </w:rPr>
        <w:t>systematic management of their floating currencies, are Singapore</w:t>
      </w:r>
      <w:r w:rsidR="00370A0F">
        <w:rPr>
          <w:sz w:val="24"/>
          <w:szCs w:val="24"/>
        </w:rPr>
        <w:t xml:space="preserve">, Korea </w:t>
      </w:r>
      <w:r>
        <w:rPr>
          <w:sz w:val="24"/>
          <w:szCs w:val="24"/>
        </w:rPr>
        <w:t>and India.    Others that are also above a threshold of 0.25</w:t>
      </w:r>
      <w:r w:rsidR="008B7BCD">
        <w:rPr>
          <w:sz w:val="24"/>
          <w:szCs w:val="24"/>
        </w:rPr>
        <w:t xml:space="preserve">, and which are thereby also judged to have systematically managed </w:t>
      </w:r>
      <w:r w:rsidR="00370A0F">
        <w:rPr>
          <w:sz w:val="24"/>
          <w:szCs w:val="24"/>
        </w:rPr>
        <w:t>float</w:t>
      </w:r>
      <w:r w:rsidR="004C7BE5">
        <w:rPr>
          <w:sz w:val="24"/>
          <w:szCs w:val="24"/>
        </w:rPr>
        <w:t>s</w:t>
      </w:r>
      <w:r w:rsidR="008B7BCD">
        <w:rPr>
          <w:sz w:val="24"/>
          <w:szCs w:val="24"/>
        </w:rPr>
        <w:t>,</w:t>
      </w:r>
      <w:r>
        <w:rPr>
          <w:sz w:val="24"/>
          <w:szCs w:val="24"/>
        </w:rPr>
        <w:t xml:space="preserve"> are Malaysia, Philippines, Thailand, Turkey, South Africa, Peru and Russia.  As expected, countries known to have firm pegs have coefficients well below the threshold, close to or equal to zero: Hong Kong, Kuwait, Saudi Arabia, Bahrain, Qatar, the United Arab Emirates, and Brunei.   Also below the threshold are </w:t>
      </w:r>
      <w:r w:rsidR="008B7BCD">
        <w:rPr>
          <w:sz w:val="24"/>
          <w:szCs w:val="24"/>
        </w:rPr>
        <w:t>countries that are thought to float freely: Australia, Canada, Chile, and New Zealand.</w:t>
      </w:r>
    </w:p>
    <w:p w14:paraId="6EC45EB7" w14:textId="77777777" w:rsidR="00B91C0E" w:rsidRDefault="00B91C0E" w:rsidP="000D53F1">
      <w:pPr>
        <w:pStyle w:val="ListParagraph"/>
        <w:ind w:left="1440"/>
        <w:rPr>
          <w:sz w:val="24"/>
          <w:szCs w:val="24"/>
        </w:rPr>
      </w:pPr>
    </w:p>
    <w:p w14:paraId="7E729095" w14:textId="77777777" w:rsidR="00B91C0E" w:rsidRDefault="00B91C0E" w:rsidP="000D53F1">
      <w:pPr>
        <w:pStyle w:val="ListParagraph"/>
        <w:ind w:left="1440"/>
        <w:rPr>
          <w:sz w:val="24"/>
          <w:szCs w:val="24"/>
        </w:rPr>
      </w:pPr>
    </w:p>
    <w:p w14:paraId="0C2198F2" w14:textId="42276825" w:rsidR="00233654" w:rsidRPr="003C0865" w:rsidRDefault="00E32A55" w:rsidP="00FF7EA1">
      <w:pPr>
        <w:pStyle w:val="ListParagraph"/>
        <w:numPr>
          <w:ilvl w:val="2"/>
          <w:numId w:val="1"/>
        </w:numPr>
        <w:rPr>
          <w:sz w:val="24"/>
          <w:szCs w:val="24"/>
        </w:rPr>
      </w:pPr>
      <w:r>
        <w:rPr>
          <w:sz w:val="24"/>
          <w:szCs w:val="24"/>
        </w:rPr>
        <w:t>E</w:t>
      </w:r>
      <w:r w:rsidR="00233654" w:rsidRPr="003C0865">
        <w:rPr>
          <w:sz w:val="24"/>
          <w:szCs w:val="24"/>
        </w:rPr>
        <w:t xml:space="preserve">stimates of de facto exchange rate regimes for </w:t>
      </w:r>
      <w:r w:rsidR="00F22703">
        <w:rPr>
          <w:sz w:val="24"/>
          <w:szCs w:val="24"/>
        </w:rPr>
        <w:t xml:space="preserve">some </w:t>
      </w:r>
      <w:r w:rsidR="00233654" w:rsidRPr="003C0865">
        <w:rPr>
          <w:sz w:val="24"/>
          <w:szCs w:val="24"/>
        </w:rPr>
        <w:t>Asian countries</w:t>
      </w:r>
    </w:p>
    <w:p w14:paraId="7FF53648" w14:textId="4FE7E78F" w:rsidR="00D74DF7" w:rsidRDefault="004B4D54" w:rsidP="004B4D54">
      <w:pPr>
        <w:ind w:firstLine="720"/>
        <w:rPr>
          <w:sz w:val="24"/>
          <w:szCs w:val="24"/>
        </w:rPr>
      </w:pPr>
      <w:r w:rsidRPr="004B4D54">
        <w:rPr>
          <w:sz w:val="24"/>
          <w:szCs w:val="24"/>
        </w:rPr>
        <w:t xml:space="preserve">Frankel and Wei (1994) </w:t>
      </w:r>
      <w:r w:rsidR="00D74DF7">
        <w:rPr>
          <w:sz w:val="24"/>
          <w:szCs w:val="24"/>
        </w:rPr>
        <w:t>ran regressions to estimate</w:t>
      </w:r>
      <w:r w:rsidRPr="004B4D54">
        <w:rPr>
          <w:sz w:val="24"/>
          <w:szCs w:val="24"/>
        </w:rPr>
        <w:t xml:space="preserve"> weights on the dollar, yen and other major currenci</w:t>
      </w:r>
      <w:r w:rsidR="00D74DF7">
        <w:rPr>
          <w:sz w:val="24"/>
          <w:szCs w:val="24"/>
        </w:rPr>
        <w:t>es in the implicit basket</w:t>
      </w:r>
      <w:r w:rsidRPr="004B4D54">
        <w:rPr>
          <w:sz w:val="24"/>
          <w:szCs w:val="24"/>
        </w:rPr>
        <w:t xml:space="preserve">s </w:t>
      </w:r>
      <w:r w:rsidR="00D74DF7">
        <w:rPr>
          <w:sz w:val="24"/>
          <w:szCs w:val="24"/>
        </w:rPr>
        <w:t>guiding</w:t>
      </w:r>
      <w:r w:rsidRPr="004B4D54">
        <w:rPr>
          <w:sz w:val="24"/>
          <w:szCs w:val="24"/>
        </w:rPr>
        <w:t xml:space="preserve"> </w:t>
      </w:r>
      <w:r w:rsidR="00D74DF7">
        <w:rPr>
          <w:sz w:val="24"/>
          <w:szCs w:val="24"/>
        </w:rPr>
        <w:t xml:space="preserve">the exchange rates of smaller </w:t>
      </w:r>
      <w:r w:rsidRPr="004B4D54">
        <w:rPr>
          <w:sz w:val="24"/>
          <w:szCs w:val="24"/>
        </w:rPr>
        <w:t>Asian countries</w:t>
      </w:r>
      <w:r w:rsidR="00D74DF7">
        <w:rPr>
          <w:sz w:val="24"/>
          <w:szCs w:val="24"/>
        </w:rPr>
        <w:t xml:space="preserve">.  </w:t>
      </w:r>
      <w:r w:rsidR="000B6266">
        <w:rPr>
          <w:sz w:val="24"/>
          <w:szCs w:val="24"/>
        </w:rPr>
        <w:t>At a time when many saw the yen as becoming increasingly important in East Asia, t</w:t>
      </w:r>
      <w:r w:rsidR="00D74DF7">
        <w:rPr>
          <w:sz w:val="24"/>
          <w:szCs w:val="24"/>
        </w:rPr>
        <w:t>he</w:t>
      </w:r>
      <w:r>
        <w:rPr>
          <w:sz w:val="24"/>
          <w:szCs w:val="24"/>
        </w:rPr>
        <w:t xml:space="preserve"> finding </w:t>
      </w:r>
      <w:r w:rsidR="00D74DF7">
        <w:rPr>
          <w:sz w:val="24"/>
          <w:szCs w:val="24"/>
        </w:rPr>
        <w:t xml:space="preserve">was </w:t>
      </w:r>
      <w:r>
        <w:rPr>
          <w:sz w:val="24"/>
          <w:szCs w:val="24"/>
        </w:rPr>
        <w:t xml:space="preserve">that the dollar was still </w:t>
      </w:r>
      <w:r w:rsidR="000B6266">
        <w:rPr>
          <w:sz w:val="24"/>
          <w:szCs w:val="24"/>
        </w:rPr>
        <w:t xml:space="preserve">by far </w:t>
      </w:r>
      <w:r>
        <w:rPr>
          <w:sz w:val="24"/>
          <w:szCs w:val="24"/>
        </w:rPr>
        <w:t>the dominant currency</w:t>
      </w:r>
      <w:r w:rsidR="00370A0F">
        <w:rPr>
          <w:sz w:val="24"/>
          <w:szCs w:val="24"/>
        </w:rPr>
        <w:t xml:space="preserve"> in most cases</w:t>
      </w:r>
      <w:r w:rsidRPr="004B4D54">
        <w:rPr>
          <w:sz w:val="24"/>
          <w:szCs w:val="24"/>
        </w:rPr>
        <w:t>.</w:t>
      </w:r>
      <w:r>
        <w:rPr>
          <w:rStyle w:val="FootnoteReference"/>
          <w:sz w:val="24"/>
          <w:szCs w:val="24"/>
        </w:rPr>
        <w:footnoteReference w:id="26"/>
      </w:r>
      <w:r>
        <w:rPr>
          <w:sz w:val="24"/>
          <w:szCs w:val="24"/>
        </w:rPr>
        <w:t xml:space="preserve"> </w:t>
      </w:r>
      <w:r w:rsidR="00D74DF7">
        <w:rPr>
          <w:sz w:val="24"/>
          <w:szCs w:val="24"/>
        </w:rPr>
        <w:t xml:space="preserve">  The exercise is a rare case in which, under the null hypothesis of a true basket peg, the estimation should produce</w:t>
      </w:r>
      <w:r w:rsidR="00764DF6">
        <w:rPr>
          <w:sz w:val="24"/>
          <w:szCs w:val="24"/>
        </w:rPr>
        <w:t>,</w:t>
      </w:r>
      <w:r w:rsidR="00D74DF7">
        <w:rPr>
          <w:sz w:val="24"/>
          <w:szCs w:val="24"/>
        </w:rPr>
        <w:t xml:space="preserve"> not just statistically significant coefficients, but an R</w:t>
      </w:r>
      <w:r w:rsidR="00D74DF7" w:rsidRPr="00D74DF7">
        <w:rPr>
          <w:sz w:val="24"/>
          <w:szCs w:val="24"/>
          <w:vertAlign w:val="superscript"/>
        </w:rPr>
        <w:t>2</w:t>
      </w:r>
      <w:r w:rsidR="00D74DF7">
        <w:rPr>
          <w:sz w:val="24"/>
          <w:szCs w:val="24"/>
        </w:rPr>
        <w:t xml:space="preserve"> close to 1.0 </w:t>
      </w:r>
      <w:r w:rsidR="00800572">
        <w:rPr>
          <w:sz w:val="24"/>
          <w:szCs w:val="24"/>
        </w:rPr>
        <w:t>.</w:t>
      </w:r>
      <w:r w:rsidR="00D74DF7">
        <w:rPr>
          <w:sz w:val="24"/>
          <w:szCs w:val="24"/>
        </w:rPr>
        <w:t xml:space="preserve"> But few countries in Asia or elsewhere claim to peg to a baske</w:t>
      </w:r>
      <w:r w:rsidR="00764DF6">
        <w:rPr>
          <w:sz w:val="24"/>
          <w:szCs w:val="24"/>
        </w:rPr>
        <w:t>t and fewer still actually follow through de facto</w:t>
      </w:r>
      <w:r w:rsidR="00D74DF7">
        <w:rPr>
          <w:sz w:val="24"/>
          <w:szCs w:val="24"/>
        </w:rPr>
        <w:t>.  At most, a regression of the local currency value against other major currencies tells us the weights in a loose anchor around which the exchange rate is allowed to vary.</w:t>
      </w:r>
    </w:p>
    <w:p w14:paraId="4CF78073" w14:textId="095DF8D9" w:rsidR="00370A0F" w:rsidRPr="00E21FC0" w:rsidRDefault="004B4D54" w:rsidP="00E21FC0">
      <w:pPr>
        <w:ind w:firstLine="720"/>
      </w:pPr>
      <w:r w:rsidRPr="004B4D54">
        <w:rPr>
          <w:sz w:val="24"/>
          <w:szCs w:val="24"/>
        </w:rPr>
        <w:t xml:space="preserve"> Frankel and Wei (2008) </w:t>
      </w:r>
      <w:r>
        <w:rPr>
          <w:sz w:val="24"/>
          <w:szCs w:val="24"/>
        </w:rPr>
        <w:t xml:space="preserve">synthesized </w:t>
      </w:r>
      <w:r w:rsidR="00764DF6">
        <w:rPr>
          <w:sz w:val="24"/>
          <w:szCs w:val="24"/>
        </w:rPr>
        <w:t xml:space="preserve">(i) </w:t>
      </w:r>
      <w:r w:rsidRPr="004B4D54">
        <w:rPr>
          <w:sz w:val="24"/>
          <w:szCs w:val="24"/>
        </w:rPr>
        <w:t xml:space="preserve">the </w:t>
      </w:r>
      <w:r>
        <w:rPr>
          <w:sz w:val="24"/>
          <w:szCs w:val="24"/>
        </w:rPr>
        <w:t xml:space="preserve">weight-estimation </w:t>
      </w:r>
      <w:r w:rsidRPr="004B4D54">
        <w:rPr>
          <w:sz w:val="24"/>
          <w:szCs w:val="24"/>
        </w:rPr>
        <w:t>methodology</w:t>
      </w:r>
      <w:r>
        <w:rPr>
          <w:sz w:val="24"/>
          <w:szCs w:val="24"/>
        </w:rPr>
        <w:t xml:space="preserve"> with </w:t>
      </w:r>
      <w:r w:rsidR="00764DF6">
        <w:rPr>
          <w:sz w:val="24"/>
          <w:szCs w:val="24"/>
        </w:rPr>
        <w:t xml:space="preserve">(ii) </w:t>
      </w:r>
      <w:r>
        <w:rPr>
          <w:sz w:val="24"/>
          <w:szCs w:val="24"/>
        </w:rPr>
        <w:t>a technique to estimate the de</w:t>
      </w:r>
      <w:r w:rsidR="00077A79">
        <w:rPr>
          <w:sz w:val="24"/>
          <w:szCs w:val="24"/>
        </w:rPr>
        <w:t>g</w:t>
      </w:r>
      <w:r>
        <w:rPr>
          <w:sz w:val="24"/>
          <w:szCs w:val="24"/>
        </w:rPr>
        <w:t>ree of systematic intervention to dampen fluctuations relative to the basket.  This was achieved by adding Exchange Market Pressure (EMP) as another right-hand side variable along with the values of the major foreign currency.</w:t>
      </w:r>
      <w:r w:rsidR="00800572">
        <w:rPr>
          <w:sz w:val="24"/>
          <w:szCs w:val="24"/>
        </w:rPr>
        <w:t xml:space="preserve"> </w:t>
      </w:r>
      <w:r w:rsidR="00077A79">
        <w:rPr>
          <w:sz w:val="24"/>
          <w:szCs w:val="24"/>
        </w:rPr>
        <w:t xml:space="preserve"> The change in Exchange Market Pressure is defined as the percentage increase in the foreign exchange value of the currency plus the increase in foreign exchange reserves (over some denominator such as the monetary base).</w:t>
      </w:r>
      <w:r w:rsidR="00077A79">
        <w:rPr>
          <w:rStyle w:val="FootnoteReference"/>
          <w:sz w:val="24"/>
          <w:szCs w:val="24"/>
        </w:rPr>
        <w:footnoteReference w:id="27"/>
      </w:r>
      <w:r w:rsidR="00077A79">
        <w:rPr>
          <w:sz w:val="24"/>
          <w:szCs w:val="24"/>
        </w:rPr>
        <w:t xml:space="preserve">  </w:t>
      </w:r>
      <w:r>
        <w:rPr>
          <w:sz w:val="24"/>
          <w:szCs w:val="24"/>
        </w:rPr>
        <w:t xml:space="preserve">If β, the coefficient on </w:t>
      </w:r>
      <w:r w:rsidRPr="004B4D54">
        <w:rPr>
          <w:i/>
          <w:sz w:val="24"/>
          <w:szCs w:val="24"/>
        </w:rPr>
        <w:t>EMP</w:t>
      </w:r>
      <w:r>
        <w:rPr>
          <w:sz w:val="24"/>
          <w:szCs w:val="24"/>
        </w:rPr>
        <w:t xml:space="preserve">, is estimated to be close to zero, the regime is a </w:t>
      </w:r>
      <w:r>
        <w:rPr>
          <w:sz w:val="24"/>
          <w:szCs w:val="24"/>
        </w:rPr>
        <w:lastRenderedPageBreak/>
        <w:t>peg (to the basket, whatever its component or components may be)</w:t>
      </w:r>
      <w:r w:rsidRPr="004B4D54">
        <w:rPr>
          <w:sz w:val="24"/>
          <w:szCs w:val="24"/>
        </w:rPr>
        <w:t>.</w:t>
      </w:r>
      <w:r>
        <w:rPr>
          <w:sz w:val="24"/>
          <w:szCs w:val="24"/>
        </w:rPr>
        <w:t xml:space="preserve">   If β is estimated to be close to 1, it is a pure float.  For most countries, it is in between, suggesting an int</w:t>
      </w:r>
      <w:r w:rsidR="00370A0F">
        <w:rPr>
          <w:sz w:val="24"/>
          <w:szCs w:val="24"/>
        </w:rPr>
        <w:t>ermediate exchange rate regime.</w:t>
      </w:r>
      <w:r w:rsidR="00370A0F">
        <w:rPr>
          <w:sz w:val="24"/>
          <w:szCs w:val="24"/>
        </w:rPr>
        <w:br/>
      </w:r>
      <w:r w:rsidR="00822E7F" w:rsidRPr="00822E7F">
        <w:rPr>
          <w:sz w:val="24"/>
          <w:szCs w:val="24"/>
        </w:rPr>
        <w:t xml:space="preserve"> </w:t>
      </w:r>
      <w:r w:rsidR="00822E7F" w:rsidRPr="00822E7F">
        <w:rPr>
          <w:sz w:val="24"/>
          <w:szCs w:val="24"/>
        </w:rPr>
        <w:tab/>
      </w:r>
      <w:r w:rsidR="00881181">
        <w:rPr>
          <w:sz w:val="24"/>
          <w:szCs w:val="24"/>
        </w:rPr>
        <w:tab/>
      </w:r>
      <w:r w:rsidR="00822E7F" w:rsidRPr="00822E7F">
        <w:rPr>
          <w:sz w:val="24"/>
          <w:szCs w:val="24"/>
        </w:rPr>
        <w:t xml:space="preserve"> </w:t>
      </w:r>
      <w:r w:rsidR="00822E7F">
        <w:rPr>
          <w:sz w:val="24"/>
          <w:szCs w:val="24"/>
        </w:rPr>
        <w:tab/>
      </w:r>
      <w:r w:rsidR="00822E7F">
        <w:rPr>
          <w:sz w:val="24"/>
          <w:szCs w:val="24"/>
        </w:rPr>
        <w:tab/>
      </w:r>
      <w:r w:rsidR="00822E7F" w:rsidRPr="00822E7F">
        <w:rPr>
          <w:sz w:val="24"/>
          <w:szCs w:val="24"/>
        </w:rPr>
        <w:t>Δ</w:t>
      </w:r>
      <w:r w:rsidR="00B10F2A">
        <w:rPr>
          <w:sz w:val="24"/>
          <w:szCs w:val="24"/>
        </w:rPr>
        <w:t xml:space="preserve"> </w:t>
      </w:r>
      <w:r w:rsidR="00822E7F" w:rsidRPr="00822E7F">
        <w:rPr>
          <w:sz w:val="24"/>
          <w:szCs w:val="24"/>
        </w:rPr>
        <w:t>log</w:t>
      </w:r>
      <w:r w:rsidR="00822E7F" w:rsidRPr="00822E7F">
        <w:rPr>
          <w:i/>
          <w:sz w:val="24"/>
          <w:szCs w:val="24"/>
        </w:rPr>
        <w:t xml:space="preserve"> H</w:t>
      </w:r>
      <w:r w:rsidR="00822E7F" w:rsidRPr="00822E7F">
        <w:rPr>
          <w:i/>
          <w:sz w:val="24"/>
          <w:szCs w:val="24"/>
          <w:vertAlign w:val="subscript"/>
        </w:rPr>
        <w:t>t</w:t>
      </w:r>
      <w:r w:rsidR="00822E7F" w:rsidRPr="00822E7F">
        <w:rPr>
          <w:sz w:val="24"/>
          <w:szCs w:val="24"/>
          <w:vertAlign w:val="subscript"/>
        </w:rPr>
        <w:t xml:space="preserve"> </w:t>
      </w:r>
      <w:r w:rsidR="00822E7F" w:rsidRPr="00822E7F">
        <w:rPr>
          <w:sz w:val="24"/>
          <w:szCs w:val="24"/>
        </w:rPr>
        <w:t xml:space="preserve">  = </w:t>
      </w:r>
      <w:r w:rsidR="00822E7F" w:rsidRPr="00822E7F">
        <w:rPr>
          <w:i/>
          <w:sz w:val="24"/>
          <w:szCs w:val="24"/>
        </w:rPr>
        <w:t>c</w:t>
      </w:r>
      <w:r w:rsidR="00822E7F" w:rsidRPr="00822E7F">
        <w:rPr>
          <w:sz w:val="24"/>
          <w:szCs w:val="24"/>
        </w:rPr>
        <w:t xml:space="preserve"> + </w:t>
      </w:r>
      <m:oMath>
        <m:nary>
          <m:naryPr>
            <m:chr m:val="∑"/>
            <m:limLoc m:val="undOvr"/>
            <m:ctrlPr>
              <w:rPr>
                <w:rFonts w:ascii="Cambria Math" w:hAnsi="Cambria Math"/>
                <w:i/>
                <w:sz w:val="24"/>
                <w:szCs w:val="24"/>
              </w:rPr>
            </m:ctrlPr>
          </m:naryPr>
          <m:sub>
            <m:r>
              <w:rPr>
                <w:rFonts w:ascii="Cambria Math" w:hAnsi="Cambria Math"/>
                <w:sz w:val="24"/>
                <w:szCs w:val="24"/>
              </w:rPr>
              <m:t>j=1</m:t>
            </m:r>
          </m:sub>
          <m:sup>
            <m:r>
              <w:rPr>
                <w:rFonts w:ascii="Cambria Math" w:hAnsi="Cambria Math"/>
                <w:sz w:val="24"/>
                <w:szCs w:val="24"/>
              </w:rPr>
              <m:t>k</m:t>
            </m:r>
          </m:sup>
          <m:e>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j</m:t>
                </m:r>
              </m:sub>
            </m:sSub>
          </m:e>
        </m:nary>
      </m:oMath>
      <w:r w:rsidR="00822E7F" w:rsidRPr="00822E7F">
        <w:rPr>
          <w:sz w:val="24"/>
          <w:szCs w:val="24"/>
        </w:rPr>
        <w:t xml:space="preserve"> Δlog</w:t>
      </w:r>
      <w:r w:rsidR="00822E7F" w:rsidRPr="00822E7F">
        <w:rPr>
          <w:i/>
          <w:sz w:val="24"/>
          <w:szCs w:val="24"/>
        </w:rPr>
        <w:t>X</w:t>
      </w:r>
      <w:r w:rsidR="00822E7F" w:rsidRPr="00822E7F">
        <w:rPr>
          <w:i/>
          <w:sz w:val="24"/>
          <w:szCs w:val="24"/>
          <w:vertAlign w:val="subscript"/>
        </w:rPr>
        <w:t>j,t</w:t>
      </w:r>
      <w:r w:rsidR="00822E7F" w:rsidRPr="00822E7F">
        <w:rPr>
          <w:sz w:val="24"/>
          <w:szCs w:val="24"/>
          <w:vertAlign w:val="subscript"/>
        </w:rPr>
        <w:t xml:space="preserve"> </w:t>
      </w:r>
      <w:r w:rsidR="00B10F2A">
        <w:rPr>
          <w:sz w:val="24"/>
          <w:szCs w:val="24"/>
        </w:rPr>
        <w:t>)</w:t>
      </w:r>
      <w:r w:rsidR="00822E7F" w:rsidRPr="00822E7F">
        <w:rPr>
          <w:sz w:val="24"/>
          <w:szCs w:val="24"/>
        </w:rPr>
        <w:t xml:space="preserve"> + β Δ</w:t>
      </w:r>
      <w:r w:rsidR="00822E7F" w:rsidRPr="00822E7F">
        <w:rPr>
          <w:i/>
          <w:sz w:val="24"/>
          <w:szCs w:val="24"/>
        </w:rPr>
        <w:t>EMP</w:t>
      </w:r>
      <w:r w:rsidR="00822E7F" w:rsidRPr="00822E7F">
        <w:rPr>
          <w:i/>
          <w:sz w:val="24"/>
          <w:szCs w:val="24"/>
          <w:vertAlign w:val="subscript"/>
        </w:rPr>
        <w:t>t</w:t>
      </w:r>
      <w:r w:rsidR="00822E7F" w:rsidRPr="00822E7F">
        <w:rPr>
          <w:sz w:val="24"/>
          <w:szCs w:val="24"/>
          <w:vertAlign w:val="subscript"/>
        </w:rPr>
        <w:t xml:space="preserve"> </w:t>
      </w:r>
      <w:r w:rsidR="00822E7F" w:rsidRPr="00822E7F">
        <w:rPr>
          <w:sz w:val="24"/>
          <w:szCs w:val="24"/>
        </w:rPr>
        <w:t xml:space="preserve">  + </w:t>
      </w:r>
      <w:r w:rsidR="00822E7F" w:rsidRPr="00822E7F">
        <w:rPr>
          <w:i/>
          <w:sz w:val="24"/>
          <w:szCs w:val="24"/>
        </w:rPr>
        <w:t>u</w:t>
      </w:r>
      <w:r w:rsidR="00822E7F" w:rsidRPr="00822E7F">
        <w:rPr>
          <w:i/>
          <w:sz w:val="24"/>
          <w:szCs w:val="24"/>
          <w:vertAlign w:val="subscript"/>
        </w:rPr>
        <w:t>t</w:t>
      </w:r>
      <w:r w:rsidR="00822E7F">
        <w:rPr>
          <w:vertAlign w:val="subscript"/>
        </w:rPr>
        <w:t xml:space="preserve"> </w:t>
      </w:r>
      <w:r w:rsidR="00822E7F">
        <w:t xml:space="preserve">  </w:t>
      </w:r>
      <w:r w:rsidR="00370A0F">
        <w:t xml:space="preserve">                          (2)</w:t>
      </w:r>
      <w:r w:rsidR="008B7BCD" w:rsidRPr="008B7BCD">
        <w:rPr>
          <w:sz w:val="16"/>
          <w:szCs w:val="16"/>
        </w:rPr>
        <w:br/>
      </w:r>
      <w:r w:rsidR="00822E7F" w:rsidRPr="008B7BCD">
        <w:rPr>
          <w:sz w:val="16"/>
          <w:szCs w:val="16"/>
        </w:rPr>
        <w:br/>
      </w:r>
      <w:r w:rsidR="00F555A9">
        <w:t>w</w:t>
      </w:r>
      <w:r w:rsidR="00433764">
        <w:t>here</w:t>
      </w:r>
      <w:r w:rsidR="00433764" w:rsidRPr="00433764">
        <w:rPr>
          <w:i/>
        </w:rPr>
        <w:t xml:space="preserve"> H</w:t>
      </w:r>
      <w:r w:rsidR="00433764">
        <w:t xml:space="preserve"> is the value of the home currency</w:t>
      </w:r>
      <w:r w:rsidR="00195ACA" w:rsidRPr="00195ACA">
        <w:rPr>
          <w:i/>
        </w:rPr>
        <w:t xml:space="preserve"> i</w:t>
      </w:r>
      <w:r w:rsidR="00433764">
        <w:t xml:space="preserve"> (measured in terms of a numeraire unit such as the SDR</w:t>
      </w:r>
      <w:r w:rsidR="00F555A9">
        <w:t>)</w:t>
      </w:r>
      <w:r w:rsidR="00433764">
        <w:t>;</w:t>
      </w:r>
      <w:r w:rsidR="00F555A9">
        <w:t xml:space="preserve"> </w:t>
      </w:r>
      <w:r w:rsidR="00433764">
        <w:t xml:space="preserve"> </w:t>
      </w:r>
      <w:r w:rsidR="008B7BCD">
        <w:t xml:space="preserve"> </w:t>
      </w:r>
      <w:r w:rsidR="00433764" w:rsidRPr="00433764">
        <w:rPr>
          <w:i/>
        </w:rPr>
        <w:t>X</w:t>
      </w:r>
      <w:r w:rsidR="00433764" w:rsidRPr="00433764">
        <w:rPr>
          <w:i/>
          <w:vertAlign w:val="subscript"/>
        </w:rPr>
        <w:t>j</w:t>
      </w:r>
      <w:r w:rsidR="00433764">
        <w:t xml:space="preserve"> is the value of the dollar, euro, yen, or other foreign currencies</w:t>
      </w:r>
      <w:r w:rsidR="00E32A55" w:rsidRPr="00E32A55">
        <w:rPr>
          <w:i/>
        </w:rPr>
        <w:t xml:space="preserve"> j</w:t>
      </w:r>
      <w:r w:rsidR="00433764">
        <w:t xml:space="preserve"> that are candidates for components of the basket, measured in terms of the same numeraire; and </w:t>
      </w:r>
      <w:r w:rsidR="00433764" w:rsidRPr="00E32A55">
        <w:rPr>
          <w:i/>
        </w:rPr>
        <w:t>EMP</w:t>
      </w:r>
      <w:r w:rsidR="00822E7F" w:rsidRPr="00822E7F">
        <w:rPr>
          <w:i/>
          <w:sz w:val="24"/>
          <w:szCs w:val="24"/>
          <w:vertAlign w:val="subscript"/>
        </w:rPr>
        <w:t xml:space="preserve"> t</w:t>
      </w:r>
      <w:r w:rsidR="00F555A9">
        <w:t xml:space="preserve"> is Exchange Market Pressure</w:t>
      </w:r>
      <w:r w:rsidR="00195ACA">
        <w:t xml:space="preserve"> </w:t>
      </w:r>
      <w:r w:rsidR="007B7DAE">
        <w:t>≡</w:t>
      </w:r>
      <w:r w:rsidR="00195ACA">
        <w:t xml:space="preserve"> Δlog</w:t>
      </w:r>
      <w:r w:rsidR="00195ACA" w:rsidRPr="00822E7F">
        <w:rPr>
          <w:i/>
        </w:rPr>
        <w:t xml:space="preserve"> H</w:t>
      </w:r>
      <w:r w:rsidR="00822E7F">
        <w:rPr>
          <w:i/>
          <w:vertAlign w:val="subscript"/>
        </w:rPr>
        <w:t>t</w:t>
      </w:r>
      <w:r w:rsidR="00822E7F">
        <w:rPr>
          <w:vertAlign w:val="subscript"/>
        </w:rPr>
        <w:t xml:space="preserve"> </w:t>
      </w:r>
      <w:r w:rsidR="00195ACA">
        <w:t xml:space="preserve"> </w:t>
      </w:r>
      <w:r w:rsidR="00822E7F">
        <w:t>+ (Δ</w:t>
      </w:r>
      <w:r w:rsidR="00822E7F" w:rsidRPr="00822E7F">
        <w:rPr>
          <w:i/>
        </w:rPr>
        <w:t>Res</w:t>
      </w:r>
      <w:r w:rsidR="00822E7F">
        <w:t>)/</w:t>
      </w:r>
      <w:r w:rsidR="00822E7F" w:rsidRPr="00822E7F">
        <w:rPr>
          <w:i/>
        </w:rPr>
        <w:t xml:space="preserve">MB </w:t>
      </w:r>
      <w:r w:rsidR="00822E7F" w:rsidRPr="00822E7F">
        <w:rPr>
          <w:vertAlign w:val="subscript"/>
        </w:rPr>
        <w:t>t</w:t>
      </w:r>
      <w:r w:rsidR="00822E7F">
        <w:t xml:space="preserve"> </w:t>
      </w:r>
      <w:r w:rsidR="00F555A9">
        <w:t>.</w:t>
      </w:r>
      <w:r w:rsidR="00433764">
        <w:t xml:space="preserve"> </w:t>
      </w:r>
      <w:r w:rsidR="00370A0F">
        <w:t xml:space="preserve">  The flexibility parameter in equation (2) is directly related to the flexibility parameter in equation (1):</w:t>
      </w:r>
      <w:r w:rsidR="00367B72">
        <w:t xml:space="preserve">  </w:t>
      </w:r>
      <w:bookmarkStart w:id="2" w:name="_GoBack"/>
      <w:bookmarkEnd w:id="2"/>
      <w:r w:rsidR="00E21FC0">
        <w:br/>
      </w:r>
      <w:r w:rsidR="00E21FC0">
        <w:tab/>
      </w:r>
      <w:r w:rsidR="00370A0F">
        <w:tab/>
      </w:r>
      <w:r w:rsidR="00370A0F">
        <w:tab/>
      </w:r>
      <w:r w:rsidR="00E21FC0">
        <w:tab/>
      </w:r>
      <w:r w:rsidR="00E21FC0">
        <w:tab/>
      </w:r>
      <w:r w:rsidR="00E21FC0" w:rsidRPr="00822E7F">
        <w:rPr>
          <w:sz w:val="24"/>
          <w:szCs w:val="24"/>
        </w:rPr>
        <w:t>β</w:t>
      </w:r>
      <w:r w:rsidR="00E21FC0">
        <w:rPr>
          <w:sz w:val="24"/>
          <w:szCs w:val="24"/>
        </w:rPr>
        <w:t xml:space="preserve"> = φ / (1+</w:t>
      </w:r>
      <w:r w:rsidR="00E21FC0" w:rsidRPr="00E21FC0">
        <w:rPr>
          <w:sz w:val="24"/>
          <w:szCs w:val="24"/>
        </w:rPr>
        <w:t xml:space="preserve"> </w:t>
      </w:r>
      <w:r w:rsidR="00E21FC0">
        <w:rPr>
          <w:sz w:val="24"/>
          <w:szCs w:val="24"/>
        </w:rPr>
        <w:t>φ )</w:t>
      </w:r>
      <w:r w:rsidR="00881181">
        <w:rPr>
          <w:sz w:val="24"/>
          <w:szCs w:val="24"/>
        </w:rPr>
        <w:t>.</w:t>
      </w:r>
    </w:p>
    <w:p w14:paraId="51DBDB06" w14:textId="58B9E1B3" w:rsidR="00A2071D" w:rsidRDefault="004B4D54" w:rsidP="006D5861">
      <w:pPr>
        <w:ind w:firstLine="720"/>
        <w:rPr>
          <w:sz w:val="24"/>
          <w:szCs w:val="24"/>
        </w:rPr>
      </w:pPr>
      <w:r>
        <w:rPr>
          <w:sz w:val="24"/>
          <w:szCs w:val="24"/>
        </w:rPr>
        <w:t xml:space="preserve">Frankel and Xie (2010) further refined the </w:t>
      </w:r>
      <w:r w:rsidR="00490FAF">
        <w:rPr>
          <w:sz w:val="24"/>
          <w:szCs w:val="24"/>
        </w:rPr>
        <w:t>Frankel-W</w:t>
      </w:r>
      <w:r w:rsidR="00B626FC">
        <w:rPr>
          <w:sz w:val="24"/>
          <w:szCs w:val="24"/>
        </w:rPr>
        <w:t>ei methodology</w:t>
      </w:r>
      <w:r w:rsidR="00490FAF">
        <w:rPr>
          <w:sz w:val="24"/>
          <w:szCs w:val="24"/>
        </w:rPr>
        <w:t xml:space="preserve"> by </w:t>
      </w:r>
      <w:r w:rsidR="009A33D3">
        <w:rPr>
          <w:sz w:val="24"/>
          <w:szCs w:val="24"/>
        </w:rPr>
        <w:t>adapting the econometric technique of Bai and Perron (2003) to allow</w:t>
      </w:r>
      <w:r w:rsidR="00490FAF">
        <w:rPr>
          <w:sz w:val="24"/>
          <w:szCs w:val="24"/>
        </w:rPr>
        <w:t xml:space="preserve"> endogenous estimation </w:t>
      </w:r>
      <w:r w:rsidR="00E32A55">
        <w:rPr>
          <w:sz w:val="24"/>
          <w:szCs w:val="24"/>
        </w:rPr>
        <w:t xml:space="preserve">of structural break points, </w:t>
      </w:r>
      <w:r w:rsidR="00222C5F">
        <w:rPr>
          <w:sz w:val="24"/>
          <w:szCs w:val="24"/>
        </w:rPr>
        <w:t xml:space="preserve">so that </w:t>
      </w:r>
      <w:r w:rsidR="00490FAF">
        <w:rPr>
          <w:sz w:val="24"/>
          <w:szCs w:val="24"/>
        </w:rPr>
        <w:t xml:space="preserve">parameters could change.   </w:t>
      </w:r>
      <w:r w:rsidR="00222C5F">
        <w:rPr>
          <w:sz w:val="24"/>
          <w:szCs w:val="24"/>
        </w:rPr>
        <w:t>Tables 2 and 3 apply</w:t>
      </w:r>
      <w:r w:rsidR="009A33D3">
        <w:rPr>
          <w:sz w:val="24"/>
          <w:szCs w:val="24"/>
        </w:rPr>
        <w:t xml:space="preserve"> the technique </w:t>
      </w:r>
      <w:r w:rsidR="00A2071D">
        <w:rPr>
          <w:sz w:val="24"/>
          <w:szCs w:val="24"/>
        </w:rPr>
        <w:t xml:space="preserve">to </w:t>
      </w:r>
      <w:r w:rsidR="00222C5F">
        <w:rPr>
          <w:sz w:val="24"/>
          <w:szCs w:val="24"/>
        </w:rPr>
        <w:t xml:space="preserve">weekly data for </w:t>
      </w:r>
      <w:r w:rsidR="00A2071D">
        <w:rPr>
          <w:sz w:val="24"/>
          <w:szCs w:val="24"/>
        </w:rPr>
        <w:t xml:space="preserve">India and Thailand, which </w:t>
      </w:r>
      <w:r w:rsidR="00222C5F">
        <w:rPr>
          <w:sz w:val="24"/>
          <w:szCs w:val="24"/>
        </w:rPr>
        <w:t>have been</w:t>
      </w:r>
      <w:r w:rsidR="00A2071D">
        <w:rPr>
          <w:sz w:val="24"/>
          <w:szCs w:val="24"/>
        </w:rPr>
        <w:t xml:space="preserve"> candidates </w:t>
      </w:r>
      <w:r w:rsidR="00222C5F">
        <w:rPr>
          <w:sz w:val="24"/>
          <w:szCs w:val="24"/>
        </w:rPr>
        <w:t xml:space="preserve">for </w:t>
      </w:r>
      <w:r w:rsidR="00A2071D">
        <w:rPr>
          <w:sz w:val="24"/>
          <w:szCs w:val="24"/>
        </w:rPr>
        <w:t xml:space="preserve">a basket-basket-crawl (BBC) at some parts of their </w:t>
      </w:r>
      <w:r w:rsidR="00222C5F">
        <w:rPr>
          <w:sz w:val="24"/>
          <w:szCs w:val="24"/>
        </w:rPr>
        <w:t xml:space="preserve">recent </w:t>
      </w:r>
      <w:r w:rsidR="00A2071D">
        <w:rPr>
          <w:sz w:val="24"/>
          <w:szCs w:val="24"/>
        </w:rPr>
        <w:t>history.</w:t>
      </w:r>
      <w:r w:rsidR="00EF4739">
        <w:rPr>
          <w:sz w:val="24"/>
          <w:szCs w:val="24"/>
        </w:rPr>
        <w:t xml:space="preserve">  The equations are estimated in rate of change form, to elim</w:t>
      </w:r>
      <w:r w:rsidR="00222C5F">
        <w:rPr>
          <w:sz w:val="24"/>
          <w:szCs w:val="24"/>
        </w:rPr>
        <w:t>inate non-stationarity</w:t>
      </w:r>
      <w:r w:rsidR="00EF4739">
        <w:rPr>
          <w:sz w:val="24"/>
          <w:szCs w:val="24"/>
        </w:rPr>
        <w:t>.</w:t>
      </w:r>
      <w:r w:rsidR="00800572">
        <w:rPr>
          <w:sz w:val="24"/>
          <w:szCs w:val="24"/>
        </w:rPr>
        <w:t xml:space="preserve">  </w:t>
      </w:r>
      <w:r w:rsidR="00EF4739">
        <w:rPr>
          <w:sz w:val="24"/>
          <w:szCs w:val="24"/>
        </w:rPr>
        <w:t xml:space="preserve"> Both for Thailand and for India, the </w:t>
      </w:r>
      <w:r w:rsidR="00222C5F">
        <w:rPr>
          <w:sz w:val="24"/>
          <w:szCs w:val="24"/>
        </w:rPr>
        <w:t xml:space="preserve">estimate for </w:t>
      </w:r>
      <w:r w:rsidR="00222C5F" w:rsidRPr="00822E7F">
        <w:rPr>
          <w:sz w:val="24"/>
          <w:szCs w:val="24"/>
        </w:rPr>
        <w:t>β</w:t>
      </w:r>
      <w:r w:rsidR="00222C5F">
        <w:rPr>
          <w:sz w:val="24"/>
          <w:szCs w:val="24"/>
        </w:rPr>
        <w:t xml:space="preserve">, the </w:t>
      </w:r>
      <w:r w:rsidR="00EF4739">
        <w:rPr>
          <w:sz w:val="24"/>
          <w:szCs w:val="24"/>
        </w:rPr>
        <w:t>coefficient on EMP</w:t>
      </w:r>
      <w:r w:rsidR="00222C5F">
        <w:rPr>
          <w:sz w:val="24"/>
          <w:szCs w:val="24"/>
        </w:rPr>
        <w:t>,</w:t>
      </w:r>
      <w:r w:rsidR="00EF4739">
        <w:rPr>
          <w:sz w:val="24"/>
          <w:szCs w:val="24"/>
        </w:rPr>
        <w:t xml:space="preserve"> is significant greater than zero but significantly less than 1, sugge</w:t>
      </w:r>
      <w:r w:rsidR="00E32A55">
        <w:rPr>
          <w:sz w:val="24"/>
          <w:szCs w:val="24"/>
        </w:rPr>
        <w:t xml:space="preserve">sting systematic </w:t>
      </w:r>
      <w:r w:rsidR="00EF4739">
        <w:rPr>
          <w:sz w:val="24"/>
          <w:szCs w:val="24"/>
        </w:rPr>
        <w:t>managed floating.   For Thailand, the weight on the dollar moved in the range .6 to .8, with the remaining weight falling on the euro and yen.  For India, the weight on the dollar went as high as .9 in the early 2000s.</w:t>
      </w:r>
    </w:p>
    <w:p w14:paraId="1FA2D6F1" w14:textId="740C1181" w:rsidR="006D5861" w:rsidRPr="006D5861" w:rsidRDefault="006D5861" w:rsidP="006D5861">
      <w:pPr>
        <w:ind w:firstLine="720"/>
        <w:rPr>
          <w:sz w:val="24"/>
          <w:szCs w:val="24"/>
        </w:rPr>
      </w:pPr>
      <w:r w:rsidRPr="006D5861">
        <w:rPr>
          <w:sz w:val="24"/>
          <w:szCs w:val="24"/>
        </w:rPr>
        <w:t xml:space="preserve">Even though we label them </w:t>
      </w:r>
      <w:r w:rsidR="00881181">
        <w:rPr>
          <w:sz w:val="24"/>
          <w:szCs w:val="24"/>
        </w:rPr>
        <w:t>“</w:t>
      </w:r>
      <w:r w:rsidRPr="006D5861">
        <w:rPr>
          <w:sz w:val="24"/>
          <w:szCs w:val="24"/>
        </w:rPr>
        <w:t>systematic</w:t>
      </w:r>
      <w:r w:rsidR="00881181">
        <w:rPr>
          <w:sz w:val="24"/>
          <w:szCs w:val="24"/>
        </w:rPr>
        <w:t xml:space="preserve">,” </w:t>
      </w:r>
      <w:r w:rsidRPr="006D5861">
        <w:rPr>
          <w:sz w:val="24"/>
          <w:szCs w:val="24"/>
        </w:rPr>
        <w:t>it is noteworthy that there are several structural breaks in the parameters.  For Thailand the flexibility parameter</w:t>
      </w:r>
      <w:r w:rsidR="00881181">
        <w:rPr>
          <w:sz w:val="24"/>
          <w:szCs w:val="24"/>
        </w:rPr>
        <w:t xml:space="preserve"> </w:t>
      </w:r>
      <w:r w:rsidR="00881181" w:rsidRPr="00822E7F">
        <w:rPr>
          <w:sz w:val="24"/>
          <w:szCs w:val="24"/>
        </w:rPr>
        <w:t>β</w:t>
      </w:r>
      <w:r w:rsidRPr="006D5861">
        <w:rPr>
          <w:sz w:val="24"/>
          <w:szCs w:val="24"/>
        </w:rPr>
        <w:t xml:space="preserve"> is significantly greater than zero and less than 1 for all four time sub-periods within 1999-2009, suggesting relatively consistent behavior.   For India, the same is true of the parameter in four out of six sub-periods, but it is insignificantly different from zero in two out of six.</w:t>
      </w:r>
    </w:p>
    <w:p w14:paraId="02B3FC9E" w14:textId="2899A9A6" w:rsidR="002F0B8D" w:rsidRPr="00462E44" w:rsidRDefault="00F22703" w:rsidP="00F22703">
      <w:pPr>
        <w:ind w:firstLine="720"/>
        <w:rPr>
          <w:sz w:val="24"/>
          <w:szCs w:val="24"/>
        </w:rPr>
      </w:pPr>
      <w:r w:rsidRPr="00462E44">
        <w:rPr>
          <w:sz w:val="24"/>
          <w:szCs w:val="24"/>
        </w:rPr>
        <w:t>Similar estimates for seven other Asia</w:t>
      </w:r>
      <w:r w:rsidR="00462E44" w:rsidRPr="00462E44">
        <w:rPr>
          <w:sz w:val="24"/>
          <w:szCs w:val="24"/>
        </w:rPr>
        <w:t>n currencies are reported in an</w:t>
      </w:r>
      <w:r w:rsidR="00462E44" w:rsidRPr="00462E44">
        <w:rPr>
          <w:rFonts w:ascii="Helvetica" w:hAnsi="Helvetica" w:cs="Helvetica"/>
          <w:color w:val="2D4E77"/>
          <w:sz w:val="21"/>
          <w:szCs w:val="21"/>
          <w:shd w:val="clear" w:color="auto" w:fill="FFFFFF"/>
        </w:rPr>
        <w:t> </w:t>
      </w:r>
      <w:hyperlink r:id="rId13" w:history="1">
        <w:r w:rsidR="00462E44" w:rsidRPr="00462E44">
          <w:rPr>
            <w:rStyle w:val="Hyperlink"/>
            <w:rFonts w:ascii="Helvetica" w:hAnsi="Helvetica" w:cs="Helvetica"/>
            <w:color w:val="2D4E77"/>
            <w:sz w:val="21"/>
            <w:szCs w:val="21"/>
            <w:shd w:val="clear" w:color="auto" w:fill="FFFFFF"/>
          </w:rPr>
          <w:t>on-line Appendix</w:t>
        </w:r>
      </w:hyperlink>
      <w:r w:rsidRPr="00462E44">
        <w:rPr>
          <w:sz w:val="24"/>
          <w:szCs w:val="24"/>
        </w:rPr>
        <w:t>,</w:t>
      </w:r>
      <w:r w:rsidR="00462E44" w:rsidRPr="00462E44">
        <w:rPr>
          <w:sz w:val="24"/>
          <w:szCs w:val="24"/>
        </w:rPr>
        <w:t xml:space="preserve">  </w:t>
      </w:r>
      <w:r w:rsidRPr="00462E44">
        <w:rPr>
          <w:sz w:val="24"/>
          <w:szCs w:val="24"/>
        </w:rPr>
        <w:t xml:space="preserve"> with structural breaks </w:t>
      </w:r>
      <w:r w:rsidR="00881181">
        <w:rPr>
          <w:sz w:val="24"/>
          <w:szCs w:val="24"/>
        </w:rPr>
        <w:t xml:space="preserve">again </w:t>
      </w:r>
      <w:r w:rsidRPr="00462E44">
        <w:rPr>
          <w:sz w:val="24"/>
          <w:szCs w:val="24"/>
        </w:rPr>
        <w:t>identified by the week. Singapore, the Philippines, and South Korea show managed floats throughout the period.  The technique shows China starting to qualify as a managed float in 2006.  For Malaysia we cannot reject free floating in 1999 or fixing in 2000-05 and 2008-09, but the ringgit shows a managed float in between.   For Indonesia we cannot reject free floating in 2001-02, but the rupiah shows managed floating thereafter.  Turkey shows variable behavior dur</w:t>
      </w:r>
      <w:r w:rsidR="00881181">
        <w:rPr>
          <w:sz w:val="24"/>
          <w:szCs w:val="24"/>
        </w:rPr>
        <w:t>ing 1999-2000 but managed floating</w:t>
      </w:r>
      <w:r w:rsidRPr="00462E44">
        <w:rPr>
          <w:sz w:val="24"/>
          <w:szCs w:val="24"/>
        </w:rPr>
        <w:t xml:space="preserve"> start</w:t>
      </w:r>
      <w:r w:rsidR="00881181">
        <w:rPr>
          <w:sz w:val="24"/>
          <w:szCs w:val="24"/>
        </w:rPr>
        <w:t>s</w:t>
      </w:r>
      <w:r w:rsidRPr="00462E44">
        <w:rPr>
          <w:sz w:val="24"/>
          <w:szCs w:val="24"/>
        </w:rPr>
        <w:t xml:space="preserve"> in 2001.</w:t>
      </w:r>
    </w:p>
    <w:p w14:paraId="75BD5A45" w14:textId="6379F3BD" w:rsidR="00A2071D" w:rsidRPr="00D51A7E" w:rsidRDefault="00F555A9" w:rsidP="00881181">
      <w:pPr>
        <w:rPr>
          <w:b/>
        </w:rPr>
      </w:pPr>
      <w:r>
        <w:rPr>
          <w:b/>
        </w:rPr>
        <w:br w:type="page"/>
      </w:r>
      <w:r w:rsidR="00EF4739">
        <w:rPr>
          <w:b/>
        </w:rPr>
        <w:lastRenderedPageBreak/>
        <w:t xml:space="preserve">Table </w:t>
      </w:r>
      <w:r w:rsidR="00FE3B45">
        <w:rPr>
          <w:b/>
        </w:rPr>
        <w:t>2</w:t>
      </w:r>
      <w:r w:rsidR="00A2071D">
        <w:rPr>
          <w:b/>
        </w:rPr>
        <w:t xml:space="preserve">. </w:t>
      </w:r>
      <w:r w:rsidR="00A2071D" w:rsidRPr="00CA5017">
        <w:rPr>
          <w:b/>
        </w:rPr>
        <w:t xml:space="preserve">Identifying Break Points in Thailand’s Exchange Rate Regime </w:t>
      </w:r>
      <w:r w:rsidR="00D51A7E" w:rsidRPr="00D51A7E">
        <w:t>(</w:t>
      </w:r>
      <w:r w:rsidR="00D51A7E" w:rsidRPr="00CA5017">
        <w:t>M1:1999-M5:2009</w:t>
      </w:r>
      <w:r w:rsidR="00D51A7E">
        <w:t>)</w:t>
      </w:r>
    </w:p>
    <w:tbl>
      <w:tblPr>
        <w:tblW w:w="6929" w:type="dxa"/>
        <w:jc w:val="center"/>
        <w:tblLayout w:type="fixed"/>
        <w:tblCellMar>
          <w:left w:w="75" w:type="dxa"/>
          <w:right w:w="75" w:type="dxa"/>
        </w:tblCellMar>
        <w:tblLook w:val="0000" w:firstRow="0" w:lastRow="0" w:firstColumn="0" w:lastColumn="0" w:noHBand="0" w:noVBand="0"/>
      </w:tblPr>
      <w:tblGrid>
        <w:gridCol w:w="1349"/>
        <w:gridCol w:w="1576"/>
        <w:gridCol w:w="1672"/>
        <w:gridCol w:w="1082"/>
        <w:gridCol w:w="1250"/>
      </w:tblGrid>
      <w:tr w:rsidR="00A2071D" w:rsidRPr="0020220E" w14:paraId="3B08FB4B" w14:textId="77777777" w:rsidTr="0087348F">
        <w:trPr>
          <w:jc w:val="center"/>
        </w:trPr>
        <w:tc>
          <w:tcPr>
            <w:tcW w:w="1349" w:type="dxa"/>
            <w:tcBorders>
              <w:top w:val="single" w:sz="6" w:space="0" w:color="auto"/>
              <w:left w:val="nil"/>
              <w:bottom w:val="nil"/>
              <w:right w:val="nil"/>
            </w:tcBorders>
          </w:tcPr>
          <w:p w14:paraId="7C3CF63C" w14:textId="77777777" w:rsidR="00A2071D" w:rsidRPr="0020220E" w:rsidRDefault="00A2071D" w:rsidP="00F555A9">
            <w:pPr>
              <w:autoSpaceDE w:val="0"/>
              <w:autoSpaceDN w:val="0"/>
              <w:adjustRightInd w:val="0"/>
              <w:spacing w:after="0"/>
              <w:rPr>
                <w:sz w:val="20"/>
                <w:szCs w:val="20"/>
              </w:rPr>
            </w:pPr>
          </w:p>
        </w:tc>
        <w:tc>
          <w:tcPr>
            <w:tcW w:w="1576" w:type="dxa"/>
            <w:tcBorders>
              <w:top w:val="single" w:sz="6" w:space="0" w:color="auto"/>
              <w:left w:val="nil"/>
              <w:bottom w:val="nil"/>
              <w:right w:val="nil"/>
            </w:tcBorders>
          </w:tcPr>
          <w:p w14:paraId="49BF4EA9" w14:textId="77777777" w:rsidR="00A2071D" w:rsidRPr="0020220E" w:rsidRDefault="00A2071D" w:rsidP="00F555A9">
            <w:pPr>
              <w:autoSpaceDE w:val="0"/>
              <w:autoSpaceDN w:val="0"/>
              <w:adjustRightInd w:val="0"/>
              <w:spacing w:after="0"/>
              <w:jc w:val="center"/>
              <w:rPr>
                <w:sz w:val="20"/>
                <w:szCs w:val="20"/>
              </w:rPr>
            </w:pPr>
            <w:r w:rsidRPr="0020220E">
              <w:rPr>
                <w:sz w:val="20"/>
                <w:szCs w:val="20"/>
              </w:rPr>
              <w:t>(1)</w:t>
            </w:r>
          </w:p>
        </w:tc>
        <w:tc>
          <w:tcPr>
            <w:tcW w:w="1672" w:type="dxa"/>
            <w:tcBorders>
              <w:top w:val="single" w:sz="6" w:space="0" w:color="auto"/>
              <w:left w:val="nil"/>
              <w:bottom w:val="nil"/>
              <w:right w:val="nil"/>
            </w:tcBorders>
          </w:tcPr>
          <w:p w14:paraId="4B3994C4" w14:textId="77777777" w:rsidR="00A2071D" w:rsidRPr="0020220E" w:rsidRDefault="00A2071D" w:rsidP="00F555A9">
            <w:pPr>
              <w:autoSpaceDE w:val="0"/>
              <w:autoSpaceDN w:val="0"/>
              <w:adjustRightInd w:val="0"/>
              <w:spacing w:after="0"/>
              <w:jc w:val="center"/>
              <w:rPr>
                <w:sz w:val="20"/>
                <w:szCs w:val="20"/>
              </w:rPr>
            </w:pPr>
            <w:r w:rsidRPr="0020220E">
              <w:rPr>
                <w:sz w:val="20"/>
                <w:szCs w:val="20"/>
              </w:rPr>
              <w:t>(2)</w:t>
            </w:r>
          </w:p>
        </w:tc>
        <w:tc>
          <w:tcPr>
            <w:tcW w:w="1082" w:type="dxa"/>
            <w:tcBorders>
              <w:top w:val="single" w:sz="6" w:space="0" w:color="auto"/>
              <w:left w:val="nil"/>
              <w:bottom w:val="nil"/>
              <w:right w:val="nil"/>
            </w:tcBorders>
          </w:tcPr>
          <w:p w14:paraId="7B0D0834" w14:textId="77777777" w:rsidR="00A2071D" w:rsidRPr="0020220E" w:rsidRDefault="00A2071D" w:rsidP="00F555A9">
            <w:pPr>
              <w:autoSpaceDE w:val="0"/>
              <w:autoSpaceDN w:val="0"/>
              <w:adjustRightInd w:val="0"/>
              <w:spacing w:after="0"/>
              <w:jc w:val="center"/>
              <w:rPr>
                <w:sz w:val="20"/>
                <w:szCs w:val="20"/>
              </w:rPr>
            </w:pPr>
            <w:r w:rsidRPr="0020220E">
              <w:rPr>
                <w:sz w:val="20"/>
                <w:szCs w:val="20"/>
              </w:rPr>
              <w:t>(3)</w:t>
            </w:r>
          </w:p>
        </w:tc>
        <w:tc>
          <w:tcPr>
            <w:tcW w:w="1250" w:type="dxa"/>
            <w:tcBorders>
              <w:top w:val="single" w:sz="6" w:space="0" w:color="auto"/>
              <w:left w:val="nil"/>
              <w:bottom w:val="nil"/>
              <w:right w:val="nil"/>
            </w:tcBorders>
          </w:tcPr>
          <w:p w14:paraId="3E00AD66" w14:textId="77777777" w:rsidR="00A2071D" w:rsidRPr="0020220E" w:rsidRDefault="00A2071D" w:rsidP="00F555A9">
            <w:pPr>
              <w:autoSpaceDE w:val="0"/>
              <w:autoSpaceDN w:val="0"/>
              <w:adjustRightInd w:val="0"/>
              <w:spacing w:after="0"/>
              <w:jc w:val="center"/>
              <w:rPr>
                <w:sz w:val="20"/>
                <w:szCs w:val="20"/>
              </w:rPr>
            </w:pPr>
            <w:r w:rsidRPr="0020220E">
              <w:rPr>
                <w:sz w:val="20"/>
                <w:szCs w:val="20"/>
              </w:rPr>
              <w:t>(4)</w:t>
            </w:r>
          </w:p>
        </w:tc>
      </w:tr>
      <w:tr w:rsidR="00A2071D" w:rsidRPr="0020220E" w14:paraId="3DB0B060" w14:textId="77777777" w:rsidTr="0087348F">
        <w:trPr>
          <w:jc w:val="center"/>
        </w:trPr>
        <w:tc>
          <w:tcPr>
            <w:tcW w:w="1349" w:type="dxa"/>
            <w:tcBorders>
              <w:top w:val="nil"/>
              <w:left w:val="nil"/>
              <w:bottom w:val="single" w:sz="6" w:space="0" w:color="auto"/>
              <w:right w:val="nil"/>
            </w:tcBorders>
          </w:tcPr>
          <w:p w14:paraId="629D52E5" w14:textId="77777777" w:rsidR="00A2071D" w:rsidRPr="0020220E" w:rsidRDefault="00A2071D" w:rsidP="00A2071D">
            <w:pPr>
              <w:autoSpaceDE w:val="0"/>
              <w:autoSpaceDN w:val="0"/>
              <w:adjustRightInd w:val="0"/>
              <w:contextualSpacing/>
              <w:rPr>
                <w:sz w:val="20"/>
                <w:szCs w:val="20"/>
              </w:rPr>
            </w:pPr>
            <w:r w:rsidRPr="0020220E">
              <w:rPr>
                <w:sz w:val="20"/>
                <w:szCs w:val="20"/>
              </w:rPr>
              <w:t>VARIABLES</w:t>
            </w:r>
          </w:p>
        </w:tc>
        <w:tc>
          <w:tcPr>
            <w:tcW w:w="1576" w:type="dxa"/>
            <w:tcBorders>
              <w:top w:val="nil"/>
              <w:left w:val="nil"/>
              <w:bottom w:val="single" w:sz="6" w:space="0" w:color="auto"/>
              <w:right w:val="nil"/>
            </w:tcBorders>
          </w:tcPr>
          <w:p w14:paraId="4882158D" w14:textId="77777777" w:rsidR="00A2071D" w:rsidRPr="0020220E" w:rsidRDefault="00A2071D" w:rsidP="00A2071D">
            <w:pPr>
              <w:autoSpaceDE w:val="0"/>
              <w:autoSpaceDN w:val="0"/>
              <w:adjustRightInd w:val="0"/>
              <w:contextualSpacing/>
              <w:jc w:val="center"/>
              <w:rPr>
                <w:sz w:val="20"/>
                <w:szCs w:val="20"/>
              </w:rPr>
            </w:pPr>
            <w:r w:rsidRPr="0020220E">
              <w:rPr>
                <w:sz w:val="20"/>
                <w:szCs w:val="20"/>
              </w:rPr>
              <w:t>1/21/1999-8/5/2001</w:t>
            </w:r>
          </w:p>
        </w:tc>
        <w:tc>
          <w:tcPr>
            <w:tcW w:w="1672" w:type="dxa"/>
            <w:tcBorders>
              <w:top w:val="nil"/>
              <w:left w:val="nil"/>
              <w:bottom w:val="single" w:sz="6" w:space="0" w:color="auto"/>
              <w:right w:val="nil"/>
            </w:tcBorders>
          </w:tcPr>
          <w:p w14:paraId="41818D73" w14:textId="77777777" w:rsidR="00A2071D" w:rsidRPr="0020220E" w:rsidRDefault="00A2071D" w:rsidP="00A2071D">
            <w:pPr>
              <w:autoSpaceDE w:val="0"/>
              <w:autoSpaceDN w:val="0"/>
              <w:adjustRightInd w:val="0"/>
              <w:contextualSpacing/>
              <w:jc w:val="center"/>
              <w:rPr>
                <w:sz w:val="20"/>
                <w:szCs w:val="20"/>
              </w:rPr>
            </w:pPr>
            <w:r w:rsidRPr="0020220E">
              <w:rPr>
                <w:sz w:val="20"/>
                <w:szCs w:val="20"/>
              </w:rPr>
              <w:t>8/12/2001-9/9/2006</w:t>
            </w:r>
          </w:p>
        </w:tc>
        <w:tc>
          <w:tcPr>
            <w:tcW w:w="1082" w:type="dxa"/>
            <w:tcBorders>
              <w:top w:val="nil"/>
              <w:left w:val="nil"/>
              <w:bottom w:val="single" w:sz="6" w:space="0" w:color="auto"/>
              <w:right w:val="nil"/>
            </w:tcBorders>
          </w:tcPr>
          <w:p w14:paraId="221C5CB4" w14:textId="77777777" w:rsidR="00A2071D" w:rsidRPr="0020220E" w:rsidRDefault="00A2071D" w:rsidP="00A2071D">
            <w:pPr>
              <w:autoSpaceDE w:val="0"/>
              <w:autoSpaceDN w:val="0"/>
              <w:adjustRightInd w:val="0"/>
              <w:contextualSpacing/>
              <w:jc w:val="center"/>
              <w:rPr>
                <w:sz w:val="20"/>
                <w:szCs w:val="20"/>
              </w:rPr>
            </w:pPr>
            <w:r w:rsidRPr="0020220E">
              <w:rPr>
                <w:sz w:val="20"/>
                <w:szCs w:val="20"/>
              </w:rPr>
              <w:t>9/16/2006-3/25/2007</w:t>
            </w:r>
          </w:p>
        </w:tc>
        <w:tc>
          <w:tcPr>
            <w:tcW w:w="1250" w:type="dxa"/>
            <w:tcBorders>
              <w:top w:val="nil"/>
              <w:left w:val="nil"/>
              <w:bottom w:val="single" w:sz="6" w:space="0" w:color="auto"/>
              <w:right w:val="nil"/>
            </w:tcBorders>
          </w:tcPr>
          <w:p w14:paraId="351D3CC2" w14:textId="77777777" w:rsidR="00A2071D" w:rsidRPr="0020220E" w:rsidRDefault="00A2071D" w:rsidP="00A2071D">
            <w:pPr>
              <w:autoSpaceDE w:val="0"/>
              <w:autoSpaceDN w:val="0"/>
              <w:adjustRightInd w:val="0"/>
              <w:contextualSpacing/>
              <w:jc w:val="center"/>
              <w:rPr>
                <w:sz w:val="20"/>
                <w:szCs w:val="20"/>
              </w:rPr>
            </w:pPr>
            <w:r w:rsidRPr="0020220E">
              <w:rPr>
                <w:sz w:val="20"/>
                <w:szCs w:val="20"/>
              </w:rPr>
              <w:t>4/1/2007-5/6/2009</w:t>
            </w:r>
          </w:p>
        </w:tc>
      </w:tr>
      <w:tr w:rsidR="00A2071D" w:rsidRPr="0020220E" w14:paraId="1F5727A8" w14:textId="77777777" w:rsidTr="0087348F">
        <w:trPr>
          <w:jc w:val="center"/>
        </w:trPr>
        <w:tc>
          <w:tcPr>
            <w:tcW w:w="1349" w:type="dxa"/>
            <w:tcBorders>
              <w:top w:val="nil"/>
              <w:left w:val="nil"/>
              <w:bottom w:val="nil"/>
              <w:right w:val="nil"/>
            </w:tcBorders>
          </w:tcPr>
          <w:p w14:paraId="3E6B1ACE" w14:textId="77777777" w:rsidR="00A2071D" w:rsidRPr="00CA168C" w:rsidRDefault="00A2071D" w:rsidP="00A2071D">
            <w:pPr>
              <w:autoSpaceDE w:val="0"/>
              <w:autoSpaceDN w:val="0"/>
              <w:adjustRightInd w:val="0"/>
              <w:contextualSpacing/>
            </w:pPr>
            <w:r w:rsidRPr="00CA168C">
              <w:t>US dollar</w:t>
            </w:r>
          </w:p>
        </w:tc>
        <w:tc>
          <w:tcPr>
            <w:tcW w:w="1576" w:type="dxa"/>
            <w:tcBorders>
              <w:top w:val="nil"/>
              <w:left w:val="nil"/>
              <w:bottom w:val="nil"/>
              <w:right w:val="nil"/>
            </w:tcBorders>
          </w:tcPr>
          <w:p w14:paraId="2DF03910" w14:textId="77777777" w:rsidR="00A2071D" w:rsidRPr="00CA168C" w:rsidRDefault="00A2071D" w:rsidP="00A2071D">
            <w:pPr>
              <w:autoSpaceDE w:val="0"/>
              <w:autoSpaceDN w:val="0"/>
              <w:adjustRightInd w:val="0"/>
              <w:contextualSpacing/>
              <w:jc w:val="center"/>
            </w:pPr>
            <w:r w:rsidRPr="00CA168C">
              <w:t>0.62***</w:t>
            </w:r>
          </w:p>
        </w:tc>
        <w:tc>
          <w:tcPr>
            <w:tcW w:w="1672" w:type="dxa"/>
            <w:tcBorders>
              <w:top w:val="nil"/>
              <w:left w:val="nil"/>
              <w:bottom w:val="nil"/>
              <w:right w:val="nil"/>
            </w:tcBorders>
          </w:tcPr>
          <w:p w14:paraId="73C9E7B0" w14:textId="77777777" w:rsidR="00A2071D" w:rsidRPr="00CA168C" w:rsidRDefault="00A2071D" w:rsidP="00A2071D">
            <w:pPr>
              <w:autoSpaceDE w:val="0"/>
              <w:autoSpaceDN w:val="0"/>
              <w:adjustRightInd w:val="0"/>
              <w:contextualSpacing/>
              <w:jc w:val="center"/>
            </w:pPr>
            <w:r w:rsidRPr="00CA168C">
              <w:t>0.61***</w:t>
            </w:r>
          </w:p>
        </w:tc>
        <w:tc>
          <w:tcPr>
            <w:tcW w:w="1082" w:type="dxa"/>
            <w:tcBorders>
              <w:top w:val="nil"/>
              <w:left w:val="nil"/>
              <w:bottom w:val="nil"/>
              <w:right w:val="nil"/>
            </w:tcBorders>
          </w:tcPr>
          <w:p w14:paraId="23CA32B7" w14:textId="77777777" w:rsidR="00A2071D" w:rsidRPr="00CA168C" w:rsidRDefault="00A2071D" w:rsidP="00A2071D">
            <w:pPr>
              <w:autoSpaceDE w:val="0"/>
              <w:autoSpaceDN w:val="0"/>
              <w:adjustRightInd w:val="0"/>
              <w:contextualSpacing/>
              <w:jc w:val="center"/>
            </w:pPr>
            <w:r w:rsidRPr="00CA168C">
              <w:t>0.80***</w:t>
            </w:r>
          </w:p>
        </w:tc>
        <w:tc>
          <w:tcPr>
            <w:tcW w:w="1250" w:type="dxa"/>
            <w:tcBorders>
              <w:top w:val="nil"/>
              <w:left w:val="nil"/>
              <w:bottom w:val="nil"/>
              <w:right w:val="nil"/>
            </w:tcBorders>
          </w:tcPr>
          <w:p w14:paraId="1F085FFD" w14:textId="77777777" w:rsidR="00A2071D" w:rsidRPr="00CA168C" w:rsidRDefault="00A2071D" w:rsidP="00A2071D">
            <w:pPr>
              <w:autoSpaceDE w:val="0"/>
              <w:autoSpaceDN w:val="0"/>
              <w:adjustRightInd w:val="0"/>
              <w:contextualSpacing/>
              <w:jc w:val="center"/>
            </w:pPr>
            <w:r w:rsidRPr="00CA168C">
              <w:t>0.70***</w:t>
            </w:r>
          </w:p>
        </w:tc>
      </w:tr>
      <w:tr w:rsidR="00A2071D" w:rsidRPr="0020220E" w14:paraId="668A114D" w14:textId="77777777" w:rsidTr="0087348F">
        <w:trPr>
          <w:jc w:val="center"/>
        </w:trPr>
        <w:tc>
          <w:tcPr>
            <w:tcW w:w="1349" w:type="dxa"/>
            <w:tcBorders>
              <w:top w:val="nil"/>
              <w:left w:val="nil"/>
              <w:bottom w:val="nil"/>
              <w:right w:val="nil"/>
            </w:tcBorders>
          </w:tcPr>
          <w:p w14:paraId="6D991B17" w14:textId="77777777" w:rsidR="00A2071D" w:rsidRPr="00CA168C" w:rsidRDefault="00A2071D" w:rsidP="00A2071D">
            <w:pPr>
              <w:autoSpaceDE w:val="0"/>
              <w:autoSpaceDN w:val="0"/>
              <w:adjustRightInd w:val="0"/>
              <w:contextualSpacing/>
            </w:pPr>
          </w:p>
        </w:tc>
        <w:tc>
          <w:tcPr>
            <w:tcW w:w="1576" w:type="dxa"/>
            <w:tcBorders>
              <w:top w:val="nil"/>
              <w:left w:val="nil"/>
              <w:bottom w:val="nil"/>
              <w:right w:val="nil"/>
            </w:tcBorders>
          </w:tcPr>
          <w:p w14:paraId="25B13100" w14:textId="77777777" w:rsidR="00A2071D" w:rsidRPr="00CA168C" w:rsidRDefault="00A2071D" w:rsidP="00A2071D">
            <w:pPr>
              <w:autoSpaceDE w:val="0"/>
              <w:autoSpaceDN w:val="0"/>
              <w:adjustRightInd w:val="0"/>
              <w:contextualSpacing/>
              <w:jc w:val="center"/>
            </w:pPr>
            <w:r w:rsidRPr="00CA168C">
              <w:t>(0.09)</w:t>
            </w:r>
          </w:p>
        </w:tc>
        <w:tc>
          <w:tcPr>
            <w:tcW w:w="1672" w:type="dxa"/>
            <w:tcBorders>
              <w:top w:val="nil"/>
              <w:left w:val="nil"/>
              <w:bottom w:val="nil"/>
              <w:right w:val="nil"/>
            </w:tcBorders>
          </w:tcPr>
          <w:p w14:paraId="19B1995B" w14:textId="77777777" w:rsidR="00A2071D" w:rsidRPr="00CA168C" w:rsidRDefault="00A2071D" w:rsidP="00A2071D">
            <w:pPr>
              <w:autoSpaceDE w:val="0"/>
              <w:autoSpaceDN w:val="0"/>
              <w:adjustRightInd w:val="0"/>
              <w:contextualSpacing/>
              <w:jc w:val="center"/>
            </w:pPr>
            <w:r w:rsidRPr="00CA168C">
              <w:t>(0.04)</w:t>
            </w:r>
          </w:p>
        </w:tc>
        <w:tc>
          <w:tcPr>
            <w:tcW w:w="1082" w:type="dxa"/>
            <w:tcBorders>
              <w:top w:val="nil"/>
              <w:left w:val="nil"/>
              <w:bottom w:val="nil"/>
              <w:right w:val="nil"/>
            </w:tcBorders>
          </w:tcPr>
          <w:p w14:paraId="4D54EF0E" w14:textId="77777777" w:rsidR="00A2071D" w:rsidRPr="00CA168C" w:rsidRDefault="00A2071D" w:rsidP="00A2071D">
            <w:pPr>
              <w:autoSpaceDE w:val="0"/>
              <w:autoSpaceDN w:val="0"/>
              <w:adjustRightInd w:val="0"/>
              <w:contextualSpacing/>
              <w:jc w:val="center"/>
            </w:pPr>
            <w:r w:rsidRPr="00CA168C">
              <w:t>(0.28)</w:t>
            </w:r>
          </w:p>
        </w:tc>
        <w:tc>
          <w:tcPr>
            <w:tcW w:w="1250" w:type="dxa"/>
            <w:tcBorders>
              <w:top w:val="nil"/>
              <w:left w:val="nil"/>
              <w:bottom w:val="nil"/>
              <w:right w:val="nil"/>
            </w:tcBorders>
          </w:tcPr>
          <w:p w14:paraId="4E63D25D" w14:textId="77777777" w:rsidR="00A2071D" w:rsidRPr="00CA168C" w:rsidRDefault="00A2071D" w:rsidP="00A2071D">
            <w:pPr>
              <w:autoSpaceDE w:val="0"/>
              <w:autoSpaceDN w:val="0"/>
              <w:adjustRightInd w:val="0"/>
              <w:contextualSpacing/>
              <w:jc w:val="center"/>
            </w:pPr>
            <w:r w:rsidRPr="00CA168C">
              <w:t>(0.05)</w:t>
            </w:r>
          </w:p>
        </w:tc>
      </w:tr>
      <w:tr w:rsidR="00A2071D" w:rsidRPr="0020220E" w14:paraId="29DDAE16" w14:textId="77777777" w:rsidTr="0087348F">
        <w:trPr>
          <w:jc w:val="center"/>
        </w:trPr>
        <w:tc>
          <w:tcPr>
            <w:tcW w:w="1349" w:type="dxa"/>
            <w:tcBorders>
              <w:top w:val="nil"/>
              <w:left w:val="nil"/>
              <w:bottom w:val="nil"/>
              <w:right w:val="nil"/>
            </w:tcBorders>
          </w:tcPr>
          <w:p w14:paraId="59C696CE" w14:textId="77777777" w:rsidR="00A2071D" w:rsidRPr="00CA168C" w:rsidRDefault="00B91C0E" w:rsidP="00A2071D">
            <w:pPr>
              <w:autoSpaceDE w:val="0"/>
              <w:autoSpaceDN w:val="0"/>
              <w:adjustRightInd w:val="0"/>
              <w:contextualSpacing/>
            </w:pPr>
            <w:r w:rsidRPr="00CA168C">
              <w:t>E</w:t>
            </w:r>
            <w:r w:rsidR="00A2071D" w:rsidRPr="00CA168C">
              <w:t>uro</w:t>
            </w:r>
          </w:p>
        </w:tc>
        <w:tc>
          <w:tcPr>
            <w:tcW w:w="1576" w:type="dxa"/>
            <w:tcBorders>
              <w:top w:val="nil"/>
              <w:left w:val="nil"/>
              <w:bottom w:val="nil"/>
              <w:right w:val="nil"/>
            </w:tcBorders>
          </w:tcPr>
          <w:p w14:paraId="329442E4" w14:textId="77777777" w:rsidR="00A2071D" w:rsidRPr="00CA168C" w:rsidRDefault="00A2071D" w:rsidP="00A2071D">
            <w:pPr>
              <w:autoSpaceDE w:val="0"/>
              <w:autoSpaceDN w:val="0"/>
              <w:adjustRightInd w:val="0"/>
              <w:contextualSpacing/>
              <w:jc w:val="center"/>
            </w:pPr>
            <w:r w:rsidRPr="00CA168C">
              <w:t>0.26***</w:t>
            </w:r>
          </w:p>
        </w:tc>
        <w:tc>
          <w:tcPr>
            <w:tcW w:w="1672" w:type="dxa"/>
            <w:tcBorders>
              <w:top w:val="nil"/>
              <w:left w:val="nil"/>
              <w:bottom w:val="nil"/>
              <w:right w:val="nil"/>
            </w:tcBorders>
          </w:tcPr>
          <w:p w14:paraId="7CD6E770" w14:textId="77777777" w:rsidR="00A2071D" w:rsidRPr="00CA168C" w:rsidRDefault="00A2071D" w:rsidP="00A2071D">
            <w:pPr>
              <w:autoSpaceDE w:val="0"/>
              <w:autoSpaceDN w:val="0"/>
              <w:adjustRightInd w:val="0"/>
              <w:contextualSpacing/>
              <w:jc w:val="center"/>
            </w:pPr>
            <w:r w:rsidRPr="00CA168C">
              <w:t>0.17***</w:t>
            </w:r>
          </w:p>
        </w:tc>
        <w:tc>
          <w:tcPr>
            <w:tcW w:w="1082" w:type="dxa"/>
            <w:tcBorders>
              <w:top w:val="nil"/>
              <w:left w:val="nil"/>
              <w:bottom w:val="nil"/>
              <w:right w:val="nil"/>
            </w:tcBorders>
          </w:tcPr>
          <w:p w14:paraId="5B799FE2" w14:textId="77777777" w:rsidR="00A2071D" w:rsidRPr="00CA168C" w:rsidRDefault="00A2071D" w:rsidP="00A2071D">
            <w:pPr>
              <w:autoSpaceDE w:val="0"/>
              <w:autoSpaceDN w:val="0"/>
              <w:adjustRightInd w:val="0"/>
              <w:contextualSpacing/>
              <w:jc w:val="center"/>
            </w:pPr>
            <w:r w:rsidRPr="00CA168C">
              <w:t>-0.08</w:t>
            </w:r>
          </w:p>
        </w:tc>
        <w:tc>
          <w:tcPr>
            <w:tcW w:w="1250" w:type="dxa"/>
            <w:tcBorders>
              <w:top w:val="nil"/>
              <w:left w:val="nil"/>
              <w:bottom w:val="nil"/>
              <w:right w:val="nil"/>
            </w:tcBorders>
          </w:tcPr>
          <w:p w14:paraId="63F78607" w14:textId="77777777" w:rsidR="00A2071D" w:rsidRPr="00CA168C" w:rsidRDefault="00A2071D" w:rsidP="00A2071D">
            <w:pPr>
              <w:autoSpaceDE w:val="0"/>
              <w:autoSpaceDN w:val="0"/>
              <w:adjustRightInd w:val="0"/>
              <w:contextualSpacing/>
              <w:jc w:val="center"/>
            </w:pPr>
            <w:r w:rsidRPr="00CA168C">
              <w:t>0.19***</w:t>
            </w:r>
          </w:p>
        </w:tc>
      </w:tr>
      <w:tr w:rsidR="00A2071D" w:rsidRPr="0020220E" w14:paraId="62BD9ACB" w14:textId="77777777" w:rsidTr="0087348F">
        <w:trPr>
          <w:jc w:val="center"/>
        </w:trPr>
        <w:tc>
          <w:tcPr>
            <w:tcW w:w="1349" w:type="dxa"/>
            <w:tcBorders>
              <w:top w:val="nil"/>
              <w:left w:val="nil"/>
              <w:bottom w:val="nil"/>
              <w:right w:val="nil"/>
            </w:tcBorders>
          </w:tcPr>
          <w:p w14:paraId="386C38EA" w14:textId="77777777" w:rsidR="00A2071D" w:rsidRPr="00CA168C" w:rsidRDefault="00A2071D" w:rsidP="00A2071D">
            <w:pPr>
              <w:autoSpaceDE w:val="0"/>
              <w:autoSpaceDN w:val="0"/>
              <w:adjustRightInd w:val="0"/>
              <w:contextualSpacing/>
            </w:pPr>
          </w:p>
        </w:tc>
        <w:tc>
          <w:tcPr>
            <w:tcW w:w="1576" w:type="dxa"/>
            <w:tcBorders>
              <w:top w:val="nil"/>
              <w:left w:val="nil"/>
              <w:bottom w:val="nil"/>
              <w:right w:val="nil"/>
            </w:tcBorders>
          </w:tcPr>
          <w:p w14:paraId="2AD04851" w14:textId="77777777" w:rsidR="00A2071D" w:rsidRPr="00CA168C" w:rsidRDefault="00A2071D" w:rsidP="00A2071D">
            <w:pPr>
              <w:autoSpaceDE w:val="0"/>
              <w:autoSpaceDN w:val="0"/>
              <w:adjustRightInd w:val="0"/>
              <w:contextualSpacing/>
              <w:jc w:val="center"/>
            </w:pPr>
            <w:r w:rsidRPr="00CA168C">
              <w:t>(0.08)</w:t>
            </w:r>
          </w:p>
        </w:tc>
        <w:tc>
          <w:tcPr>
            <w:tcW w:w="1672" w:type="dxa"/>
            <w:tcBorders>
              <w:top w:val="nil"/>
              <w:left w:val="nil"/>
              <w:bottom w:val="nil"/>
              <w:right w:val="nil"/>
            </w:tcBorders>
          </w:tcPr>
          <w:p w14:paraId="13732711" w14:textId="77777777" w:rsidR="00A2071D" w:rsidRPr="00CA168C" w:rsidRDefault="00A2071D" w:rsidP="00A2071D">
            <w:pPr>
              <w:autoSpaceDE w:val="0"/>
              <w:autoSpaceDN w:val="0"/>
              <w:adjustRightInd w:val="0"/>
              <w:contextualSpacing/>
              <w:jc w:val="center"/>
            </w:pPr>
            <w:r w:rsidRPr="00CA168C">
              <w:t>(0.06)</w:t>
            </w:r>
          </w:p>
        </w:tc>
        <w:tc>
          <w:tcPr>
            <w:tcW w:w="1082" w:type="dxa"/>
            <w:tcBorders>
              <w:top w:val="nil"/>
              <w:left w:val="nil"/>
              <w:bottom w:val="nil"/>
              <w:right w:val="nil"/>
            </w:tcBorders>
          </w:tcPr>
          <w:p w14:paraId="43AE7045" w14:textId="77777777" w:rsidR="00A2071D" w:rsidRPr="00CA168C" w:rsidRDefault="00A2071D" w:rsidP="00A2071D">
            <w:pPr>
              <w:autoSpaceDE w:val="0"/>
              <w:autoSpaceDN w:val="0"/>
              <w:adjustRightInd w:val="0"/>
              <w:contextualSpacing/>
              <w:jc w:val="center"/>
            </w:pPr>
            <w:r w:rsidRPr="00CA168C">
              <w:t>(0.59)</w:t>
            </w:r>
          </w:p>
        </w:tc>
        <w:tc>
          <w:tcPr>
            <w:tcW w:w="1250" w:type="dxa"/>
            <w:tcBorders>
              <w:top w:val="nil"/>
              <w:left w:val="nil"/>
              <w:bottom w:val="nil"/>
              <w:right w:val="nil"/>
            </w:tcBorders>
          </w:tcPr>
          <w:p w14:paraId="1615F0A5" w14:textId="77777777" w:rsidR="00A2071D" w:rsidRPr="00CA168C" w:rsidRDefault="00A2071D" w:rsidP="00A2071D">
            <w:pPr>
              <w:autoSpaceDE w:val="0"/>
              <w:autoSpaceDN w:val="0"/>
              <w:adjustRightInd w:val="0"/>
              <w:contextualSpacing/>
              <w:jc w:val="center"/>
            </w:pPr>
            <w:r w:rsidRPr="00CA168C">
              <w:t>(0.04)</w:t>
            </w:r>
          </w:p>
        </w:tc>
      </w:tr>
      <w:tr w:rsidR="00A2071D" w:rsidRPr="0020220E" w14:paraId="18FF124B" w14:textId="77777777" w:rsidTr="0087348F">
        <w:trPr>
          <w:jc w:val="center"/>
        </w:trPr>
        <w:tc>
          <w:tcPr>
            <w:tcW w:w="1349" w:type="dxa"/>
            <w:tcBorders>
              <w:top w:val="nil"/>
              <w:left w:val="nil"/>
              <w:bottom w:val="nil"/>
              <w:right w:val="nil"/>
            </w:tcBorders>
          </w:tcPr>
          <w:p w14:paraId="1EE84812" w14:textId="77777777" w:rsidR="00A2071D" w:rsidRPr="00CA168C" w:rsidRDefault="00A2071D" w:rsidP="00A2071D">
            <w:pPr>
              <w:autoSpaceDE w:val="0"/>
              <w:autoSpaceDN w:val="0"/>
              <w:adjustRightInd w:val="0"/>
              <w:contextualSpacing/>
            </w:pPr>
            <w:r w:rsidRPr="00CA168C">
              <w:t>Jpn yen</w:t>
            </w:r>
          </w:p>
        </w:tc>
        <w:tc>
          <w:tcPr>
            <w:tcW w:w="1576" w:type="dxa"/>
            <w:tcBorders>
              <w:top w:val="nil"/>
              <w:left w:val="nil"/>
              <w:bottom w:val="nil"/>
              <w:right w:val="nil"/>
            </w:tcBorders>
          </w:tcPr>
          <w:p w14:paraId="5021AAB6" w14:textId="77777777" w:rsidR="00A2071D" w:rsidRPr="00CA168C" w:rsidRDefault="00A2071D" w:rsidP="00A2071D">
            <w:pPr>
              <w:autoSpaceDE w:val="0"/>
              <w:autoSpaceDN w:val="0"/>
              <w:adjustRightInd w:val="0"/>
              <w:contextualSpacing/>
              <w:jc w:val="center"/>
            </w:pPr>
            <w:r w:rsidRPr="00CA168C">
              <w:t>0.15***</w:t>
            </w:r>
          </w:p>
        </w:tc>
        <w:tc>
          <w:tcPr>
            <w:tcW w:w="1672" w:type="dxa"/>
            <w:tcBorders>
              <w:top w:val="nil"/>
              <w:left w:val="nil"/>
              <w:bottom w:val="nil"/>
              <w:right w:val="nil"/>
            </w:tcBorders>
          </w:tcPr>
          <w:p w14:paraId="369EEF98" w14:textId="77777777" w:rsidR="00A2071D" w:rsidRPr="00CA168C" w:rsidRDefault="00A2071D" w:rsidP="00A2071D">
            <w:pPr>
              <w:autoSpaceDE w:val="0"/>
              <w:autoSpaceDN w:val="0"/>
              <w:adjustRightInd w:val="0"/>
              <w:contextualSpacing/>
              <w:jc w:val="center"/>
            </w:pPr>
            <w:r w:rsidRPr="00CA168C">
              <w:t>0.25***</w:t>
            </w:r>
          </w:p>
        </w:tc>
        <w:tc>
          <w:tcPr>
            <w:tcW w:w="1082" w:type="dxa"/>
            <w:tcBorders>
              <w:top w:val="nil"/>
              <w:left w:val="nil"/>
              <w:bottom w:val="nil"/>
              <w:right w:val="nil"/>
            </w:tcBorders>
          </w:tcPr>
          <w:p w14:paraId="0A5A6E24" w14:textId="77777777" w:rsidR="00A2071D" w:rsidRPr="00CA168C" w:rsidRDefault="00A2071D" w:rsidP="00A2071D">
            <w:pPr>
              <w:autoSpaceDE w:val="0"/>
              <w:autoSpaceDN w:val="0"/>
              <w:adjustRightInd w:val="0"/>
              <w:contextualSpacing/>
              <w:jc w:val="center"/>
            </w:pPr>
            <w:r w:rsidRPr="00CA168C">
              <w:t>0.16</w:t>
            </w:r>
          </w:p>
        </w:tc>
        <w:tc>
          <w:tcPr>
            <w:tcW w:w="1250" w:type="dxa"/>
            <w:tcBorders>
              <w:top w:val="nil"/>
              <w:left w:val="nil"/>
              <w:bottom w:val="nil"/>
              <w:right w:val="nil"/>
            </w:tcBorders>
          </w:tcPr>
          <w:p w14:paraId="4A401F56" w14:textId="77777777" w:rsidR="00A2071D" w:rsidRPr="00CA168C" w:rsidRDefault="00A2071D" w:rsidP="00A2071D">
            <w:pPr>
              <w:autoSpaceDE w:val="0"/>
              <w:autoSpaceDN w:val="0"/>
              <w:adjustRightInd w:val="0"/>
              <w:contextualSpacing/>
              <w:jc w:val="center"/>
            </w:pPr>
            <w:r w:rsidRPr="00CA168C">
              <w:t>0.04</w:t>
            </w:r>
          </w:p>
        </w:tc>
      </w:tr>
      <w:tr w:rsidR="00A2071D" w:rsidRPr="0020220E" w14:paraId="68667FE7" w14:textId="77777777" w:rsidTr="0087348F">
        <w:trPr>
          <w:jc w:val="center"/>
        </w:trPr>
        <w:tc>
          <w:tcPr>
            <w:tcW w:w="1349" w:type="dxa"/>
            <w:tcBorders>
              <w:top w:val="nil"/>
              <w:left w:val="nil"/>
              <w:bottom w:val="nil"/>
              <w:right w:val="nil"/>
            </w:tcBorders>
          </w:tcPr>
          <w:p w14:paraId="0C6D77E1" w14:textId="77777777" w:rsidR="00A2071D" w:rsidRPr="00CA168C" w:rsidRDefault="00A2071D" w:rsidP="00A2071D">
            <w:pPr>
              <w:autoSpaceDE w:val="0"/>
              <w:autoSpaceDN w:val="0"/>
              <w:adjustRightInd w:val="0"/>
              <w:contextualSpacing/>
            </w:pPr>
          </w:p>
        </w:tc>
        <w:tc>
          <w:tcPr>
            <w:tcW w:w="1576" w:type="dxa"/>
            <w:tcBorders>
              <w:top w:val="nil"/>
              <w:left w:val="nil"/>
              <w:bottom w:val="nil"/>
              <w:right w:val="nil"/>
            </w:tcBorders>
          </w:tcPr>
          <w:p w14:paraId="5E9CA1CB" w14:textId="77777777" w:rsidR="00A2071D" w:rsidRPr="00CA168C" w:rsidRDefault="00A2071D" w:rsidP="00A2071D">
            <w:pPr>
              <w:autoSpaceDE w:val="0"/>
              <w:autoSpaceDN w:val="0"/>
              <w:adjustRightInd w:val="0"/>
              <w:contextualSpacing/>
              <w:jc w:val="center"/>
            </w:pPr>
            <w:r w:rsidRPr="00CA168C">
              <w:t>(0.04)</w:t>
            </w:r>
          </w:p>
        </w:tc>
        <w:tc>
          <w:tcPr>
            <w:tcW w:w="1672" w:type="dxa"/>
            <w:tcBorders>
              <w:top w:val="nil"/>
              <w:left w:val="nil"/>
              <w:bottom w:val="nil"/>
              <w:right w:val="nil"/>
            </w:tcBorders>
          </w:tcPr>
          <w:p w14:paraId="39F7C549" w14:textId="77777777" w:rsidR="00A2071D" w:rsidRPr="00CA168C" w:rsidRDefault="00A2071D" w:rsidP="00A2071D">
            <w:pPr>
              <w:autoSpaceDE w:val="0"/>
              <w:autoSpaceDN w:val="0"/>
              <w:adjustRightInd w:val="0"/>
              <w:contextualSpacing/>
              <w:jc w:val="center"/>
            </w:pPr>
            <w:r w:rsidRPr="00CA168C">
              <w:t>(0.03)</w:t>
            </w:r>
          </w:p>
        </w:tc>
        <w:tc>
          <w:tcPr>
            <w:tcW w:w="1082" w:type="dxa"/>
            <w:tcBorders>
              <w:top w:val="nil"/>
              <w:left w:val="nil"/>
              <w:bottom w:val="nil"/>
              <w:right w:val="nil"/>
            </w:tcBorders>
          </w:tcPr>
          <w:p w14:paraId="71584181" w14:textId="77777777" w:rsidR="00A2071D" w:rsidRPr="00CA168C" w:rsidRDefault="00A2071D" w:rsidP="00A2071D">
            <w:pPr>
              <w:autoSpaceDE w:val="0"/>
              <w:autoSpaceDN w:val="0"/>
              <w:adjustRightInd w:val="0"/>
              <w:contextualSpacing/>
              <w:jc w:val="center"/>
            </w:pPr>
            <w:r w:rsidRPr="00CA168C">
              <w:t>(0.30)</w:t>
            </w:r>
          </w:p>
        </w:tc>
        <w:tc>
          <w:tcPr>
            <w:tcW w:w="1250" w:type="dxa"/>
            <w:tcBorders>
              <w:top w:val="nil"/>
              <w:left w:val="nil"/>
              <w:bottom w:val="nil"/>
              <w:right w:val="nil"/>
            </w:tcBorders>
          </w:tcPr>
          <w:p w14:paraId="61D5F6B6" w14:textId="77777777" w:rsidR="00A2071D" w:rsidRPr="00CA168C" w:rsidRDefault="00A2071D" w:rsidP="00A2071D">
            <w:pPr>
              <w:autoSpaceDE w:val="0"/>
              <w:autoSpaceDN w:val="0"/>
              <w:adjustRightInd w:val="0"/>
              <w:contextualSpacing/>
              <w:jc w:val="center"/>
            </w:pPr>
            <w:r w:rsidRPr="00CA168C">
              <w:t>(0.03)</w:t>
            </w:r>
          </w:p>
        </w:tc>
      </w:tr>
      <w:tr w:rsidR="00A2071D" w:rsidRPr="0020220E" w14:paraId="2D1DBD1F" w14:textId="77777777" w:rsidTr="0087348F">
        <w:trPr>
          <w:jc w:val="center"/>
        </w:trPr>
        <w:tc>
          <w:tcPr>
            <w:tcW w:w="1349" w:type="dxa"/>
            <w:tcBorders>
              <w:top w:val="nil"/>
              <w:left w:val="nil"/>
              <w:bottom w:val="nil"/>
              <w:right w:val="nil"/>
            </w:tcBorders>
          </w:tcPr>
          <w:p w14:paraId="3F45AE50" w14:textId="77777777" w:rsidR="00A2071D" w:rsidRPr="00CA168C" w:rsidRDefault="00A2071D" w:rsidP="00A2071D">
            <w:pPr>
              <w:autoSpaceDE w:val="0"/>
              <w:autoSpaceDN w:val="0"/>
              <w:adjustRightInd w:val="0"/>
              <w:contextualSpacing/>
            </w:pPr>
            <w:r w:rsidRPr="00CA168C">
              <w:rPr>
                <w:rFonts w:hint="eastAsia"/>
                <w:i/>
              </w:rPr>
              <w:t>△</w:t>
            </w:r>
            <w:r w:rsidRPr="00CA168C">
              <w:rPr>
                <w:i/>
              </w:rPr>
              <w:t>EMP</w:t>
            </w:r>
          </w:p>
        </w:tc>
        <w:tc>
          <w:tcPr>
            <w:tcW w:w="1576" w:type="dxa"/>
            <w:tcBorders>
              <w:top w:val="nil"/>
              <w:left w:val="nil"/>
              <w:bottom w:val="nil"/>
              <w:right w:val="nil"/>
            </w:tcBorders>
          </w:tcPr>
          <w:p w14:paraId="6F3D1464" w14:textId="77777777" w:rsidR="00A2071D" w:rsidRPr="00CA168C" w:rsidRDefault="00A2071D" w:rsidP="00A2071D">
            <w:pPr>
              <w:autoSpaceDE w:val="0"/>
              <w:autoSpaceDN w:val="0"/>
              <w:adjustRightInd w:val="0"/>
              <w:contextualSpacing/>
              <w:jc w:val="center"/>
            </w:pPr>
            <w:r w:rsidRPr="00CA168C">
              <w:t>0.20***</w:t>
            </w:r>
          </w:p>
        </w:tc>
        <w:tc>
          <w:tcPr>
            <w:tcW w:w="1672" w:type="dxa"/>
            <w:tcBorders>
              <w:top w:val="nil"/>
              <w:left w:val="nil"/>
              <w:bottom w:val="nil"/>
              <w:right w:val="nil"/>
            </w:tcBorders>
          </w:tcPr>
          <w:p w14:paraId="15443EA9" w14:textId="77777777" w:rsidR="00A2071D" w:rsidRPr="00CA168C" w:rsidRDefault="00A2071D" w:rsidP="00A2071D">
            <w:pPr>
              <w:autoSpaceDE w:val="0"/>
              <w:autoSpaceDN w:val="0"/>
              <w:adjustRightInd w:val="0"/>
              <w:contextualSpacing/>
              <w:jc w:val="center"/>
            </w:pPr>
            <w:r w:rsidRPr="00CA168C">
              <w:t>0.06***</w:t>
            </w:r>
          </w:p>
        </w:tc>
        <w:tc>
          <w:tcPr>
            <w:tcW w:w="1082" w:type="dxa"/>
            <w:tcBorders>
              <w:top w:val="nil"/>
              <w:left w:val="nil"/>
              <w:bottom w:val="nil"/>
              <w:right w:val="nil"/>
            </w:tcBorders>
          </w:tcPr>
          <w:p w14:paraId="76249675" w14:textId="77777777" w:rsidR="00A2071D" w:rsidRPr="00CA168C" w:rsidRDefault="00A2071D" w:rsidP="00A2071D">
            <w:pPr>
              <w:autoSpaceDE w:val="0"/>
              <w:autoSpaceDN w:val="0"/>
              <w:adjustRightInd w:val="0"/>
              <w:contextualSpacing/>
              <w:jc w:val="center"/>
            </w:pPr>
            <w:r w:rsidRPr="00CA168C">
              <w:t>0.50***</w:t>
            </w:r>
          </w:p>
        </w:tc>
        <w:tc>
          <w:tcPr>
            <w:tcW w:w="1250" w:type="dxa"/>
            <w:tcBorders>
              <w:top w:val="nil"/>
              <w:left w:val="nil"/>
              <w:bottom w:val="nil"/>
              <w:right w:val="nil"/>
            </w:tcBorders>
          </w:tcPr>
          <w:p w14:paraId="74AD0821" w14:textId="77777777" w:rsidR="00A2071D" w:rsidRPr="00CA168C" w:rsidRDefault="00A2071D" w:rsidP="00A2071D">
            <w:pPr>
              <w:autoSpaceDE w:val="0"/>
              <w:autoSpaceDN w:val="0"/>
              <w:adjustRightInd w:val="0"/>
              <w:contextualSpacing/>
              <w:jc w:val="center"/>
            </w:pPr>
            <w:r w:rsidRPr="00CA168C">
              <w:t>0.03**</w:t>
            </w:r>
          </w:p>
        </w:tc>
      </w:tr>
      <w:tr w:rsidR="00A2071D" w:rsidRPr="0020220E" w14:paraId="796D2E01" w14:textId="77777777" w:rsidTr="0087348F">
        <w:trPr>
          <w:jc w:val="center"/>
        </w:trPr>
        <w:tc>
          <w:tcPr>
            <w:tcW w:w="1349" w:type="dxa"/>
            <w:tcBorders>
              <w:top w:val="nil"/>
              <w:left w:val="nil"/>
              <w:bottom w:val="nil"/>
              <w:right w:val="nil"/>
            </w:tcBorders>
          </w:tcPr>
          <w:p w14:paraId="68ED0DB9" w14:textId="77777777" w:rsidR="00A2071D" w:rsidRPr="00CA168C" w:rsidRDefault="00A2071D" w:rsidP="00A2071D">
            <w:pPr>
              <w:autoSpaceDE w:val="0"/>
              <w:autoSpaceDN w:val="0"/>
              <w:adjustRightInd w:val="0"/>
              <w:contextualSpacing/>
            </w:pPr>
          </w:p>
        </w:tc>
        <w:tc>
          <w:tcPr>
            <w:tcW w:w="1576" w:type="dxa"/>
            <w:tcBorders>
              <w:top w:val="nil"/>
              <w:left w:val="nil"/>
              <w:bottom w:val="nil"/>
              <w:right w:val="nil"/>
            </w:tcBorders>
          </w:tcPr>
          <w:p w14:paraId="69346CA3" w14:textId="77777777" w:rsidR="00A2071D" w:rsidRPr="00CA168C" w:rsidRDefault="00A2071D" w:rsidP="00A2071D">
            <w:pPr>
              <w:autoSpaceDE w:val="0"/>
              <w:autoSpaceDN w:val="0"/>
              <w:adjustRightInd w:val="0"/>
              <w:contextualSpacing/>
              <w:jc w:val="center"/>
            </w:pPr>
            <w:r w:rsidRPr="00CA168C">
              <w:t>(0.05)</w:t>
            </w:r>
          </w:p>
        </w:tc>
        <w:tc>
          <w:tcPr>
            <w:tcW w:w="1672" w:type="dxa"/>
            <w:tcBorders>
              <w:top w:val="nil"/>
              <w:left w:val="nil"/>
              <w:bottom w:val="nil"/>
              <w:right w:val="nil"/>
            </w:tcBorders>
          </w:tcPr>
          <w:p w14:paraId="1B38A1C7" w14:textId="77777777" w:rsidR="00A2071D" w:rsidRPr="00CA168C" w:rsidRDefault="00A2071D" w:rsidP="00A2071D">
            <w:pPr>
              <w:autoSpaceDE w:val="0"/>
              <w:autoSpaceDN w:val="0"/>
              <w:adjustRightInd w:val="0"/>
              <w:contextualSpacing/>
              <w:jc w:val="center"/>
            </w:pPr>
            <w:r w:rsidRPr="00CA168C">
              <w:t>(0.02)</w:t>
            </w:r>
          </w:p>
        </w:tc>
        <w:tc>
          <w:tcPr>
            <w:tcW w:w="1082" w:type="dxa"/>
            <w:tcBorders>
              <w:top w:val="nil"/>
              <w:left w:val="nil"/>
              <w:bottom w:val="nil"/>
              <w:right w:val="nil"/>
            </w:tcBorders>
          </w:tcPr>
          <w:p w14:paraId="66A30CBB" w14:textId="77777777" w:rsidR="00A2071D" w:rsidRPr="00CA168C" w:rsidRDefault="00A2071D" w:rsidP="00A2071D">
            <w:pPr>
              <w:autoSpaceDE w:val="0"/>
              <w:autoSpaceDN w:val="0"/>
              <w:adjustRightInd w:val="0"/>
              <w:contextualSpacing/>
              <w:jc w:val="center"/>
            </w:pPr>
            <w:r w:rsidRPr="00CA168C">
              <w:t>(0.17)</w:t>
            </w:r>
          </w:p>
        </w:tc>
        <w:tc>
          <w:tcPr>
            <w:tcW w:w="1250" w:type="dxa"/>
            <w:tcBorders>
              <w:top w:val="nil"/>
              <w:left w:val="nil"/>
              <w:bottom w:val="nil"/>
              <w:right w:val="nil"/>
            </w:tcBorders>
          </w:tcPr>
          <w:p w14:paraId="182C600A" w14:textId="77777777" w:rsidR="00A2071D" w:rsidRPr="00CA168C" w:rsidRDefault="00A2071D" w:rsidP="00A2071D">
            <w:pPr>
              <w:autoSpaceDE w:val="0"/>
              <w:autoSpaceDN w:val="0"/>
              <w:adjustRightInd w:val="0"/>
              <w:contextualSpacing/>
              <w:jc w:val="center"/>
            </w:pPr>
            <w:r w:rsidRPr="00CA168C">
              <w:t>(0.01)</w:t>
            </w:r>
          </w:p>
        </w:tc>
      </w:tr>
      <w:tr w:rsidR="00A2071D" w:rsidRPr="0020220E" w14:paraId="08934515" w14:textId="77777777" w:rsidTr="0087348F">
        <w:trPr>
          <w:jc w:val="center"/>
        </w:trPr>
        <w:tc>
          <w:tcPr>
            <w:tcW w:w="1349" w:type="dxa"/>
            <w:tcBorders>
              <w:top w:val="nil"/>
              <w:left w:val="nil"/>
              <w:bottom w:val="nil"/>
              <w:right w:val="nil"/>
            </w:tcBorders>
          </w:tcPr>
          <w:p w14:paraId="6C8ADC6A" w14:textId="77777777" w:rsidR="00A2071D" w:rsidRPr="00CA168C" w:rsidRDefault="00A2071D" w:rsidP="00A2071D">
            <w:pPr>
              <w:autoSpaceDE w:val="0"/>
              <w:autoSpaceDN w:val="0"/>
              <w:adjustRightInd w:val="0"/>
              <w:contextualSpacing/>
            </w:pPr>
            <w:r w:rsidRPr="00CA168C">
              <w:t>Constant</w:t>
            </w:r>
          </w:p>
        </w:tc>
        <w:tc>
          <w:tcPr>
            <w:tcW w:w="1576" w:type="dxa"/>
            <w:tcBorders>
              <w:top w:val="nil"/>
              <w:left w:val="nil"/>
              <w:bottom w:val="nil"/>
              <w:right w:val="nil"/>
            </w:tcBorders>
          </w:tcPr>
          <w:p w14:paraId="2636B8AF" w14:textId="77777777" w:rsidR="00A2071D" w:rsidRPr="00CA168C" w:rsidRDefault="00A2071D" w:rsidP="00A2071D">
            <w:pPr>
              <w:autoSpaceDE w:val="0"/>
              <w:autoSpaceDN w:val="0"/>
              <w:adjustRightInd w:val="0"/>
              <w:contextualSpacing/>
              <w:jc w:val="center"/>
            </w:pPr>
            <w:r w:rsidRPr="00CA168C">
              <w:t>-0.00**</w:t>
            </w:r>
          </w:p>
        </w:tc>
        <w:tc>
          <w:tcPr>
            <w:tcW w:w="1672" w:type="dxa"/>
            <w:tcBorders>
              <w:top w:val="nil"/>
              <w:left w:val="nil"/>
              <w:bottom w:val="nil"/>
              <w:right w:val="nil"/>
            </w:tcBorders>
          </w:tcPr>
          <w:p w14:paraId="1C57D3E3" w14:textId="77777777" w:rsidR="00A2071D" w:rsidRPr="00CA168C" w:rsidRDefault="00A2071D" w:rsidP="00A2071D">
            <w:pPr>
              <w:autoSpaceDE w:val="0"/>
              <w:autoSpaceDN w:val="0"/>
              <w:adjustRightInd w:val="0"/>
              <w:contextualSpacing/>
              <w:jc w:val="center"/>
            </w:pPr>
            <w:r w:rsidRPr="00CA168C">
              <w:t>0.00</w:t>
            </w:r>
          </w:p>
        </w:tc>
        <w:tc>
          <w:tcPr>
            <w:tcW w:w="1082" w:type="dxa"/>
            <w:tcBorders>
              <w:top w:val="nil"/>
              <w:left w:val="nil"/>
              <w:bottom w:val="nil"/>
              <w:right w:val="nil"/>
            </w:tcBorders>
          </w:tcPr>
          <w:p w14:paraId="70687BC9" w14:textId="77777777" w:rsidR="00A2071D" w:rsidRPr="00CA168C" w:rsidRDefault="00A2071D" w:rsidP="00A2071D">
            <w:pPr>
              <w:autoSpaceDE w:val="0"/>
              <w:autoSpaceDN w:val="0"/>
              <w:adjustRightInd w:val="0"/>
              <w:contextualSpacing/>
              <w:jc w:val="center"/>
            </w:pPr>
            <w:r w:rsidRPr="00CA168C">
              <w:t>-0.01</w:t>
            </w:r>
          </w:p>
        </w:tc>
        <w:tc>
          <w:tcPr>
            <w:tcW w:w="1250" w:type="dxa"/>
            <w:tcBorders>
              <w:top w:val="nil"/>
              <w:left w:val="nil"/>
              <w:bottom w:val="nil"/>
              <w:right w:val="nil"/>
            </w:tcBorders>
          </w:tcPr>
          <w:p w14:paraId="7361C36E" w14:textId="77777777" w:rsidR="00A2071D" w:rsidRPr="00CA168C" w:rsidRDefault="00A2071D" w:rsidP="00A2071D">
            <w:pPr>
              <w:autoSpaceDE w:val="0"/>
              <w:autoSpaceDN w:val="0"/>
              <w:adjustRightInd w:val="0"/>
              <w:contextualSpacing/>
              <w:jc w:val="center"/>
            </w:pPr>
            <w:r w:rsidRPr="00CA168C">
              <w:t>-0.00</w:t>
            </w:r>
          </w:p>
        </w:tc>
      </w:tr>
      <w:tr w:rsidR="00A2071D" w:rsidRPr="0020220E" w14:paraId="47C36D4A" w14:textId="77777777" w:rsidTr="00A2071D">
        <w:trPr>
          <w:trHeight w:val="342"/>
          <w:jc w:val="center"/>
        </w:trPr>
        <w:tc>
          <w:tcPr>
            <w:tcW w:w="1349" w:type="dxa"/>
            <w:tcBorders>
              <w:top w:val="nil"/>
              <w:left w:val="nil"/>
              <w:bottom w:val="nil"/>
              <w:right w:val="nil"/>
            </w:tcBorders>
          </w:tcPr>
          <w:p w14:paraId="14CDDC52" w14:textId="77777777" w:rsidR="00A2071D" w:rsidRPr="00CA168C" w:rsidRDefault="00A2071D" w:rsidP="00A2071D">
            <w:pPr>
              <w:autoSpaceDE w:val="0"/>
              <w:autoSpaceDN w:val="0"/>
              <w:adjustRightInd w:val="0"/>
              <w:contextualSpacing/>
            </w:pPr>
          </w:p>
        </w:tc>
        <w:tc>
          <w:tcPr>
            <w:tcW w:w="1576" w:type="dxa"/>
            <w:tcBorders>
              <w:top w:val="nil"/>
              <w:left w:val="nil"/>
              <w:bottom w:val="nil"/>
              <w:right w:val="nil"/>
            </w:tcBorders>
          </w:tcPr>
          <w:p w14:paraId="3889F747" w14:textId="77777777" w:rsidR="00A2071D" w:rsidRPr="00CA168C" w:rsidRDefault="00A2071D" w:rsidP="00A2071D">
            <w:pPr>
              <w:autoSpaceDE w:val="0"/>
              <w:autoSpaceDN w:val="0"/>
              <w:adjustRightInd w:val="0"/>
              <w:contextualSpacing/>
              <w:jc w:val="center"/>
            </w:pPr>
            <w:r w:rsidRPr="00CA168C">
              <w:t>(0.00)</w:t>
            </w:r>
          </w:p>
        </w:tc>
        <w:tc>
          <w:tcPr>
            <w:tcW w:w="1672" w:type="dxa"/>
            <w:tcBorders>
              <w:top w:val="nil"/>
              <w:left w:val="nil"/>
              <w:bottom w:val="nil"/>
              <w:right w:val="nil"/>
            </w:tcBorders>
          </w:tcPr>
          <w:p w14:paraId="1FE02F31" w14:textId="77777777" w:rsidR="00A2071D" w:rsidRPr="00CA168C" w:rsidRDefault="00A2071D" w:rsidP="00A2071D">
            <w:pPr>
              <w:autoSpaceDE w:val="0"/>
              <w:autoSpaceDN w:val="0"/>
              <w:adjustRightInd w:val="0"/>
              <w:contextualSpacing/>
              <w:jc w:val="center"/>
            </w:pPr>
            <w:r w:rsidRPr="00CA168C">
              <w:t>(0.00)</w:t>
            </w:r>
          </w:p>
        </w:tc>
        <w:tc>
          <w:tcPr>
            <w:tcW w:w="1082" w:type="dxa"/>
            <w:tcBorders>
              <w:top w:val="nil"/>
              <w:left w:val="nil"/>
              <w:bottom w:val="nil"/>
              <w:right w:val="nil"/>
            </w:tcBorders>
          </w:tcPr>
          <w:p w14:paraId="767F40D1" w14:textId="77777777" w:rsidR="00A2071D" w:rsidRPr="00CA168C" w:rsidRDefault="00A2071D" w:rsidP="00A2071D">
            <w:pPr>
              <w:autoSpaceDE w:val="0"/>
              <w:autoSpaceDN w:val="0"/>
              <w:adjustRightInd w:val="0"/>
              <w:contextualSpacing/>
              <w:jc w:val="center"/>
            </w:pPr>
            <w:r w:rsidRPr="00CA168C">
              <w:t>(0.00)</w:t>
            </w:r>
          </w:p>
        </w:tc>
        <w:tc>
          <w:tcPr>
            <w:tcW w:w="1250" w:type="dxa"/>
            <w:tcBorders>
              <w:top w:val="nil"/>
              <w:left w:val="nil"/>
              <w:bottom w:val="nil"/>
              <w:right w:val="nil"/>
            </w:tcBorders>
          </w:tcPr>
          <w:p w14:paraId="0AE67FD9" w14:textId="77777777" w:rsidR="00A2071D" w:rsidRPr="00CA168C" w:rsidRDefault="00A2071D" w:rsidP="00A2071D">
            <w:pPr>
              <w:autoSpaceDE w:val="0"/>
              <w:autoSpaceDN w:val="0"/>
              <w:adjustRightInd w:val="0"/>
              <w:contextualSpacing/>
              <w:jc w:val="center"/>
            </w:pPr>
            <w:r w:rsidRPr="00CA168C">
              <w:t>(0.00)</w:t>
            </w:r>
          </w:p>
        </w:tc>
      </w:tr>
      <w:tr w:rsidR="00A2071D" w:rsidRPr="0020220E" w14:paraId="2F964808" w14:textId="77777777" w:rsidTr="0087348F">
        <w:trPr>
          <w:jc w:val="center"/>
        </w:trPr>
        <w:tc>
          <w:tcPr>
            <w:tcW w:w="1349" w:type="dxa"/>
            <w:tcBorders>
              <w:top w:val="nil"/>
              <w:left w:val="nil"/>
              <w:bottom w:val="nil"/>
              <w:right w:val="nil"/>
            </w:tcBorders>
          </w:tcPr>
          <w:p w14:paraId="2F449856" w14:textId="77777777" w:rsidR="00A2071D" w:rsidRPr="00CA168C" w:rsidRDefault="00A2071D" w:rsidP="00A2071D">
            <w:pPr>
              <w:autoSpaceDE w:val="0"/>
              <w:autoSpaceDN w:val="0"/>
              <w:adjustRightInd w:val="0"/>
              <w:contextualSpacing/>
            </w:pPr>
            <w:r w:rsidRPr="00CA168C">
              <w:t>Observations</w:t>
            </w:r>
          </w:p>
        </w:tc>
        <w:tc>
          <w:tcPr>
            <w:tcW w:w="1576" w:type="dxa"/>
            <w:tcBorders>
              <w:top w:val="nil"/>
              <w:left w:val="nil"/>
              <w:bottom w:val="nil"/>
              <w:right w:val="nil"/>
            </w:tcBorders>
          </w:tcPr>
          <w:p w14:paraId="7594D6A8" w14:textId="77777777" w:rsidR="00A2071D" w:rsidRPr="00CA168C" w:rsidRDefault="00A2071D" w:rsidP="00A2071D">
            <w:pPr>
              <w:autoSpaceDE w:val="0"/>
              <w:autoSpaceDN w:val="0"/>
              <w:adjustRightInd w:val="0"/>
              <w:contextualSpacing/>
              <w:jc w:val="center"/>
            </w:pPr>
            <w:r w:rsidRPr="00CA168C">
              <w:t>129</w:t>
            </w:r>
          </w:p>
        </w:tc>
        <w:tc>
          <w:tcPr>
            <w:tcW w:w="1672" w:type="dxa"/>
            <w:tcBorders>
              <w:top w:val="nil"/>
              <w:left w:val="nil"/>
              <w:bottom w:val="nil"/>
              <w:right w:val="nil"/>
            </w:tcBorders>
          </w:tcPr>
          <w:p w14:paraId="69FBECCE" w14:textId="77777777" w:rsidR="00A2071D" w:rsidRPr="00CA168C" w:rsidRDefault="00A2071D" w:rsidP="00A2071D">
            <w:pPr>
              <w:autoSpaceDE w:val="0"/>
              <w:autoSpaceDN w:val="0"/>
              <w:adjustRightInd w:val="0"/>
              <w:contextualSpacing/>
              <w:jc w:val="center"/>
            </w:pPr>
            <w:r w:rsidRPr="00CA168C">
              <w:t>257</w:t>
            </w:r>
          </w:p>
        </w:tc>
        <w:tc>
          <w:tcPr>
            <w:tcW w:w="1082" w:type="dxa"/>
            <w:tcBorders>
              <w:top w:val="nil"/>
              <w:left w:val="nil"/>
              <w:bottom w:val="nil"/>
              <w:right w:val="nil"/>
            </w:tcBorders>
          </w:tcPr>
          <w:p w14:paraId="00B88BC2" w14:textId="77777777" w:rsidR="00A2071D" w:rsidRPr="00CA168C" w:rsidRDefault="00A2071D" w:rsidP="00A2071D">
            <w:pPr>
              <w:autoSpaceDE w:val="0"/>
              <w:autoSpaceDN w:val="0"/>
              <w:adjustRightInd w:val="0"/>
              <w:contextualSpacing/>
              <w:jc w:val="center"/>
            </w:pPr>
            <w:r w:rsidRPr="00CA168C">
              <w:t>27</w:t>
            </w:r>
          </w:p>
        </w:tc>
        <w:tc>
          <w:tcPr>
            <w:tcW w:w="1250" w:type="dxa"/>
            <w:tcBorders>
              <w:top w:val="nil"/>
              <w:left w:val="nil"/>
              <w:bottom w:val="nil"/>
              <w:right w:val="nil"/>
            </w:tcBorders>
          </w:tcPr>
          <w:p w14:paraId="42D63AB0" w14:textId="77777777" w:rsidR="00A2071D" w:rsidRPr="00CA168C" w:rsidRDefault="00A2071D" w:rsidP="00A2071D">
            <w:pPr>
              <w:autoSpaceDE w:val="0"/>
              <w:autoSpaceDN w:val="0"/>
              <w:adjustRightInd w:val="0"/>
              <w:contextualSpacing/>
              <w:jc w:val="center"/>
            </w:pPr>
            <w:r w:rsidRPr="00CA168C">
              <w:t>108</w:t>
            </w:r>
          </w:p>
        </w:tc>
      </w:tr>
      <w:tr w:rsidR="00A2071D" w:rsidRPr="0020220E" w14:paraId="1C8593A5" w14:textId="77777777" w:rsidTr="0087348F">
        <w:trPr>
          <w:jc w:val="center"/>
        </w:trPr>
        <w:tc>
          <w:tcPr>
            <w:tcW w:w="1349" w:type="dxa"/>
            <w:tcBorders>
              <w:top w:val="nil"/>
              <w:left w:val="nil"/>
              <w:bottom w:val="nil"/>
              <w:right w:val="nil"/>
            </w:tcBorders>
          </w:tcPr>
          <w:p w14:paraId="335634E5" w14:textId="77777777" w:rsidR="00A2071D" w:rsidRPr="00CA168C" w:rsidRDefault="00A2071D" w:rsidP="00A2071D">
            <w:pPr>
              <w:autoSpaceDE w:val="0"/>
              <w:autoSpaceDN w:val="0"/>
              <w:adjustRightInd w:val="0"/>
              <w:contextualSpacing/>
            </w:pPr>
            <w:r w:rsidRPr="00CA168C">
              <w:t>R-squared</w:t>
            </w:r>
          </w:p>
        </w:tc>
        <w:tc>
          <w:tcPr>
            <w:tcW w:w="1576" w:type="dxa"/>
            <w:tcBorders>
              <w:top w:val="nil"/>
              <w:left w:val="nil"/>
              <w:bottom w:val="nil"/>
              <w:right w:val="nil"/>
            </w:tcBorders>
          </w:tcPr>
          <w:p w14:paraId="0D3814CE" w14:textId="77777777" w:rsidR="00A2071D" w:rsidRPr="00CA168C" w:rsidRDefault="00A2071D" w:rsidP="00A2071D">
            <w:pPr>
              <w:autoSpaceDE w:val="0"/>
              <w:autoSpaceDN w:val="0"/>
              <w:adjustRightInd w:val="0"/>
              <w:contextualSpacing/>
              <w:jc w:val="center"/>
            </w:pPr>
            <w:r w:rsidRPr="00CA168C">
              <w:t>0.66</w:t>
            </w:r>
          </w:p>
        </w:tc>
        <w:tc>
          <w:tcPr>
            <w:tcW w:w="1672" w:type="dxa"/>
            <w:tcBorders>
              <w:top w:val="nil"/>
              <w:left w:val="nil"/>
              <w:bottom w:val="nil"/>
              <w:right w:val="nil"/>
            </w:tcBorders>
          </w:tcPr>
          <w:p w14:paraId="3B82CD9F" w14:textId="77777777" w:rsidR="00A2071D" w:rsidRPr="00CA168C" w:rsidRDefault="00A2071D" w:rsidP="00A2071D">
            <w:pPr>
              <w:autoSpaceDE w:val="0"/>
              <w:autoSpaceDN w:val="0"/>
              <w:adjustRightInd w:val="0"/>
              <w:contextualSpacing/>
              <w:jc w:val="center"/>
            </w:pPr>
            <w:r w:rsidRPr="00CA168C">
              <w:t>0.76</w:t>
            </w:r>
          </w:p>
        </w:tc>
        <w:tc>
          <w:tcPr>
            <w:tcW w:w="1082" w:type="dxa"/>
            <w:tcBorders>
              <w:top w:val="nil"/>
              <w:left w:val="nil"/>
              <w:bottom w:val="nil"/>
              <w:right w:val="nil"/>
            </w:tcBorders>
          </w:tcPr>
          <w:p w14:paraId="24171BBD" w14:textId="77777777" w:rsidR="00A2071D" w:rsidRPr="00CA168C" w:rsidRDefault="00A2071D" w:rsidP="00A2071D">
            <w:pPr>
              <w:autoSpaceDE w:val="0"/>
              <w:autoSpaceDN w:val="0"/>
              <w:adjustRightInd w:val="0"/>
              <w:contextualSpacing/>
              <w:jc w:val="center"/>
            </w:pPr>
            <w:r w:rsidRPr="00CA168C">
              <w:t>0.64</w:t>
            </w:r>
          </w:p>
        </w:tc>
        <w:tc>
          <w:tcPr>
            <w:tcW w:w="1250" w:type="dxa"/>
            <w:tcBorders>
              <w:top w:val="nil"/>
              <w:left w:val="nil"/>
              <w:bottom w:val="nil"/>
              <w:right w:val="nil"/>
            </w:tcBorders>
          </w:tcPr>
          <w:p w14:paraId="258FE65F" w14:textId="77777777" w:rsidR="00A2071D" w:rsidRPr="00CA168C" w:rsidRDefault="00A2071D" w:rsidP="00A2071D">
            <w:pPr>
              <w:autoSpaceDE w:val="0"/>
              <w:autoSpaceDN w:val="0"/>
              <w:adjustRightInd w:val="0"/>
              <w:contextualSpacing/>
              <w:jc w:val="center"/>
            </w:pPr>
            <w:r w:rsidRPr="00CA168C">
              <w:t>0.90</w:t>
            </w:r>
          </w:p>
        </w:tc>
      </w:tr>
      <w:tr w:rsidR="00A2071D" w:rsidRPr="0020220E" w14:paraId="6E17D297" w14:textId="77777777" w:rsidTr="0087348F">
        <w:tblPrEx>
          <w:tblBorders>
            <w:bottom w:val="single" w:sz="6" w:space="0" w:color="auto"/>
          </w:tblBorders>
        </w:tblPrEx>
        <w:trPr>
          <w:jc w:val="center"/>
        </w:trPr>
        <w:tc>
          <w:tcPr>
            <w:tcW w:w="1349" w:type="dxa"/>
            <w:tcBorders>
              <w:top w:val="nil"/>
              <w:left w:val="nil"/>
              <w:bottom w:val="single" w:sz="6" w:space="0" w:color="auto"/>
              <w:right w:val="nil"/>
            </w:tcBorders>
          </w:tcPr>
          <w:p w14:paraId="4B7DDF35" w14:textId="77777777" w:rsidR="00A2071D" w:rsidRPr="00CA168C" w:rsidRDefault="00A2071D" w:rsidP="00A2071D">
            <w:pPr>
              <w:autoSpaceDE w:val="0"/>
              <w:autoSpaceDN w:val="0"/>
              <w:adjustRightInd w:val="0"/>
              <w:contextualSpacing/>
            </w:pPr>
            <w:r w:rsidRPr="00CA168C">
              <w:t>Br. Pound</w:t>
            </w:r>
          </w:p>
        </w:tc>
        <w:tc>
          <w:tcPr>
            <w:tcW w:w="1576" w:type="dxa"/>
            <w:tcBorders>
              <w:top w:val="nil"/>
              <w:left w:val="nil"/>
              <w:bottom w:val="single" w:sz="6" w:space="0" w:color="auto"/>
              <w:right w:val="nil"/>
            </w:tcBorders>
          </w:tcPr>
          <w:p w14:paraId="36E8CBEC" w14:textId="77777777" w:rsidR="00A2071D" w:rsidRPr="00CA168C" w:rsidRDefault="00A2071D" w:rsidP="00A2071D">
            <w:pPr>
              <w:autoSpaceDE w:val="0"/>
              <w:autoSpaceDN w:val="0"/>
              <w:adjustRightInd w:val="0"/>
              <w:contextualSpacing/>
              <w:jc w:val="center"/>
            </w:pPr>
            <w:r w:rsidRPr="00CA168C">
              <w:t>-0.02</w:t>
            </w:r>
          </w:p>
        </w:tc>
        <w:tc>
          <w:tcPr>
            <w:tcW w:w="1672" w:type="dxa"/>
            <w:tcBorders>
              <w:top w:val="nil"/>
              <w:left w:val="nil"/>
              <w:bottom w:val="single" w:sz="6" w:space="0" w:color="auto"/>
              <w:right w:val="nil"/>
            </w:tcBorders>
          </w:tcPr>
          <w:p w14:paraId="1BE3E425" w14:textId="77777777" w:rsidR="00A2071D" w:rsidRPr="00CA168C" w:rsidRDefault="00A2071D" w:rsidP="00A2071D">
            <w:pPr>
              <w:autoSpaceDE w:val="0"/>
              <w:autoSpaceDN w:val="0"/>
              <w:adjustRightInd w:val="0"/>
              <w:contextualSpacing/>
              <w:jc w:val="center"/>
            </w:pPr>
            <w:r w:rsidRPr="00CA168C">
              <w:t>-0.04</w:t>
            </w:r>
          </w:p>
        </w:tc>
        <w:tc>
          <w:tcPr>
            <w:tcW w:w="1082" w:type="dxa"/>
            <w:tcBorders>
              <w:top w:val="nil"/>
              <w:left w:val="nil"/>
              <w:bottom w:val="single" w:sz="6" w:space="0" w:color="auto"/>
              <w:right w:val="nil"/>
            </w:tcBorders>
          </w:tcPr>
          <w:p w14:paraId="10B416E4" w14:textId="77777777" w:rsidR="00A2071D" w:rsidRPr="00CA168C" w:rsidRDefault="00A2071D" w:rsidP="00A2071D">
            <w:pPr>
              <w:autoSpaceDE w:val="0"/>
              <w:autoSpaceDN w:val="0"/>
              <w:adjustRightInd w:val="0"/>
              <w:contextualSpacing/>
              <w:jc w:val="center"/>
            </w:pPr>
            <w:r w:rsidRPr="00CA168C">
              <w:t>0.12</w:t>
            </w:r>
          </w:p>
        </w:tc>
        <w:tc>
          <w:tcPr>
            <w:tcW w:w="1250" w:type="dxa"/>
            <w:tcBorders>
              <w:top w:val="nil"/>
              <w:left w:val="nil"/>
              <w:bottom w:val="single" w:sz="6" w:space="0" w:color="auto"/>
              <w:right w:val="nil"/>
            </w:tcBorders>
          </w:tcPr>
          <w:p w14:paraId="67DEEC30" w14:textId="77777777" w:rsidR="00A2071D" w:rsidRPr="00CA168C" w:rsidRDefault="00A2071D" w:rsidP="00A2071D">
            <w:pPr>
              <w:autoSpaceDE w:val="0"/>
              <w:autoSpaceDN w:val="0"/>
              <w:adjustRightInd w:val="0"/>
              <w:contextualSpacing/>
              <w:jc w:val="center"/>
            </w:pPr>
            <w:r w:rsidRPr="00CA168C">
              <w:t>0.07</w:t>
            </w:r>
          </w:p>
        </w:tc>
      </w:tr>
    </w:tbl>
    <w:p w14:paraId="22F6CCF0" w14:textId="77777777" w:rsidR="00A2071D" w:rsidRPr="00CA5017" w:rsidRDefault="00A2071D" w:rsidP="008551E5">
      <w:pPr>
        <w:spacing w:after="120" w:line="240" w:lineRule="auto"/>
        <w:rPr>
          <w:sz w:val="20"/>
        </w:rPr>
      </w:pPr>
    </w:p>
    <w:p w14:paraId="7120E42F" w14:textId="77777777" w:rsidR="00A2071D" w:rsidRPr="00D51A7E" w:rsidRDefault="00EF4739" w:rsidP="00D51A7E">
      <w:pPr>
        <w:autoSpaceDE w:val="0"/>
        <w:autoSpaceDN w:val="0"/>
        <w:adjustRightInd w:val="0"/>
        <w:spacing w:after="120" w:line="240" w:lineRule="auto"/>
        <w:jc w:val="center"/>
        <w:rPr>
          <w:b/>
        </w:rPr>
      </w:pPr>
      <w:r>
        <w:rPr>
          <w:b/>
        </w:rPr>
        <w:t xml:space="preserve">Table </w:t>
      </w:r>
      <w:r w:rsidR="00FE3B45">
        <w:rPr>
          <w:b/>
        </w:rPr>
        <w:t>3</w:t>
      </w:r>
      <w:r w:rsidR="00A2071D" w:rsidRPr="00CA168C">
        <w:rPr>
          <w:b/>
        </w:rPr>
        <w:t>. Identifying Break Points in India</w:t>
      </w:r>
      <w:r w:rsidR="00D51A7E">
        <w:rPr>
          <w:b/>
        </w:rPr>
        <w:t>'s Exchange Rate Regime (</w:t>
      </w:r>
      <w:r w:rsidR="00D51A7E" w:rsidRPr="00CA5017">
        <w:t>M1:2000-M5:2009</w:t>
      </w:r>
      <w:r w:rsidR="00D51A7E">
        <w:t>)</w:t>
      </w:r>
    </w:p>
    <w:tbl>
      <w:tblPr>
        <w:tblW w:w="9102" w:type="dxa"/>
        <w:jc w:val="center"/>
        <w:tblLayout w:type="fixed"/>
        <w:tblCellMar>
          <w:left w:w="75" w:type="dxa"/>
          <w:right w:w="75" w:type="dxa"/>
        </w:tblCellMar>
        <w:tblLook w:val="0000" w:firstRow="0" w:lastRow="0" w:firstColumn="0" w:lastColumn="0" w:noHBand="0" w:noVBand="0"/>
      </w:tblPr>
      <w:tblGrid>
        <w:gridCol w:w="1463"/>
        <w:gridCol w:w="1440"/>
        <w:gridCol w:w="1235"/>
        <w:gridCol w:w="1223"/>
        <w:gridCol w:w="1260"/>
        <w:gridCol w:w="1170"/>
        <w:gridCol w:w="1311"/>
      </w:tblGrid>
      <w:tr w:rsidR="00A2071D" w:rsidRPr="00B95CB4" w14:paraId="52ED8BC7" w14:textId="77777777" w:rsidTr="00F555A9">
        <w:trPr>
          <w:jc w:val="center"/>
        </w:trPr>
        <w:tc>
          <w:tcPr>
            <w:tcW w:w="1463" w:type="dxa"/>
            <w:tcBorders>
              <w:top w:val="single" w:sz="6" w:space="0" w:color="auto"/>
              <w:left w:val="nil"/>
              <w:bottom w:val="nil"/>
              <w:right w:val="nil"/>
            </w:tcBorders>
          </w:tcPr>
          <w:p w14:paraId="15DEC67A" w14:textId="77777777" w:rsidR="00A2071D" w:rsidRPr="00B95CB4" w:rsidRDefault="00A2071D" w:rsidP="00F555A9">
            <w:pPr>
              <w:autoSpaceDE w:val="0"/>
              <w:autoSpaceDN w:val="0"/>
              <w:adjustRightInd w:val="0"/>
              <w:spacing w:after="0"/>
              <w:rPr>
                <w:sz w:val="20"/>
                <w:szCs w:val="20"/>
              </w:rPr>
            </w:pPr>
          </w:p>
        </w:tc>
        <w:tc>
          <w:tcPr>
            <w:tcW w:w="1440" w:type="dxa"/>
            <w:tcBorders>
              <w:top w:val="single" w:sz="6" w:space="0" w:color="auto"/>
              <w:left w:val="nil"/>
              <w:bottom w:val="nil"/>
              <w:right w:val="nil"/>
            </w:tcBorders>
          </w:tcPr>
          <w:p w14:paraId="1E710346" w14:textId="77777777" w:rsidR="00A2071D" w:rsidRPr="00B95CB4" w:rsidRDefault="00A2071D" w:rsidP="00F555A9">
            <w:pPr>
              <w:autoSpaceDE w:val="0"/>
              <w:autoSpaceDN w:val="0"/>
              <w:adjustRightInd w:val="0"/>
              <w:spacing w:after="0"/>
              <w:jc w:val="center"/>
              <w:rPr>
                <w:sz w:val="20"/>
                <w:szCs w:val="20"/>
              </w:rPr>
            </w:pPr>
            <w:r w:rsidRPr="00B95CB4">
              <w:rPr>
                <w:sz w:val="20"/>
                <w:szCs w:val="20"/>
              </w:rPr>
              <w:t>(1)</w:t>
            </w:r>
          </w:p>
        </w:tc>
        <w:tc>
          <w:tcPr>
            <w:tcW w:w="1235" w:type="dxa"/>
            <w:tcBorders>
              <w:top w:val="single" w:sz="6" w:space="0" w:color="auto"/>
              <w:left w:val="nil"/>
              <w:bottom w:val="nil"/>
              <w:right w:val="nil"/>
            </w:tcBorders>
          </w:tcPr>
          <w:p w14:paraId="70975CCF" w14:textId="77777777" w:rsidR="00A2071D" w:rsidRPr="00B95CB4" w:rsidRDefault="00A2071D" w:rsidP="00F555A9">
            <w:pPr>
              <w:autoSpaceDE w:val="0"/>
              <w:autoSpaceDN w:val="0"/>
              <w:adjustRightInd w:val="0"/>
              <w:spacing w:after="0"/>
              <w:jc w:val="center"/>
              <w:rPr>
                <w:sz w:val="20"/>
                <w:szCs w:val="20"/>
              </w:rPr>
            </w:pPr>
            <w:r w:rsidRPr="00B95CB4">
              <w:rPr>
                <w:sz w:val="20"/>
                <w:szCs w:val="20"/>
              </w:rPr>
              <w:t>(2)</w:t>
            </w:r>
          </w:p>
        </w:tc>
        <w:tc>
          <w:tcPr>
            <w:tcW w:w="1223" w:type="dxa"/>
            <w:tcBorders>
              <w:top w:val="single" w:sz="6" w:space="0" w:color="auto"/>
              <w:left w:val="nil"/>
              <w:bottom w:val="nil"/>
              <w:right w:val="nil"/>
            </w:tcBorders>
          </w:tcPr>
          <w:p w14:paraId="79D05CDE" w14:textId="77777777" w:rsidR="00A2071D" w:rsidRPr="00B95CB4" w:rsidRDefault="00A2071D" w:rsidP="00F555A9">
            <w:pPr>
              <w:autoSpaceDE w:val="0"/>
              <w:autoSpaceDN w:val="0"/>
              <w:adjustRightInd w:val="0"/>
              <w:spacing w:after="0"/>
              <w:jc w:val="center"/>
              <w:rPr>
                <w:sz w:val="20"/>
                <w:szCs w:val="20"/>
              </w:rPr>
            </w:pPr>
            <w:r w:rsidRPr="00B95CB4">
              <w:rPr>
                <w:sz w:val="20"/>
                <w:szCs w:val="20"/>
              </w:rPr>
              <w:t>(3)</w:t>
            </w:r>
          </w:p>
        </w:tc>
        <w:tc>
          <w:tcPr>
            <w:tcW w:w="1260" w:type="dxa"/>
            <w:tcBorders>
              <w:top w:val="single" w:sz="6" w:space="0" w:color="auto"/>
              <w:left w:val="nil"/>
              <w:bottom w:val="nil"/>
              <w:right w:val="nil"/>
            </w:tcBorders>
          </w:tcPr>
          <w:p w14:paraId="4987B19A" w14:textId="77777777" w:rsidR="00A2071D" w:rsidRPr="00B95CB4" w:rsidRDefault="00A2071D" w:rsidP="00F555A9">
            <w:pPr>
              <w:autoSpaceDE w:val="0"/>
              <w:autoSpaceDN w:val="0"/>
              <w:adjustRightInd w:val="0"/>
              <w:spacing w:after="0"/>
              <w:jc w:val="center"/>
              <w:rPr>
                <w:sz w:val="20"/>
                <w:szCs w:val="20"/>
              </w:rPr>
            </w:pPr>
            <w:r w:rsidRPr="00B95CB4">
              <w:rPr>
                <w:sz w:val="20"/>
                <w:szCs w:val="20"/>
              </w:rPr>
              <w:t>(4)</w:t>
            </w:r>
          </w:p>
        </w:tc>
        <w:tc>
          <w:tcPr>
            <w:tcW w:w="1170" w:type="dxa"/>
            <w:tcBorders>
              <w:top w:val="single" w:sz="6" w:space="0" w:color="auto"/>
              <w:left w:val="nil"/>
              <w:bottom w:val="nil"/>
              <w:right w:val="nil"/>
            </w:tcBorders>
          </w:tcPr>
          <w:p w14:paraId="75B52BA5" w14:textId="77777777" w:rsidR="00A2071D" w:rsidRPr="00B95CB4" w:rsidRDefault="00A2071D" w:rsidP="00F555A9">
            <w:pPr>
              <w:autoSpaceDE w:val="0"/>
              <w:autoSpaceDN w:val="0"/>
              <w:adjustRightInd w:val="0"/>
              <w:spacing w:after="0"/>
              <w:jc w:val="center"/>
              <w:rPr>
                <w:sz w:val="20"/>
                <w:szCs w:val="20"/>
              </w:rPr>
            </w:pPr>
            <w:r w:rsidRPr="00B95CB4">
              <w:rPr>
                <w:sz w:val="20"/>
                <w:szCs w:val="20"/>
              </w:rPr>
              <w:t>(5)</w:t>
            </w:r>
          </w:p>
        </w:tc>
        <w:tc>
          <w:tcPr>
            <w:tcW w:w="1311" w:type="dxa"/>
            <w:tcBorders>
              <w:top w:val="single" w:sz="6" w:space="0" w:color="auto"/>
              <w:left w:val="nil"/>
              <w:bottom w:val="nil"/>
              <w:right w:val="nil"/>
            </w:tcBorders>
          </w:tcPr>
          <w:p w14:paraId="42585CD1" w14:textId="77777777" w:rsidR="00A2071D" w:rsidRPr="00B95CB4" w:rsidRDefault="00A2071D" w:rsidP="00F555A9">
            <w:pPr>
              <w:autoSpaceDE w:val="0"/>
              <w:autoSpaceDN w:val="0"/>
              <w:adjustRightInd w:val="0"/>
              <w:spacing w:after="0"/>
              <w:jc w:val="center"/>
              <w:rPr>
                <w:sz w:val="20"/>
                <w:szCs w:val="20"/>
              </w:rPr>
            </w:pPr>
            <w:r w:rsidRPr="00B95CB4">
              <w:rPr>
                <w:sz w:val="20"/>
                <w:szCs w:val="20"/>
              </w:rPr>
              <w:t>(6)</w:t>
            </w:r>
          </w:p>
        </w:tc>
      </w:tr>
      <w:tr w:rsidR="00A2071D" w:rsidRPr="00B95CB4" w14:paraId="2512899D" w14:textId="77777777" w:rsidTr="00F555A9">
        <w:trPr>
          <w:jc w:val="center"/>
        </w:trPr>
        <w:tc>
          <w:tcPr>
            <w:tcW w:w="1463" w:type="dxa"/>
            <w:tcBorders>
              <w:top w:val="nil"/>
              <w:left w:val="nil"/>
              <w:bottom w:val="single" w:sz="6" w:space="0" w:color="auto"/>
              <w:right w:val="nil"/>
            </w:tcBorders>
          </w:tcPr>
          <w:p w14:paraId="7E182090" w14:textId="77777777" w:rsidR="00A2071D" w:rsidRPr="00B95CB4" w:rsidRDefault="00A2071D" w:rsidP="00A2071D">
            <w:pPr>
              <w:autoSpaceDE w:val="0"/>
              <w:autoSpaceDN w:val="0"/>
              <w:adjustRightInd w:val="0"/>
              <w:contextualSpacing/>
              <w:rPr>
                <w:sz w:val="20"/>
                <w:szCs w:val="20"/>
              </w:rPr>
            </w:pPr>
            <w:r w:rsidRPr="00B95CB4">
              <w:rPr>
                <w:sz w:val="20"/>
                <w:szCs w:val="20"/>
              </w:rPr>
              <w:t>VARIABLES</w:t>
            </w:r>
          </w:p>
        </w:tc>
        <w:tc>
          <w:tcPr>
            <w:tcW w:w="1440" w:type="dxa"/>
            <w:tcBorders>
              <w:top w:val="nil"/>
              <w:left w:val="nil"/>
              <w:bottom w:val="single" w:sz="6" w:space="0" w:color="auto"/>
              <w:right w:val="nil"/>
            </w:tcBorders>
          </w:tcPr>
          <w:p w14:paraId="7EA63B41" w14:textId="77777777" w:rsidR="00A2071D" w:rsidRPr="00B95CB4" w:rsidRDefault="00A2071D" w:rsidP="00A2071D">
            <w:pPr>
              <w:autoSpaceDE w:val="0"/>
              <w:autoSpaceDN w:val="0"/>
              <w:adjustRightInd w:val="0"/>
              <w:contextualSpacing/>
              <w:jc w:val="center"/>
              <w:rPr>
                <w:sz w:val="20"/>
                <w:szCs w:val="20"/>
              </w:rPr>
            </w:pPr>
            <w:r w:rsidRPr="00B95CB4">
              <w:rPr>
                <w:sz w:val="20"/>
                <w:szCs w:val="20"/>
              </w:rPr>
              <w:t>1/14/2000-10/27/2000</w:t>
            </w:r>
          </w:p>
        </w:tc>
        <w:tc>
          <w:tcPr>
            <w:tcW w:w="1235" w:type="dxa"/>
            <w:tcBorders>
              <w:top w:val="nil"/>
              <w:left w:val="nil"/>
              <w:bottom w:val="single" w:sz="6" w:space="0" w:color="auto"/>
              <w:right w:val="nil"/>
            </w:tcBorders>
          </w:tcPr>
          <w:p w14:paraId="4A3C320F" w14:textId="77777777" w:rsidR="00A2071D" w:rsidRPr="00B95CB4" w:rsidRDefault="00A2071D" w:rsidP="00A2071D">
            <w:pPr>
              <w:autoSpaceDE w:val="0"/>
              <w:autoSpaceDN w:val="0"/>
              <w:adjustRightInd w:val="0"/>
              <w:contextualSpacing/>
              <w:jc w:val="center"/>
              <w:rPr>
                <w:sz w:val="20"/>
                <w:szCs w:val="20"/>
              </w:rPr>
            </w:pPr>
            <w:r w:rsidRPr="00B95CB4">
              <w:rPr>
                <w:sz w:val="20"/>
                <w:szCs w:val="20"/>
              </w:rPr>
              <w:t>11/3/2000-6/17/2001</w:t>
            </w:r>
          </w:p>
        </w:tc>
        <w:tc>
          <w:tcPr>
            <w:tcW w:w="1223" w:type="dxa"/>
            <w:tcBorders>
              <w:top w:val="nil"/>
              <w:left w:val="nil"/>
              <w:bottom w:val="single" w:sz="6" w:space="0" w:color="auto"/>
              <w:right w:val="nil"/>
            </w:tcBorders>
          </w:tcPr>
          <w:p w14:paraId="025956A0" w14:textId="77777777" w:rsidR="00A2071D" w:rsidRPr="00B95CB4" w:rsidRDefault="00A2071D" w:rsidP="00A2071D">
            <w:pPr>
              <w:autoSpaceDE w:val="0"/>
              <w:autoSpaceDN w:val="0"/>
              <w:adjustRightInd w:val="0"/>
              <w:contextualSpacing/>
              <w:jc w:val="center"/>
              <w:rPr>
                <w:sz w:val="20"/>
                <w:szCs w:val="20"/>
              </w:rPr>
            </w:pPr>
            <w:r w:rsidRPr="00B95CB4">
              <w:rPr>
                <w:sz w:val="20"/>
                <w:szCs w:val="20"/>
              </w:rPr>
              <w:t>6/24/2001-12/31/2001</w:t>
            </w:r>
          </w:p>
        </w:tc>
        <w:tc>
          <w:tcPr>
            <w:tcW w:w="1260" w:type="dxa"/>
            <w:tcBorders>
              <w:top w:val="nil"/>
              <w:left w:val="nil"/>
              <w:bottom w:val="single" w:sz="6" w:space="0" w:color="auto"/>
              <w:right w:val="nil"/>
            </w:tcBorders>
          </w:tcPr>
          <w:p w14:paraId="385CDE30" w14:textId="77777777" w:rsidR="00A2071D" w:rsidRPr="00B95CB4" w:rsidRDefault="00A2071D" w:rsidP="00A2071D">
            <w:pPr>
              <w:autoSpaceDE w:val="0"/>
              <w:autoSpaceDN w:val="0"/>
              <w:adjustRightInd w:val="0"/>
              <w:contextualSpacing/>
              <w:jc w:val="center"/>
              <w:rPr>
                <w:sz w:val="20"/>
                <w:szCs w:val="20"/>
              </w:rPr>
            </w:pPr>
            <w:r w:rsidRPr="00B95CB4">
              <w:rPr>
                <w:sz w:val="20"/>
                <w:szCs w:val="20"/>
              </w:rPr>
              <w:t>1/14/2002-9/23/2003</w:t>
            </w:r>
          </w:p>
        </w:tc>
        <w:tc>
          <w:tcPr>
            <w:tcW w:w="1170" w:type="dxa"/>
            <w:tcBorders>
              <w:top w:val="nil"/>
              <w:left w:val="nil"/>
              <w:bottom w:val="single" w:sz="6" w:space="0" w:color="auto"/>
              <w:right w:val="nil"/>
            </w:tcBorders>
          </w:tcPr>
          <w:p w14:paraId="5DC4BBC4" w14:textId="77777777" w:rsidR="00A2071D" w:rsidRPr="00B95CB4" w:rsidRDefault="00A2071D" w:rsidP="00A2071D">
            <w:pPr>
              <w:autoSpaceDE w:val="0"/>
              <w:autoSpaceDN w:val="0"/>
              <w:adjustRightInd w:val="0"/>
              <w:contextualSpacing/>
              <w:jc w:val="center"/>
              <w:rPr>
                <w:sz w:val="20"/>
                <w:szCs w:val="20"/>
              </w:rPr>
            </w:pPr>
            <w:r w:rsidRPr="00B95CB4">
              <w:rPr>
                <w:sz w:val="20"/>
                <w:szCs w:val="20"/>
              </w:rPr>
              <w:t>9/30/2003-2/25/2007</w:t>
            </w:r>
          </w:p>
        </w:tc>
        <w:tc>
          <w:tcPr>
            <w:tcW w:w="1311" w:type="dxa"/>
            <w:tcBorders>
              <w:top w:val="nil"/>
              <w:left w:val="nil"/>
              <w:bottom w:val="single" w:sz="6" w:space="0" w:color="auto"/>
              <w:right w:val="nil"/>
            </w:tcBorders>
          </w:tcPr>
          <w:p w14:paraId="5F64475C" w14:textId="77777777" w:rsidR="00A2071D" w:rsidRPr="00B95CB4" w:rsidRDefault="00A2071D" w:rsidP="00A2071D">
            <w:pPr>
              <w:autoSpaceDE w:val="0"/>
              <w:autoSpaceDN w:val="0"/>
              <w:adjustRightInd w:val="0"/>
              <w:contextualSpacing/>
              <w:jc w:val="center"/>
              <w:rPr>
                <w:sz w:val="20"/>
                <w:szCs w:val="20"/>
              </w:rPr>
            </w:pPr>
            <w:r w:rsidRPr="00B95CB4">
              <w:rPr>
                <w:sz w:val="20"/>
                <w:szCs w:val="20"/>
              </w:rPr>
              <w:t>3/4/2007-5/6/2009</w:t>
            </w:r>
          </w:p>
        </w:tc>
      </w:tr>
      <w:tr w:rsidR="00A2071D" w:rsidRPr="00B95CB4" w14:paraId="68AFB2CF" w14:textId="77777777" w:rsidTr="00F555A9">
        <w:trPr>
          <w:jc w:val="center"/>
        </w:trPr>
        <w:tc>
          <w:tcPr>
            <w:tcW w:w="1463" w:type="dxa"/>
            <w:tcBorders>
              <w:top w:val="nil"/>
              <w:left w:val="nil"/>
              <w:bottom w:val="nil"/>
              <w:right w:val="nil"/>
            </w:tcBorders>
          </w:tcPr>
          <w:p w14:paraId="533602CF" w14:textId="77777777" w:rsidR="00A2071D" w:rsidRPr="00CA168C" w:rsidRDefault="00A2071D" w:rsidP="00A2071D">
            <w:pPr>
              <w:autoSpaceDE w:val="0"/>
              <w:autoSpaceDN w:val="0"/>
              <w:adjustRightInd w:val="0"/>
              <w:contextualSpacing/>
            </w:pPr>
            <w:r w:rsidRPr="00CA168C">
              <w:t>US dollar</w:t>
            </w:r>
          </w:p>
        </w:tc>
        <w:tc>
          <w:tcPr>
            <w:tcW w:w="1440" w:type="dxa"/>
            <w:tcBorders>
              <w:top w:val="nil"/>
              <w:left w:val="nil"/>
              <w:bottom w:val="nil"/>
              <w:right w:val="nil"/>
            </w:tcBorders>
          </w:tcPr>
          <w:p w14:paraId="5A169092" w14:textId="77777777" w:rsidR="00A2071D" w:rsidRPr="00CA168C" w:rsidRDefault="00A2071D" w:rsidP="00A2071D">
            <w:pPr>
              <w:autoSpaceDE w:val="0"/>
              <w:autoSpaceDN w:val="0"/>
              <w:adjustRightInd w:val="0"/>
              <w:contextualSpacing/>
              <w:jc w:val="center"/>
            </w:pPr>
            <w:r w:rsidRPr="00CA168C">
              <w:t>0.77***</w:t>
            </w:r>
          </w:p>
        </w:tc>
        <w:tc>
          <w:tcPr>
            <w:tcW w:w="1235" w:type="dxa"/>
            <w:tcBorders>
              <w:top w:val="nil"/>
              <w:left w:val="nil"/>
              <w:bottom w:val="nil"/>
              <w:right w:val="nil"/>
            </w:tcBorders>
          </w:tcPr>
          <w:p w14:paraId="2EB514EB" w14:textId="77777777" w:rsidR="00A2071D" w:rsidRPr="00CA168C" w:rsidRDefault="00A2071D" w:rsidP="00A2071D">
            <w:pPr>
              <w:autoSpaceDE w:val="0"/>
              <w:autoSpaceDN w:val="0"/>
              <w:adjustRightInd w:val="0"/>
              <w:contextualSpacing/>
              <w:jc w:val="center"/>
            </w:pPr>
            <w:r w:rsidRPr="00CA168C">
              <w:t>0.92***</w:t>
            </w:r>
          </w:p>
        </w:tc>
        <w:tc>
          <w:tcPr>
            <w:tcW w:w="1223" w:type="dxa"/>
            <w:tcBorders>
              <w:top w:val="nil"/>
              <w:left w:val="nil"/>
              <w:bottom w:val="nil"/>
              <w:right w:val="nil"/>
            </w:tcBorders>
          </w:tcPr>
          <w:p w14:paraId="73F05A14" w14:textId="77777777" w:rsidR="00A2071D" w:rsidRPr="00CA168C" w:rsidRDefault="00A2071D" w:rsidP="00A2071D">
            <w:pPr>
              <w:autoSpaceDE w:val="0"/>
              <w:autoSpaceDN w:val="0"/>
              <w:adjustRightInd w:val="0"/>
              <w:contextualSpacing/>
              <w:jc w:val="center"/>
            </w:pPr>
            <w:r w:rsidRPr="00CA168C">
              <w:t>0.66***</w:t>
            </w:r>
          </w:p>
        </w:tc>
        <w:tc>
          <w:tcPr>
            <w:tcW w:w="1260" w:type="dxa"/>
            <w:tcBorders>
              <w:top w:val="nil"/>
              <w:left w:val="nil"/>
              <w:bottom w:val="nil"/>
              <w:right w:val="nil"/>
            </w:tcBorders>
          </w:tcPr>
          <w:p w14:paraId="66BCA1E1" w14:textId="77777777" w:rsidR="00A2071D" w:rsidRPr="00CA168C" w:rsidRDefault="00A2071D" w:rsidP="00A2071D">
            <w:pPr>
              <w:autoSpaceDE w:val="0"/>
              <w:autoSpaceDN w:val="0"/>
              <w:adjustRightInd w:val="0"/>
              <w:contextualSpacing/>
              <w:jc w:val="center"/>
            </w:pPr>
            <w:r w:rsidRPr="00CA168C">
              <w:t>0.91***</w:t>
            </w:r>
          </w:p>
        </w:tc>
        <w:tc>
          <w:tcPr>
            <w:tcW w:w="1170" w:type="dxa"/>
            <w:tcBorders>
              <w:top w:val="nil"/>
              <w:left w:val="nil"/>
              <w:bottom w:val="nil"/>
              <w:right w:val="nil"/>
            </w:tcBorders>
          </w:tcPr>
          <w:p w14:paraId="6D9B353D" w14:textId="77777777" w:rsidR="00A2071D" w:rsidRPr="00CA168C" w:rsidRDefault="00A2071D" w:rsidP="00A2071D">
            <w:pPr>
              <w:autoSpaceDE w:val="0"/>
              <w:autoSpaceDN w:val="0"/>
              <w:adjustRightInd w:val="0"/>
              <w:contextualSpacing/>
              <w:jc w:val="center"/>
            </w:pPr>
            <w:r w:rsidRPr="00CA168C">
              <w:t>0.72***</w:t>
            </w:r>
          </w:p>
        </w:tc>
        <w:tc>
          <w:tcPr>
            <w:tcW w:w="1311" w:type="dxa"/>
            <w:tcBorders>
              <w:top w:val="nil"/>
              <w:left w:val="nil"/>
              <w:bottom w:val="nil"/>
              <w:right w:val="nil"/>
            </w:tcBorders>
          </w:tcPr>
          <w:p w14:paraId="765652B4" w14:textId="77777777" w:rsidR="00A2071D" w:rsidRPr="00CA168C" w:rsidRDefault="00A2071D" w:rsidP="00A2071D">
            <w:pPr>
              <w:autoSpaceDE w:val="0"/>
              <w:autoSpaceDN w:val="0"/>
              <w:adjustRightInd w:val="0"/>
              <w:contextualSpacing/>
              <w:jc w:val="center"/>
            </w:pPr>
            <w:r w:rsidRPr="00CA168C">
              <w:t>0.59***</w:t>
            </w:r>
          </w:p>
        </w:tc>
      </w:tr>
      <w:tr w:rsidR="00A2071D" w:rsidRPr="00B95CB4" w14:paraId="733BA13A" w14:textId="77777777" w:rsidTr="00F555A9">
        <w:trPr>
          <w:jc w:val="center"/>
        </w:trPr>
        <w:tc>
          <w:tcPr>
            <w:tcW w:w="1463" w:type="dxa"/>
            <w:tcBorders>
              <w:top w:val="nil"/>
              <w:left w:val="nil"/>
              <w:bottom w:val="nil"/>
              <w:right w:val="nil"/>
            </w:tcBorders>
          </w:tcPr>
          <w:p w14:paraId="376B8CEF" w14:textId="77777777" w:rsidR="00A2071D" w:rsidRPr="00CA168C" w:rsidRDefault="00A2071D" w:rsidP="00A2071D">
            <w:pPr>
              <w:autoSpaceDE w:val="0"/>
              <w:autoSpaceDN w:val="0"/>
              <w:adjustRightInd w:val="0"/>
              <w:contextualSpacing/>
            </w:pPr>
          </w:p>
        </w:tc>
        <w:tc>
          <w:tcPr>
            <w:tcW w:w="1440" w:type="dxa"/>
            <w:tcBorders>
              <w:top w:val="nil"/>
              <w:left w:val="nil"/>
              <w:bottom w:val="nil"/>
              <w:right w:val="nil"/>
            </w:tcBorders>
          </w:tcPr>
          <w:p w14:paraId="340A8F95" w14:textId="77777777" w:rsidR="00A2071D" w:rsidRPr="00CA168C" w:rsidRDefault="00A2071D" w:rsidP="00A2071D">
            <w:pPr>
              <w:autoSpaceDE w:val="0"/>
              <w:autoSpaceDN w:val="0"/>
              <w:adjustRightInd w:val="0"/>
              <w:contextualSpacing/>
              <w:jc w:val="center"/>
            </w:pPr>
            <w:r w:rsidRPr="00CA168C">
              <w:t>(0.06)</w:t>
            </w:r>
          </w:p>
        </w:tc>
        <w:tc>
          <w:tcPr>
            <w:tcW w:w="1235" w:type="dxa"/>
            <w:tcBorders>
              <w:top w:val="nil"/>
              <w:left w:val="nil"/>
              <w:bottom w:val="nil"/>
              <w:right w:val="nil"/>
            </w:tcBorders>
          </w:tcPr>
          <w:p w14:paraId="14330A0B" w14:textId="77777777" w:rsidR="00A2071D" w:rsidRPr="00CA168C" w:rsidRDefault="00A2071D" w:rsidP="00A2071D">
            <w:pPr>
              <w:autoSpaceDE w:val="0"/>
              <w:autoSpaceDN w:val="0"/>
              <w:adjustRightInd w:val="0"/>
              <w:contextualSpacing/>
              <w:jc w:val="center"/>
            </w:pPr>
            <w:r w:rsidRPr="00CA168C">
              <w:t>(0.04)</w:t>
            </w:r>
          </w:p>
        </w:tc>
        <w:tc>
          <w:tcPr>
            <w:tcW w:w="1223" w:type="dxa"/>
            <w:tcBorders>
              <w:top w:val="nil"/>
              <w:left w:val="nil"/>
              <w:bottom w:val="nil"/>
              <w:right w:val="nil"/>
            </w:tcBorders>
          </w:tcPr>
          <w:p w14:paraId="05150358" w14:textId="77777777" w:rsidR="00A2071D" w:rsidRPr="00CA168C" w:rsidRDefault="00A2071D" w:rsidP="00A2071D">
            <w:pPr>
              <w:autoSpaceDE w:val="0"/>
              <w:autoSpaceDN w:val="0"/>
              <w:adjustRightInd w:val="0"/>
              <w:contextualSpacing/>
              <w:jc w:val="center"/>
            </w:pPr>
            <w:r w:rsidRPr="00CA168C">
              <w:t>(0.08)</w:t>
            </w:r>
          </w:p>
        </w:tc>
        <w:tc>
          <w:tcPr>
            <w:tcW w:w="1260" w:type="dxa"/>
            <w:tcBorders>
              <w:top w:val="nil"/>
              <w:left w:val="nil"/>
              <w:bottom w:val="nil"/>
              <w:right w:val="nil"/>
            </w:tcBorders>
          </w:tcPr>
          <w:p w14:paraId="122DF50E" w14:textId="77777777" w:rsidR="00A2071D" w:rsidRPr="00CA168C" w:rsidRDefault="00A2071D" w:rsidP="00A2071D">
            <w:pPr>
              <w:autoSpaceDE w:val="0"/>
              <w:autoSpaceDN w:val="0"/>
              <w:adjustRightInd w:val="0"/>
              <w:contextualSpacing/>
              <w:jc w:val="center"/>
            </w:pPr>
            <w:r w:rsidRPr="00CA168C">
              <w:t>(0.04)</w:t>
            </w:r>
          </w:p>
        </w:tc>
        <w:tc>
          <w:tcPr>
            <w:tcW w:w="1170" w:type="dxa"/>
            <w:tcBorders>
              <w:top w:val="nil"/>
              <w:left w:val="nil"/>
              <w:bottom w:val="nil"/>
              <w:right w:val="nil"/>
            </w:tcBorders>
          </w:tcPr>
          <w:p w14:paraId="081EC267" w14:textId="77777777" w:rsidR="00A2071D" w:rsidRPr="00CA168C" w:rsidRDefault="00A2071D" w:rsidP="00A2071D">
            <w:pPr>
              <w:autoSpaceDE w:val="0"/>
              <w:autoSpaceDN w:val="0"/>
              <w:adjustRightInd w:val="0"/>
              <w:contextualSpacing/>
              <w:jc w:val="center"/>
            </w:pPr>
            <w:r w:rsidRPr="00CA168C">
              <w:t>(0.06)</w:t>
            </w:r>
          </w:p>
        </w:tc>
        <w:tc>
          <w:tcPr>
            <w:tcW w:w="1311" w:type="dxa"/>
            <w:tcBorders>
              <w:top w:val="nil"/>
              <w:left w:val="nil"/>
              <w:bottom w:val="nil"/>
              <w:right w:val="nil"/>
            </w:tcBorders>
          </w:tcPr>
          <w:p w14:paraId="1F149242" w14:textId="77777777" w:rsidR="00A2071D" w:rsidRPr="00CA168C" w:rsidRDefault="00A2071D" w:rsidP="00A2071D">
            <w:pPr>
              <w:autoSpaceDE w:val="0"/>
              <w:autoSpaceDN w:val="0"/>
              <w:adjustRightInd w:val="0"/>
              <w:contextualSpacing/>
              <w:jc w:val="center"/>
            </w:pPr>
            <w:r w:rsidRPr="00CA168C">
              <w:t>(0.10)</w:t>
            </w:r>
          </w:p>
        </w:tc>
      </w:tr>
      <w:tr w:rsidR="00A2071D" w:rsidRPr="00B95CB4" w14:paraId="16173D24" w14:textId="77777777" w:rsidTr="00F555A9">
        <w:trPr>
          <w:jc w:val="center"/>
        </w:trPr>
        <w:tc>
          <w:tcPr>
            <w:tcW w:w="1463" w:type="dxa"/>
            <w:tcBorders>
              <w:top w:val="nil"/>
              <w:left w:val="nil"/>
              <w:bottom w:val="nil"/>
              <w:right w:val="nil"/>
            </w:tcBorders>
          </w:tcPr>
          <w:p w14:paraId="51A51133" w14:textId="77777777" w:rsidR="00A2071D" w:rsidRPr="00CA168C" w:rsidRDefault="00A2071D" w:rsidP="00A2071D">
            <w:pPr>
              <w:autoSpaceDE w:val="0"/>
              <w:autoSpaceDN w:val="0"/>
              <w:adjustRightInd w:val="0"/>
              <w:contextualSpacing/>
            </w:pPr>
            <w:r w:rsidRPr="00CA168C">
              <w:t>Euro</w:t>
            </w:r>
          </w:p>
        </w:tc>
        <w:tc>
          <w:tcPr>
            <w:tcW w:w="1440" w:type="dxa"/>
            <w:tcBorders>
              <w:top w:val="nil"/>
              <w:left w:val="nil"/>
              <w:bottom w:val="nil"/>
              <w:right w:val="nil"/>
            </w:tcBorders>
          </w:tcPr>
          <w:p w14:paraId="4491B75B" w14:textId="77777777" w:rsidR="00A2071D" w:rsidRPr="00CA168C" w:rsidRDefault="00A2071D" w:rsidP="00A2071D">
            <w:pPr>
              <w:autoSpaceDE w:val="0"/>
              <w:autoSpaceDN w:val="0"/>
              <w:adjustRightInd w:val="0"/>
              <w:contextualSpacing/>
              <w:jc w:val="center"/>
            </w:pPr>
            <w:r w:rsidRPr="00CA168C">
              <w:t>0.12***</w:t>
            </w:r>
          </w:p>
        </w:tc>
        <w:tc>
          <w:tcPr>
            <w:tcW w:w="1235" w:type="dxa"/>
            <w:tcBorders>
              <w:top w:val="nil"/>
              <w:left w:val="nil"/>
              <w:bottom w:val="nil"/>
              <w:right w:val="nil"/>
            </w:tcBorders>
          </w:tcPr>
          <w:p w14:paraId="2533F221" w14:textId="77777777" w:rsidR="00A2071D" w:rsidRPr="00CA168C" w:rsidRDefault="00A2071D" w:rsidP="00A2071D">
            <w:pPr>
              <w:autoSpaceDE w:val="0"/>
              <w:autoSpaceDN w:val="0"/>
              <w:adjustRightInd w:val="0"/>
              <w:contextualSpacing/>
              <w:jc w:val="center"/>
            </w:pPr>
            <w:r w:rsidRPr="00CA168C">
              <w:t>0.10***</w:t>
            </w:r>
          </w:p>
        </w:tc>
        <w:tc>
          <w:tcPr>
            <w:tcW w:w="1223" w:type="dxa"/>
            <w:tcBorders>
              <w:top w:val="nil"/>
              <w:left w:val="nil"/>
              <w:bottom w:val="nil"/>
              <w:right w:val="nil"/>
            </w:tcBorders>
          </w:tcPr>
          <w:p w14:paraId="54DCAE2F" w14:textId="77777777" w:rsidR="00A2071D" w:rsidRPr="00CA168C" w:rsidRDefault="00A2071D" w:rsidP="00A2071D">
            <w:pPr>
              <w:autoSpaceDE w:val="0"/>
              <w:autoSpaceDN w:val="0"/>
              <w:adjustRightInd w:val="0"/>
              <w:contextualSpacing/>
              <w:jc w:val="center"/>
            </w:pPr>
            <w:r w:rsidRPr="00CA168C">
              <w:t>0.23***</w:t>
            </w:r>
          </w:p>
        </w:tc>
        <w:tc>
          <w:tcPr>
            <w:tcW w:w="1260" w:type="dxa"/>
            <w:tcBorders>
              <w:top w:val="nil"/>
              <w:left w:val="nil"/>
              <w:bottom w:val="nil"/>
              <w:right w:val="nil"/>
            </w:tcBorders>
          </w:tcPr>
          <w:p w14:paraId="311324E1" w14:textId="77777777" w:rsidR="00A2071D" w:rsidRPr="00CA168C" w:rsidRDefault="00A2071D" w:rsidP="00A2071D">
            <w:pPr>
              <w:autoSpaceDE w:val="0"/>
              <w:autoSpaceDN w:val="0"/>
              <w:adjustRightInd w:val="0"/>
              <w:contextualSpacing/>
              <w:jc w:val="center"/>
            </w:pPr>
            <w:r w:rsidRPr="00CA168C">
              <w:t>0.03</w:t>
            </w:r>
          </w:p>
        </w:tc>
        <w:tc>
          <w:tcPr>
            <w:tcW w:w="1170" w:type="dxa"/>
            <w:tcBorders>
              <w:top w:val="nil"/>
              <w:left w:val="nil"/>
              <w:bottom w:val="nil"/>
              <w:right w:val="nil"/>
            </w:tcBorders>
          </w:tcPr>
          <w:p w14:paraId="467AA37B" w14:textId="77777777" w:rsidR="00A2071D" w:rsidRPr="00CA168C" w:rsidRDefault="00A2071D" w:rsidP="00A2071D">
            <w:pPr>
              <w:autoSpaceDE w:val="0"/>
              <w:autoSpaceDN w:val="0"/>
              <w:adjustRightInd w:val="0"/>
              <w:contextualSpacing/>
              <w:jc w:val="center"/>
            </w:pPr>
            <w:r w:rsidRPr="00CA168C">
              <w:t>0.06</w:t>
            </w:r>
          </w:p>
        </w:tc>
        <w:tc>
          <w:tcPr>
            <w:tcW w:w="1311" w:type="dxa"/>
            <w:tcBorders>
              <w:top w:val="nil"/>
              <w:left w:val="nil"/>
              <w:bottom w:val="nil"/>
              <w:right w:val="nil"/>
            </w:tcBorders>
          </w:tcPr>
          <w:p w14:paraId="69DE740E" w14:textId="77777777" w:rsidR="00A2071D" w:rsidRPr="00CA168C" w:rsidRDefault="00A2071D" w:rsidP="00A2071D">
            <w:pPr>
              <w:autoSpaceDE w:val="0"/>
              <w:autoSpaceDN w:val="0"/>
              <w:adjustRightInd w:val="0"/>
              <w:contextualSpacing/>
              <w:jc w:val="center"/>
            </w:pPr>
            <w:r w:rsidRPr="00CA168C">
              <w:t>0.32***</w:t>
            </w:r>
          </w:p>
        </w:tc>
      </w:tr>
      <w:tr w:rsidR="00A2071D" w:rsidRPr="00B95CB4" w14:paraId="025EF45F" w14:textId="77777777" w:rsidTr="00F555A9">
        <w:trPr>
          <w:jc w:val="center"/>
        </w:trPr>
        <w:tc>
          <w:tcPr>
            <w:tcW w:w="1463" w:type="dxa"/>
            <w:tcBorders>
              <w:top w:val="nil"/>
              <w:left w:val="nil"/>
              <w:bottom w:val="nil"/>
              <w:right w:val="nil"/>
            </w:tcBorders>
          </w:tcPr>
          <w:p w14:paraId="149151D1" w14:textId="77777777" w:rsidR="00A2071D" w:rsidRPr="00CA168C" w:rsidRDefault="00A2071D" w:rsidP="00A2071D">
            <w:pPr>
              <w:autoSpaceDE w:val="0"/>
              <w:autoSpaceDN w:val="0"/>
              <w:adjustRightInd w:val="0"/>
              <w:contextualSpacing/>
            </w:pPr>
          </w:p>
        </w:tc>
        <w:tc>
          <w:tcPr>
            <w:tcW w:w="1440" w:type="dxa"/>
            <w:tcBorders>
              <w:top w:val="nil"/>
              <w:left w:val="nil"/>
              <w:bottom w:val="nil"/>
              <w:right w:val="nil"/>
            </w:tcBorders>
          </w:tcPr>
          <w:p w14:paraId="25FC7A32" w14:textId="77777777" w:rsidR="00A2071D" w:rsidRPr="00CA168C" w:rsidRDefault="00A2071D" w:rsidP="00A2071D">
            <w:pPr>
              <w:autoSpaceDE w:val="0"/>
              <w:autoSpaceDN w:val="0"/>
              <w:adjustRightInd w:val="0"/>
              <w:contextualSpacing/>
              <w:jc w:val="center"/>
            </w:pPr>
            <w:r w:rsidRPr="00CA168C">
              <w:t>(0.03)</w:t>
            </w:r>
          </w:p>
        </w:tc>
        <w:tc>
          <w:tcPr>
            <w:tcW w:w="1235" w:type="dxa"/>
            <w:tcBorders>
              <w:top w:val="nil"/>
              <w:left w:val="nil"/>
              <w:bottom w:val="nil"/>
              <w:right w:val="nil"/>
            </w:tcBorders>
          </w:tcPr>
          <w:p w14:paraId="61E89DA3" w14:textId="77777777" w:rsidR="00A2071D" w:rsidRPr="00CA168C" w:rsidRDefault="00A2071D" w:rsidP="00A2071D">
            <w:pPr>
              <w:autoSpaceDE w:val="0"/>
              <w:autoSpaceDN w:val="0"/>
              <w:adjustRightInd w:val="0"/>
              <w:contextualSpacing/>
              <w:jc w:val="center"/>
            </w:pPr>
            <w:r w:rsidRPr="00CA168C">
              <w:t>(0.03)</w:t>
            </w:r>
          </w:p>
        </w:tc>
        <w:tc>
          <w:tcPr>
            <w:tcW w:w="1223" w:type="dxa"/>
            <w:tcBorders>
              <w:top w:val="nil"/>
              <w:left w:val="nil"/>
              <w:bottom w:val="nil"/>
              <w:right w:val="nil"/>
            </w:tcBorders>
          </w:tcPr>
          <w:p w14:paraId="33F46F60" w14:textId="77777777" w:rsidR="00A2071D" w:rsidRPr="00CA168C" w:rsidRDefault="00A2071D" w:rsidP="00A2071D">
            <w:pPr>
              <w:autoSpaceDE w:val="0"/>
              <w:autoSpaceDN w:val="0"/>
              <w:adjustRightInd w:val="0"/>
              <w:contextualSpacing/>
              <w:jc w:val="center"/>
            </w:pPr>
            <w:r w:rsidRPr="00CA168C">
              <w:t>(0.07)</w:t>
            </w:r>
          </w:p>
        </w:tc>
        <w:tc>
          <w:tcPr>
            <w:tcW w:w="1260" w:type="dxa"/>
            <w:tcBorders>
              <w:top w:val="nil"/>
              <w:left w:val="nil"/>
              <w:bottom w:val="nil"/>
              <w:right w:val="nil"/>
            </w:tcBorders>
          </w:tcPr>
          <w:p w14:paraId="436184B3" w14:textId="77777777" w:rsidR="00A2071D" w:rsidRPr="00CA168C" w:rsidRDefault="00A2071D" w:rsidP="00A2071D">
            <w:pPr>
              <w:autoSpaceDE w:val="0"/>
              <w:autoSpaceDN w:val="0"/>
              <w:adjustRightInd w:val="0"/>
              <w:contextualSpacing/>
              <w:jc w:val="center"/>
            </w:pPr>
            <w:r w:rsidRPr="00CA168C">
              <w:t>(0.03)</w:t>
            </w:r>
          </w:p>
        </w:tc>
        <w:tc>
          <w:tcPr>
            <w:tcW w:w="1170" w:type="dxa"/>
            <w:tcBorders>
              <w:top w:val="nil"/>
              <w:left w:val="nil"/>
              <w:bottom w:val="nil"/>
              <w:right w:val="nil"/>
            </w:tcBorders>
          </w:tcPr>
          <w:p w14:paraId="0F2CA42B" w14:textId="77777777" w:rsidR="00A2071D" w:rsidRPr="00CA168C" w:rsidRDefault="00A2071D" w:rsidP="00A2071D">
            <w:pPr>
              <w:autoSpaceDE w:val="0"/>
              <w:autoSpaceDN w:val="0"/>
              <w:adjustRightInd w:val="0"/>
              <w:contextualSpacing/>
              <w:jc w:val="center"/>
            </w:pPr>
            <w:r w:rsidRPr="00CA168C">
              <w:t>(0.05)</w:t>
            </w:r>
          </w:p>
        </w:tc>
        <w:tc>
          <w:tcPr>
            <w:tcW w:w="1311" w:type="dxa"/>
            <w:tcBorders>
              <w:top w:val="nil"/>
              <w:left w:val="nil"/>
              <w:bottom w:val="nil"/>
              <w:right w:val="nil"/>
            </w:tcBorders>
          </w:tcPr>
          <w:p w14:paraId="3EA2B0A1" w14:textId="77777777" w:rsidR="00A2071D" w:rsidRPr="00CA168C" w:rsidRDefault="00A2071D" w:rsidP="00A2071D">
            <w:pPr>
              <w:autoSpaceDE w:val="0"/>
              <w:autoSpaceDN w:val="0"/>
              <w:adjustRightInd w:val="0"/>
              <w:contextualSpacing/>
              <w:jc w:val="center"/>
            </w:pPr>
            <w:r w:rsidRPr="00CA168C">
              <w:t>(0.07)</w:t>
            </w:r>
          </w:p>
        </w:tc>
      </w:tr>
      <w:tr w:rsidR="00A2071D" w:rsidRPr="00B95CB4" w14:paraId="3E8A6E2F" w14:textId="77777777" w:rsidTr="00F555A9">
        <w:trPr>
          <w:jc w:val="center"/>
        </w:trPr>
        <w:tc>
          <w:tcPr>
            <w:tcW w:w="1463" w:type="dxa"/>
            <w:tcBorders>
              <w:top w:val="nil"/>
              <w:left w:val="nil"/>
              <w:bottom w:val="nil"/>
              <w:right w:val="nil"/>
            </w:tcBorders>
          </w:tcPr>
          <w:p w14:paraId="0FD198DC" w14:textId="77777777" w:rsidR="00A2071D" w:rsidRPr="00CA168C" w:rsidRDefault="00A2071D" w:rsidP="00A2071D">
            <w:pPr>
              <w:autoSpaceDE w:val="0"/>
              <w:autoSpaceDN w:val="0"/>
              <w:adjustRightInd w:val="0"/>
              <w:contextualSpacing/>
            </w:pPr>
            <w:r w:rsidRPr="00CA168C">
              <w:t>Jpn yen</w:t>
            </w:r>
          </w:p>
        </w:tc>
        <w:tc>
          <w:tcPr>
            <w:tcW w:w="1440" w:type="dxa"/>
            <w:tcBorders>
              <w:top w:val="nil"/>
              <w:left w:val="nil"/>
              <w:bottom w:val="nil"/>
              <w:right w:val="nil"/>
            </w:tcBorders>
          </w:tcPr>
          <w:p w14:paraId="76E1FA2D" w14:textId="77777777" w:rsidR="00A2071D" w:rsidRPr="00CA168C" w:rsidRDefault="00A2071D" w:rsidP="00A2071D">
            <w:pPr>
              <w:autoSpaceDE w:val="0"/>
              <w:autoSpaceDN w:val="0"/>
              <w:adjustRightInd w:val="0"/>
              <w:contextualSpacing/>
              <w:jc w:val="center"/>
            </w:pPr>
            <w:r w:rsidRPr="00CA168C">
              <w:t>0.09***</w:t>
            </w:r>
          </w:p>
        </w:tc>
        <w:tc>
          <w:tcPr>
            <w:tcW w:w="1235" w:type="dxa"/>
            <w:tcBorders>
              <w:top w:val="nil"/>
              <w:left w:val="nil"/>
              <w:bottom w:val="nil"/>
              <w:right w:val="nil"/>
            </w:tcBorders>
          </w:tcPr>
          <w:p w14:paraId="5647816A" w14:textId="77777777" w:rsidR="00A2071D" w:rsidRPr="00CA168C" w:rsidRDefault="00A2071D" w:rsidP="00A2071D">
            <w:pPr>
              <w:autoSpaceDE w:val="0"/>
              <w:autoSpaceDN w:val="0"/>
              <w:adjustRightInd w:val="0"/>
              <w:contextualSpacing/>
              <w:jc w:val="center"/>
            </w:pPr>
            <w:r w:rsidRPr="00CA168C">
              <w:t>0.04*</w:t>
            </w:r>
          </w:p>
        </w:tc>
        <w:tc>
          <w:tcPr>
            <w:tcW w:w="1223" w:type="dxa"/>
            <w:tcBorders>
              <w:top w:val="nil"/>
              <w:left w:val="nil"/>
              <w:bottom w:val="nil"/>
              <w:right w:val="nil"/>
            </w:tcBorders>
          </w:tcPr>
          <w:p w14:paraId="103C9D19" w14:textId="77777777" w:rsidR="00A2071D" w:rsidRPr="00CA168C" w:rsidRDefault="00A2071D" w:rsidP="00A2071D">
            <w:pPr>
              <w:autoSpaceDE w:val="0"/>
              <w:autoSpaceDN w:val="0"/>
              <w:adjustRightInd w:val="0"/>
              <w:contextualSpacing/>
              <w:jc w:val="center"/>
            </w:pPr>
            <w:r w:rsidRPr="00CA168C">
              <w:t>0.05</w:t>
            </w:r>
          </w:p>
        </w:tc>
        <w:tc>
          <w:tcPr>
            <w:tcW w:w="1260" w:type="dxa"/>
            <w:tcBorders>
              <w:top w:val="nil"/>
              <w:left w:val="nil"/>
              <w:bottom w:val="nil"/>
              <w:right w:val="nil"/>
            </w:tcBorders>
          </w:tcPr>
          <w:p w14:paraId="0063768B" w14:textId="77777777" w:rsidR="00A2071D" w:rsidRPr="00CA168C" w:rsidRDefault="00A2071D" w:rsidP="00A2071D">
            <w:pPr>
              <w:autoSpaceDE w:val="0"/>
              <w:autoSpaceDN w:val="0"/>
              <w:adjustRightInd w:val="0"/>
              <w:contextualSpacing/>
              <w:jc w:val="center"/>
            </w:pPr>
            <w:r w:rsidRPr="00CA168C">
              <w:t>0.03</w:t>
            </w:r>
          </w:p>
        </w:tc>
        <w:tc>
          <w:tcPr>
            <w:tcW w:w="1170" w:type="dxa"/>
            <w:tcBorders>
              <w:top w:val="nil"/>
              <w:left w:val="nil"/>
              <w:bottom w:val="nil"/>
              <w:right w:val="nil"/>
            </w:tcBorders>
          </w:tcPr>
          <w:p w14:paraId="02C7574A" w14:textId="77777777" w:rsidR="00A2071D" w:rsidRPr="00CA168C" w:rsidRDefault="00A2071D" w:rsidP="00A2071D">
            <w:pPr>
              <w:autoSpaceDE w:val="0"/>
              <w:autoSpaceDN w:val="0"/>
              <w:adjustRightInd w:val="0"/>
              <w:contextualSpacing/>
              <w:jc w:val="center"/>
            </w:pPr>
            <w:r w:rsidRPr="00CA168C">
              <w:t>0.24***</w:t>
            </w:r>
          </w:p>
        </w:tc>
        <w:tc>
          <w:tcPr>
            <w:tcW w:w="1311" w:type="dxa"/>
            <w:tcBorders>
              <w:top w:val="nil"/>
              <w:left w:val="nil"/>
              <w:bottom w:val="nil"/>
              <w:right w:val="nil"/>
            </w:tcBorders>
          </w:tcPr>
          <w:p w14:paraId="346C6C7B" w14:textId="77777777" w:rsidR="00A2071D" w:rsidRPr="00CA168C" w:rsidRDefault="00A2071D" w:rsidP="00A2071D">
            <w:pPr>
              <w:autoSpaceDE w:val="0"/>
              <w:autoSpaceDN w:val="0"/>
              <w:adjustRightInd w:val="0"/>
              <w:contextualSpacing/>
              <w:jc w:val="center"/>
            </w:pPr>
            <w:r w:rsidRPr="00CA168C">
              <w:t>0.02</w:t>
            </w:r>
          </w:p>
        </w:tc>
      </w:tr>
      <w:tr w:rsidR="00A2071D" w:rsidRPr="00B95CB4" w14:paraId="286B465E" w14:textId="77777777" w:rsidTr="00F555A9">
        <w:trPr>
          <w:jc w:val="center"/>
        </w:trPr>
        <w:tc>
          <w:tcPr>
            <w:tcW w:w="1463" w:type="dxa"/>
            <w:tcBorders>
              <w:top w:val="nil"/>
              <w:left w:val="nil"/>
              <w:bottom w:val="nil"/>
              <w:right w:val="nil"/>
            </w:tcBorders>
          </w:tcPr>
          <w:p w14:paraId="5FB1CDE9" w14:textId="77777777" w:rsidR="00A2071D" w:rsidRPr="00CA168C" w:rsidRDefault="00A2071D" w:rsidP="00A2071D">
            <w:pPr>
              <w:autoSpaceDE w:val="0"/>
              <w:autoSpaceDN w:val="0"/>
              <w:adjustRightInd w:val="0"/>
              <w:contextualSpacing/>
            </w:pPr>
          </w:p>
        </w:tc>
        <w:tc>
          <w:tcPr>
            <w:tcW w:w="1440" w:type="dxa"/>
            <w:tcBorders>
              <w:top w:val="nil"/>
              <w:left w:val="nil"/>
              <w:bottom w:val="nil"/>
              <w:right w:val="nil"/>
            </w:tcBorders>
          </w:tcPr>
          <w:p w14:paraId="43355B15" w14:textId="77777777" w:rsidR="00A2071D" w:rsidRPr="00CA168C" w:rsidRDefault="00A2071D" w:rsidP="00A2071D">
            <w:pPr>
              <w:autoSpaceDE w:val="0"/>
              <w:autoSpaceDN w:val="0"/>
              <w:adjustRightInd w:val="0"/>
              <w:contextualSpacing/>
              <w:jc w:val="center"/>
            </w:pPr>
            <w:r w:rsidRPr="00CA168C">
              <w:t>(0.02)</w:t>
            </w:r>
          </w:p>
        </w:tc>
        <w:tc>
          <w:tcPr>
            <w:tcW w:w="1235" w:type="dxa"/>
            <w:tcBorders>
              <w:top w:val="nil"/>
              <w:left w:val="nil"/>
              <w:bottom w:val="nil"/>
              <w:right w:val="nil"/>
            </w:tcBorders>
          </w:tcPr>
          <w:p w14:paraId="70F3FCA2" w14:textId="77777777" w:rsidR="00A2071D" w:rsidRPr="00CA168C" w:rsidRDefault="00A2071D" w:rsidP="00A2071D">
            <w:pPr>
              <w:autoSpaceDE w:val="0"/>
              <w:autoSpaceDN w:val="0"/>
              <w:adjustRightInd w:val="0"/>
              <w:contextualSpacing/>
              <w:jc w:val="center"/>
            </w:pPr>
            <w:r w:rsidRPr="00CA168C">
              <w:t>(0.02)</w:t>
            </w:r>
          </w:p>
        </w:tc>
        <w:tc>
          <w:tcPr>
            <w:tcW w:w="1223" w:type="dxa"/>
            <w:tcBorders>
              <w:top w:val="nil"/>
              <w:left w:val="nil"/>
              <w:bottom w:val="nil"/>
              <w:right w:val="nil"/>
            </w:tcBorders>
          </w:tcPr>
          <w:p w14:paraId="5B2FC20B" w14:textId="77777777" w:rsidR="00A2071D" w:rsidRPr="00CA168C" w:rsidRDefault="00A2071D" w:rsidP="00A2071D">
            <w:pPr>
              <w:autoSpaceDE w:val="0"/>
              <w:autoSpaceDN w:val="0"/>
              <w:adjustRightInd w:val="0"/>
              <w:contextualSpacing/>
              <w:jc w:val="center"/>
            </w:pPr>
            <w:r w:rsidRPr="00CA168C">
              <w:t>(0.05)</w:t>
            </w:r>
          </w:p>
        </w:tc>
        <w:tc>
          <w:tcPr>
            <w:tcW w:w="1260" w:type="dxa"/>
            <w:tcBorders>
              <w:top w:val="nil"/>
              <w:left w:val="nil"/>
              <w:bottom w:val="nil"/>
              <w:right w:val="nil"/>
            </w:tcBorders>
          </w:tcPr>
          <w:p w14:paraId="52340F1D" w14:textId="77777777" w:rsidR="00A2071D" w:rsidRPr="00CA168C" w:rsidRDefault="00A2071D" w:rsidP="00A2071D">
            <w:pPr>
              <w:autoSpaceDE w:val="0"/>
              <w:autoSpaceDN w:val="0"/>
              <w:adjustRightInd w:val="0"/>
              <w:contextualSpacing/>
              <w:jc w:val="center"/>
            </w:pPr>
            <w:r w:rsidRPr="00CA168C">
              <w:t>(0.02)</w:t>
            </w:r>
          </w:p>
        </w:tc>
        <w:tc>
          <w:tcPr>
            <w:tcW w:w="1170" w:type="dxa"/>
            <w:tcBorders>
              <w:top w:val="nil"/>
              <w:left w:val="nil"/>
              <w:bottom w:val="nil"/>
              <w:right w:val="nil"/>
            </w:tcBorders>
          </w:tcPr>
          <w:p w14:paraId="3234B3B0" w14:textId="77777777" w:rsidR="00A2071D" w:rsidRPr="00CA168C" w:rsidRDefault="00A2071D" w:rsidP="00A2071D">
            <w:pPr>
              <w:autoSpaceDE w:val="0"/>
              <w:autoSpaceDN w:val="0"/>
              <w:adjustRightInd w:val="0"/>
              <w:contextualSpacing/>
              <w:jc w:val="center"/>
            </w:pPr>
            <w:r w:rsidRPr="00CA168C">
              <w:t>(0.06)</w:t>
            </w:r>
          </w:p>
        </w:tc>
        <w:tc>
          <w:tcPr>
            <w:tcW w:w="1311" w:type="dxa"/>
            <w:tcBorders>
              <w:top w:val="nil"/>
              <w:left w:val="nil"/>
              <w:bottom w:val="nil"/>
              <w:right w:val="nil"/>
            </w:tcBorders>
          </w:tcPr>
          <w:p w14:paraId="2ADE2CD9" w14:textId="77777777" w:rsidR="00A2071D" w:rsidRPr="00CA168C" w:rsidRDefault="00A2071D" w:rsidP="00A2071D">
            <w:pPr>
              <w:autoSpaceDE w:val="0"/>
              <w:autoSpaceDN w:val="0"/>
              <w:adjustRightInd w:val="0"/>
              <w:contextualSpacing/>
              <w:jc w:val="center"/>
            </w:pPr>
            <w:r w:rsidRPr="00CA168C">
              <w:t>(0.07)</w:t>
            </w:r>
          </w:p>
        </w:tc>
      </w:tr>
      <w:tr w:rsidR="00A2071D" w:rsidRPr="00B95CB4" w14:paraId="7D84A762" w14:textId="77777777" w:rsidTr="00F555A9">
        <w:trPr>
          <w:jc w:val="center"/>
        </w:trPr>
        <w:tc>
          <w:tcPr>
            <w:tcW w:w="1463" w:type="dxa"/>
            <w:tcBorders>
              <w:top w:val="nil"/>
              <w:left w:val="nil"/>
              <w:bottom w:val="nil"/>
              <w:right w:val="nil"/>
            </w:tcBorders>
          </w:tcPr>
          <w:p w14:paraId="36774D34" w14:textId="77777777" w:rsidR="00A2071D" w:rsidRPr="00CA168C" w:rsidRDefault="00A2071D" w:rsidP="00A2071D">
            <w:pPr>
              <w:autoSpaceDE w:val="0"/>
              <w:autoSpaceDN w:val="0"/>
              <w:adjustRightInd w:val="0"/>
              <w:contextualSpacing/>
            </w:pPr>
            <w:r w:rsidRPr="00CA168C">
              <w:rPr>
                <w:rFonts w:hint="eastAsia"/>
                <w:i/>
              </w:rPr>
              <w:t>△</w:t>
            </w:r>
            <w:r w:rsidRPr="00CA168C">
              <w:rPr>
                <w:i/>
              </w:rPr>
              <w:t>EMP</w:t>
            </w:r>
          </w:p>
        </w:tc>
        <w:tc>
          <w:tcPr>
            <w:tcW w:w="1440" w:type="dxa"/>
            <w:tcBorders>
              <w:top w:val="nil"/>
              <w:left w:val="nil"/>
              <w:bottom w:val="nil"/>
              <w:right w:val="nil"/>
            </w:tcBorders>
          </w:tcPr>
          <w:p w14:paraId="19D9A18E" w14:textId="77777777" w:rsidR="00A2071D" w:rsidRPr="00CA168C" w:rsidRDefault="00A2071D" w:rsidP="00A2071D">
            <w:pPr>
              <w:autoSpaceDE w:val="0"/>
              <w:autoSpaceDN w:val="0"/>
              <w:adjustRightInd w:val="0"/>
              <w:contextualSpacing/>
              <w:jc w:val="center"/>
            </w:pPr>
            <w:r w:rsidRPr="00CA168C">
              <w:t>0.44***</w:t>
            </w:r>
          </w:p>
        </w:tc>
        <w:tc>
          <w:tcPr>
            <w:tcW w:w="1235" w:type="dxa"/>
            <w:tcBorders>
              <w:top w:val="nil"/>
              <w:left w:val="nil"/>
              <w:bottom w:val="nil"/>
              <w:right w:val="nil"/>
            </w:tcBorders>
          </w:tcPr>
          <w:p w14:paraId="4D177A02" w14:textId="77777777" w:rsidR="00A2071D" w:rsidRPr="00CA168C" w:rsidRDefault="00A2071D" w:rsidP="00A2071D">
            <w:pPr>
              <w:autoSpaceDE w:val="0"/>
              <w:autoSpaceDN w:val="0"/>
              <w:adjustRightInd w:val="0"/>
              <w:contextualSpacing/>
              <w:jc w:val="center"/>
            </w:pPr>
            <w:r w:rsidRPr="00CA168C">
              <w:t>0.04</w:t>
            </w:r>
          </w:p>
        </w:tc>
        <w:tc>
          <w:tcPr>
            <w:tcW w:w="1223" w:type="dxa"/>
            <w:tcBorders>
              <w:top w:val="nil"/>
              <w:left w:val="nil"/>
              <w:bottom w:val="nil"/>
              <w:right w:val="nil"/>
            </w:tcBorders>
          </w:tcPr>
          <w:p w14:paraId="18B08C20" w14:textId="77777777" w:rsidR="00A2071D" w:rsidRPr="00CA168C" w:rsidRDefault="00A2071D" w:rsidP="00A2071D">
            <w:pPr>
              <w:autoSpaceDE w:val="0"/>
              <w:autoSpaceDN w:val="0"/>
              <w:adjustRightInd w:val="0"/>
              <w:contextualSpacing/>
              <w:jc w:val="center"/>
            </w:pPr>
            <w:r w:rsidRPr="00CA168C">
              <w:t>0.46***</w:t>
            </w:r>
          </w:p>
        </w:tc>
        <w:tc>
          <w:tcPr>
            <w:tcW w:w="1260" w:type="dxa"/>
            <w:tcBorders>
              <w:top w:val="nil"/>
              <w:left w:val="nil"/>
              <w:bottom w:val="nil"/>
              <w:right w:val="nil"/>
            </w:tcBorders>
          </w:tcPr>
          <w:p w14:paraId="47FC6298" w14:textId="77777777" w:rsidR="00A2071D" w:rsidRPr="00CA168C" w:rsidRDefault="00A2071D" w:rsidP="00A2071D">
            <w:pPr>
              <w:autoSpaceDE w:val="0"/>
              <w:autoSpaceDN w:val="0"/>
              <w:adjustRightInd w:val="0"/>
              <w:contextualSpacing/>
              <w:jc w:val="center"/>
            </w:pPr>
            <w:r w:rsidRPr="00CA168C">
              <w:t>0.06</w:t>
            </w:r>
          </w:p>
        </w:tc>
        <w:tc>
          <w:tcPr>
            <w:tcW w:w="1170" w:type="dxa"/>
            <w:tcBorders>
              <w:top w:val="nil"/>
              <w:left w:val="nil"/>
              <w:bottom w:val="nil"/>
              <w:right w:val="nil"/>
            </w:tcBorders>
          </w:tcPr>
          <w:p w14:paraId="385F392F" w14:textId="77777777" w:rsidR="00A2071D" w:rsidRPr="00CA168C" w:rsidRDefault="00A2071D" w:rsidP="00A2071D">
            <w:pPr>
              <w:autoSpaceDE w:val="0"/>
              <w:autoSpaceDN w:val="0"/>
              <w:adjustRightInd w:val="0"/>
              <w:contextualSpacing/>
              <w:jc w:val="center"/>
            </w:pPr>
            <w:r w:rsidRPr="00CA168C">
              <w:t>0.15***</w:t>
            </w:r>
          </w:p>
        </w:tc>
        <w:tc>
          <w:tcPr>
            <w:tcW w:w="1311" w:type="dxa"/>
            <w:tcBorders>
              <w:top w:val="nil"/>
              <w:left w:val="nil"/>
              <w:bottom w:val="nil"/>
              <w:right w:val="nil"/>
            </w:tcBorders>
          </w:tcPr>
          <w:p w14:paraId="3821A35B" w14:textId="77777777" w:rsidR="00A2071D" w:rsidRPr="00CA168C" w:rsidRDefault="00A2071D" w:rsidP="00A2071D">
            <w:pPr>
              <w:autoSpaceDE w:val="0"/>
              <w:autoSpaceDN w:val="0"/>
              <w:adjustRightInd w:val="0"/>
              <w:contextualSpacing/>
              <w:jc w:val="center"/>
            </w:pPr>
            <w:r w:rsidRPr="00CA168C">
              <w:t>0.37***</w:t>
            </w:r>
          </w:p>
        </w:tc>
      </w:tr>
      <w:tr w:rsidR="00A2071D" w:rsidRPr="00B95CB4" w14:paraId="51BDAFDC" w14:textId="77777777" w:rsidTr="00F555A9">
        <w:trPr>
          <w:jc w:val="center"/>
        </w:trPr>
        <w:tc>
          <w:tcPr>
            <w:tcW w:w="1463" w:type="dxa"/>
            <w:tcBorders>
              <w:top w:val="nil"/>
              <w:left w:val="nil"/>
              <w:bottom w:val="nil"/>
              <w:right w:val="nil"/>
            </w:tcBorders>
          </w:tcPr>
          <w:p w14:paraId="651645D2" w14:textId="77777777" w:rsidR="00A2071D" w:rsidRPr="00CA168C" w:rsidRDefault="00A2071D" w:rsidP="00A2071D">
            <w:pPr>
              <w:autoSpaceDE w:val="0"/>
              <w:autoSpaceDN w:val="0"/>
              <w:adjustRightInd w:val="0"/>
              <w:contextualSpacing/>
            </w:pPr>
          </w:p>
        </w:tc>
        <w:tc>
          <w:tcPr>
            <w:tcW w:w="1440" w:type="dxa"/>
            <w:tcBorders>
              <w:top w:val="nil"/>
              <w:left w:val="nil"/>
              <w:bottom w:val="nil"/>
              <w:right w:val="nil"/>
            </w:tcBorders>
          </w:tcPr>
          <w:p w14:paraId="228186CC" w14:textId="77777777" w:rsidR="00A2071D" w:rsidRPr="00CA168C" w:rsidRDefault="00A2071D" w:rsidP="00A2071D">
            <w:pPr>
              <w:autoSpaceDE w:val="0"/>
              <w:autoSpaceDN w:val="0"/>
              <w:adjustRightInd w:val="0"/>
              <w:contextualSpacing/>
              <w:jc w:val="center"/>
            </w:pPr>
            <w:r w:rsidRPr="00CA168C">
              <w:t>(0.06)</w:t>
            </w:r>
          </w:p>
        </w:tc>
        <w:tc>
          <w:tcPr>
            <w:tcW w:w="1235" w:type="dxa"/>
            <w:tcBorders>
              <w:top w:val="nil"/>
              <w:left w:val="nil"/>
              <w:bottom w:val="nil"/>
              <w:right w:val="nil"/>
            </w:tcBorders>
          </w:tcPr>
          <w:p w14:paraId="5E1CFD19" w14:textId="77777777" w:rsidR="00A2071D" w:rsidRPr="00CA168C" w:rsidRDefault="00A2071D" w:rsidP="00A2071D">
            <w:pPr>
              <w:autoSpaceDE w:val="0"/>
              <w:autoSpaceDN w:val="0"/>
              <w:adjustRightInd w:val="0"/>
              <w:contextualSpacing/>
              <w:jc w:val="center"/>
            </w:pPr>
            <w:r w:rsidRPr="00CA168C">
              <w:t>(0.04)</w:t>
            </w:r>
          </w:p>
        </w:tc>
        <w:tc>
          <w:tcPr>
            <w:tcW w:w="1223" w:type="dxa"/>
            <w:tcBorders>
              <w:top w:val="nil"/>
              <w:left w:val="nil"/>
              <w:bottom w:val="nil"/>
              <w:right w:val="nil"/>
            </w:tcBorders>
          </w:tcPr>
          <w:p w14:paraId="1926A2BE" w14:textId="77777777" w:rsidR="00A2071D" w:rsidRPr="00CA168C" w:rsidRDefault="00A2071D" w:rsidP="00A2071D">
            <w:pPr>
              <w:autoSpaceDE w:val="0"/>
              <w:autoSpaceDN w:val="0"/>
              <w:adjustRightInd w:val="0"/>
              <w:contextualSpacing/>
              <w:jc w:val="center"/>
            </w:pPr>
            <w:r w:rsidRPr="00CA168C">
              <w:t>(0.10)</w:t>
            </w:r>
          </w:p>
        </w:tc>
        <w:tc>
          <w:tcPr>
            <w:tcW w:w="1260" w:type="dxa"/>
            <w:tcBorders>
              <w:top w:val="nil"/>
              <w:left w:val="nil"/>
              <w:bottom w:val="nil"/>
              <w:right w:val="nil"/>
            </w:tcBorders>
          </w:tcPr>
          <w:p w14:paraId="7A3E13C2" w14:textId="77777777" w:rsidR="00A2071D" w:rsidRPr="00CA168C" w:rsidRDefault="00A2071D" w:rsidP="00A2071D">
            <w:pPr>
              <w:autoSpaceDE w:val="0"/>
              <w:autoSpaceDN w:val="0"/>
              <w:adjustRightInd w:val="0"/>
              <w:contextualSpacing/>
              <w:jc w:val="center"/>
            </w:pPr>
            <w:r w:rsidRPr="00CA168C">
              <w:t>(0.04)</w:t>
            </w:r>
          </w:p>
        </w:tc>
        <w:tc>
          <w:tcPr>
            <w:tcW w:w="1170" w:type="dxa"/>
            <w:tcBorders>
              <w:top w:val="nil"/>
              <w:left w:val="nil"/>
              <w:bottom w:val="nil"/>
              <w:right w:val="nil"/>
            </w:tcBorders>
          </w:tcPr>
          <w:p w14:paraId="3A88F748" w14:textId="77777777" w:rsidR="00A2071D" w:rsidRPr="00CA168C" w:rsidRDefault="00A2071D" w:rsidP="00A2071D">
            <w:pPr>
              <w:autoSpaceDE w:val="0"/>
              <w:autoSpaceDN w:val="0"/>
              <w:adjustRightInd w:val="0"/>
              <w:contextualSpacing/>
              <w:jc w:val="center"/>
            </w:pPr>
            <w:r w:rsidRPr="00CA168C">
              <w:t>(0.05)</w:t>
            </w:r>
          </w:p>
        </w:tc>
        <w:tc>
          <w:tcPr>
            <w:tcW w:w="1311" w:type="dxa"/>
            <w:tcBorders>
              <w:top w:val="nil"/>
              <w:left w:val="nil"/>
              <w:bottom w:val="nil"/>
              <w:right w:val="nil"/>
            </w:tcBorders>
          </w:tcPr>
          <w:p w14:paraId="33835E19" w14:textId="77777777" w:rsidR="00A2071D" w:rsidRPr="00CA168C" w:rsidRDefault="00A2071D" w:rsidP="00A2071D">
            <w:pPr>
              <w:autoSpaceDE w:val="0"/>
              <w:autoSpaceDN w:val="0"/>
              <w:adjustRightInd w:val="0"/>
              <w:contextualSpacing/>
              <w:jc w:val="center"/>
            </w:pPr>
            <w:r w:rsidRPr="00CA168C">
              <w:t>(0.07)</w:t>
            </w:r>
          </w:p>
        </w:tc>
      </w:tr>
      <w:tr w:rsidR="00A2071D" w:rsidRPr="00B95CB4" w14:paraId="0734A6B0" w14:textId="77777777" w:rsidTr="00F555A9">
        <w:trPr>
          <w:jc w:val="center"/>
        </w:trPr>
        <w:tc>
          <w:tcPr>
            <w:tcW w:w="1463" w:type="dxa"/>
            <w:tcBorders>
              <w:top w:val="nil"/>
              <w:left w:val="nil"/>
              <w:bottom w:val="nil"/>
              <w:right w:val="nil"/>
            </w:tcBorders>
          </w:tcPr>
          <w:p w14:paraId="75106F66" w14:textId="77777777" w:rsidR="00A2071D" w:rsidRPr="00CA168C" w:rsidRDefault="00A2071D" w:rsidP="00A2071D">
            <w:pPr>
              <w:autoSpaceDE w:val="0"/>
              <w:autoSpaceDN w:val="0"/>
              <w:adjustRightInd w:val="0"/>
              <w:contextualSpacing/>
            </w:pPr>
            <w:r w:rsidRPr="00CA168C">
              <w:t>Observations</w:t>
            </w:r>
          </w:p>
        </w:tc>
        <w:tc>
          <w:tcPr>
            <w:tcW w:w="1440" w:type="dxa"/>
            <w:tcBorders>
              <w:top w:val="nil"/>
              <w:left w:val="nil"/>
              <w:bottom w:val="nil"/>
              <w:right w:val="nil"/>
            </w:tcBorders>
          </w:tcPr>
          <w:p w14:paraId="128E8C27" w14:textId="77777777" w:rsidR="00A2071D" w:rsidRPr="00CA168C" w:rsidRDefault="00A2071D" w:rsidP="00A2071D">
            <w:pPr>
              <w:autoSpaceDE w:val="0"/>
              <w:autoSpaceDN w:val="0"/>
              <w:adjustRightInd w:val="0"/>
              <w:contextualSpacing/>
              <w:jc w:val="center"/>
            </w:pPr>
            <w:r w:rsidRPr="00CA168C">
              <w:t>42</w:t>
            </w:r>
          </w:p>
        </w:tc>
        <w:tc>
          <w:tcPr>
            <w:tcW w:w="1235" w:type="dxa"/>
            <w:tcBorders>
              <w:top w:val="nil"/>
              <w:left w:val="nil"/>
              <w:bottom w:val="nil"/>
              <w:right w:val="nil"/>
            </w:tcBorders>
          </w:tcPr>
          <w:p w14:paraId="01A35D75" w14:textId="77777777" w:rsidR="00A2071D" w:rsidRPr="00CA168C" w:rsidRDefault="00A2071D" w:rsidP="00A2071D">
            <w:pPr>
              <w:autoSpaceDE w:val="0"/>
              <w:autoSpaceDN w:val="0"/>
              <w:adjustRightInd w:val="0"/>
              <w:contextualSpacing/>
              <w:jc w:val="center"/>
            </w:pPr>
            <w:r w:rsidRPr="00CA168C">
              <w:t>32</w:t>
            </w:r>
          </w:p>
        </w:tc>
        <w:tc>
          <w:tcPr>
            <w:tcW w:w="1223" w:type="dxa"/>
            <w:tcBorders>
              <w:top w:val="nil"/>
              <w:left w:val="nil"/>
              <w:bottom w:val="nil"/>
              <w:right w:val="nil"/>
            </w:tcBorders>
          </w:tcPr>
          <w:p w14:paraId="73450833" w14:textId="77777777" w:rsidR="00A2071D" w:rsidRPr="00CA168C" w:rsidRDefault="00A2071D" w:rsidP="00A2071D">
            <w:pPr>
              <w:autoSpaceDE w:val="0"/>
              <w:autoSpaceDN w:val="0"/>
              <w:adjustRightInd w:val="0"/>
              <w:contextualSpacing/>
              <w:jc w:val="center"/>
            </w:pPr>
            <w:r w:rsidRPr="00CA168C">
              <w:t>28</w:t>
            </w:r>
          </w:p>
        </w:tc>
        <w:tc>
          <w:tcPr>
            <w:tcW w:w="1260" w:type="dxa"/>
            <w:tcBorders>
              <w:top w:val="nil"/>
              <w:left w:val="nil"/>
              <w:bottom w:val="nil"/>
              <w:right w:val="nil"/>
            </w:tcBorders>
          </w:tcPr>
          <w:p w14:paraId="3A587D4C" w14:textId="77777777" w:rsidR="00A2071D" w:rsidRPr="00CA168C" w:rsidRDefault="00A2071D" w:rsidP="00A2071D">
            <w:pPr>
              <w:autoSpaceDE w:val="0"/>
              <w:autoSpaceDN w:val="0"/>
              <w:adjustRightInd w:val="0"/>
              <w:contextualSpacing/>
              <w:jc w:val="center"/>
            </w:pPr>
            <w:r w:rsidRPr="00CA168C">
              <w:t>88</w:t>
            </w:r>
          </w:p>
        </w:tc>
        <w:tc>
          <w:tcPr>
            <w:tcW w:w="1170" w:type="dxa"/>
            <w:tcBorders>
              <w:top w:val="nil"/>
              <w:left w:val="nil"/>
              <w:bottom w:val="nil"/>
              <w:right w:val="nil"/>
            </w:tcBorders>
          </w:tcPr>
          <w:p w14:paraId="6FCB99DC" w14:textId="77777777" w:rsidR="00A2071D" w:rsidRPr="00CA168C" w:rsidRDefault="00A2071D" w:rsidP="00A2071D">
            <w:pPr>
              <w:autoSpaceDE w:val="0"/>
              <w:autoSpaceDN w:val="0"/>
              <w:adjustRightInd w:val="0"/>
              <w:contextualSpacing/>
              <w:jc w:val="center"/>
            </w:pPr>
            <w:r w:rsidRPr="00CA168C">
              <w:t>172</w:t>
            </w:r>
          </w:p>
        </w:tc>
        <w:tc>
          <w:tcPr>
            <w:tcW w:w="1311" w:type="dxa"/>
            <w:tcBorders>
              <w:top w:val="nil"/>
              <w:left w:val="nil"/>
              <w:bottom w:val="nil"/>
              <w:right w:val="nil"/>
            </w:tcBorders>
          </w:tcPr>
          <w:p w14:paraId="70DA712C" w14:textId="77777777" w:rsidR="00A2071D" w:rsidRPr="00CA168C" w:rsidRDefault="00A2071D" w:rsidP="00A2071D">
            <w:pPr>
              <w:autoSpaceDE w:val="0"/>
              <w:autoSpaceDN w:val="0"/>
              <w:adjustRightInd w:val="0"/>
              <w:contextualSpacing/>
              <w:jc w:val="center"/>
            </w:pPr>
            <w:r w:rsidRPr="00CA168C">
              <w:t>109</w:t>
            </w:r>
          </w:p>
        </w:tc>
      </w:tr>
      <w:tr w:rsidR="00A2071D" w:rsidRPr="00B95CB4" w14:paraId="3FCF3262" w14:textId="77777777" w:rsidTr="00F555A9">
        <w:trPr>
          <w:jc w:val="center"/>
        </w:trPr>
        <w:tc>
          <w:tcPr>
            <w:tcW w:w="1463" w:type="dxa"/>
            <w:tcBorders>
              <w:top w:val="nil"/>
              <w:left w:val="nil"/>
              <w:bottom w:val="nil"/>
              <w:right w:val="nil"/>
            </w:tcBorders>
          </w:tcPr>
          <w:p w14:paraId="09EB719A" w14:textId="77777777" w:rsidR="00A2071D" w:rsidRPr="00CA168C" w:rsidRDefault="00A2071D" w:rsidP="00A2071D">
            <w:pPr>
              <w:autoSpaceDE w:val="0"/>
              <w:autoSpaceDN w:val="0"/>
              <w:adjustRightInd w:val="0"/>
              <w:contextualSpacing/>
            </w:pPr>
            <w:r w:rsidRPr="00CA168C">
              <w:t>R-squared</w:t>
            </w:r>
          </w:p>
        </w:tc>
        <w:tc>
          <w:tcPr>
            <w:tcW w:w="1440" w:type="dxa"/>
            <w:tcBorders>
              <w:top w:val="nil"/>
              <w:left w:val="nil"/>
              <w:bottom w:val="nil"/>
              <w:right w:val="nil"/>
            </w:tcBorders>
          </w:tcPr>
          <w:p w14:paraId="2871D53F" w14:textId="77777777" w:rsidR="00A2071D" w:rsidRPr="00CA168C" w:rsidRDefault="00A2071D" w:rsidP="00A2071D">
            <w:pPr>
              <w:autoSpaceDE w:val="0"/>
              <w:autoSpaceDN w:val="0"/>
              <w:adjustRightInd w:val="0"/>
              <w:contextualSpacing/>
              <w:jc w:val="center"/>
            </w:pPr>
            <w:r w:rsidRPr="00CA168C">
              <w:t>0.98</w:t>
            </w:r>
          </w:p>
        </w:tc>
        <w:tc>
          <w:tcPr>
            <w:tcW w:w="1235" w:type="dxa"/>
            <w:tcBorders>
              <w:top w:val="nil"/>
              <w:left w:val="nil"/>
              <w:bottom w:val="nil"/>
              <w:right w:val="nil"/>
            </w:tcBorders>
          </w:tcPr>
          <w:p w14:paraId="320EA37C" w14:textId="77777777" w:rsidR="00A2071D" w:rsidRPr="00CA168C" w:rsidRDefault="00A2071D" w:rsidP="00A2071D">
            <w:pPr>
              <w:autoSpaceDE w:val="0"/>
              <w:autoSpaceDN w:val="0"/>
              <w:adjustRightInd w:val="0"/>
              <w:contextualSpacing/>
              <w:jc w:val="center"/>
            </w:pPr>
            <w:r w:rsidRPr="00CA168C">
              <w:t>0.98</w:t>
            </w:r>
          </w:p>
        </w:tc>
        <w:tc>
          <w:tcPr>
            <w:tcW w:w="1223" w:type="dxa"/>
            <w:tcBorders>
              <w:top w:val="nil"/>
              <w:left w:val="nil"/>
              <w:bottom w:val="nil"/>
              <w:right w:val="nil"/>
            </w:tcBorders>
          </w:tcPr>
          <w:p w14:paraId="76A29E77" w14:textId="77777777" w:rsidR="00A2071D" w:rsidRPr="00CA168C" w:rsidRDefault="00A2071D" w:rsidP="00A2071D">
            <w:pPr>
              <w:autoSpaceDE w:val="0"/>
              <w:autoSpaceDN w:val="0"/>
              <w:adjustRightInd w:val="0"/>
              <w:contextualSpacing/>
              <w:jc w:val="center"/>
            </w:pPr>
            <w:r w:rsidRPr="00CA168C">
              <w:t>0.98</w:t>
            </w:r>
          </w:p>
        </w:tc>
        <w:tc>
          <w:tcPr>
            <w:tcW w:w="1260" w:type="dxa"/>
            <w:tcBorders>
              <w:top w:val="nil"/>
              <w:left w:val="nil"/>
              <w:bottom w:val="nil"/>
              <w:right w:val="nil"/>
            </w:tcBorders>
          </w:tcPr>
          <w:p w14:paraId="57A633F0" w14:textId="77777777" w:rsidR="00A2071D" w:rsidRPr="00CA168C" w:rsidRDefault="00A2071D" w:rsidP="00A2071D">
            <w:pPr>
              <w:autoSpaceDE w:val="0"/>
              <w:autoSpaceDN w:val="0"/>
              <w:adjustRightInd w:val="0"/>
              <w:contextualSpacing/>
              <w:jc w:val="center"/>
            </w:pPr>
            <w:r w:rsidRPr="00CA168C">
              <w:t>0.98</w:t>
            </w:r>
          </w:p>
        </w:tc>
        <w:tc>
          <w:tcPr>
            <w:tcW w:w="1170" w:type="dxa"/>
            <w:tcBorders>
              <w:top w:val="nil"/>
              <w:left w:val="nil"/>
              <w:bottom w:val="nil"/>
              <w:right w:val="nil"/>
            </w:tcBorders>
          </w:tcPr>
          <w:p w14:paraId="1E237002" w14:textId="77777777" w:rsidR="00A2071D" w:rsidRPr="00CA168C" w:rsidRDefault="00A2071D" w:rsidP="00A2071D">
            <w:pPr>
              <w:autoSpaceDE w:val="0"/>
              <w:autoSpaceDN w:val="0"/>
              <w:adjustRightInd w:val="0"/>
              <w:contextualSpacing/>
              <w:jc w:val="center"/>
            </w:pPr>
            <w:r w:rsidRPr="00CA168C">
              <w:t>0.86</w:t>
            </w:r>
          </w:p>
        </w:tc>
        <w:tc>
          <w:tcPr>
            <w:tcW w:w="1311" w:type="dxa"/>
            <w:tcBorders>
              <w:top w:val="nil"/>
              <w:left w:val="nil"/>
              <w:bottom w:val="nil"/>
              <w:right w:val="nil"/>
            </w:tcBorders>
          </w:tcPr>
          <w:p w14:paraId="508CACD4" w14:textId="77777777" w:rsidR="00A2071D" w:rsidRPr="00CA168C" w:rsidRDefault="00A2071D" w:rsidP="00A2071D">
            <w:pPr>
              <w:autoSpaceDE w:val="0"/>
              <w:autoSpaceDN w:val="0"/>
              <w:adjustRightInd w:val="0"/>
              <w:contextualSpacing/>
              <w:jc w:val="center"/>
            </w:pPr>
            <w:r w:rsidRPr="00CA168C">
              <w:t>0.78</w:t>
            </w:r>
          </w:p>
        </w:tc>
      </w:tr>
      <w:tr w:rsidR="00A2071D" w:rsidRPr="00B95CB4" w14:paraId="0B084CAD" w14:textId="77777777" w:rsidTr="00F555A9">
        <w:tblPrEx>
          <w:tblBorders>
            <w:bottom w:val="single" w:sz="6" w:space="0" w:color="auto"/>
          </w:tblBorders>
        </w:tblPrEx>
        <w:trPr>
          <w:jc w:val="center"/>
        </w:trPr>
        <w:tc>
          <w:tcPr>
            <w:tcW w:w="1463" w:type="dxa"/>
            <w:tcBorders>
              <w:top w:val="nil"/>
              <w:left w:val="nil"/>
              <w:bottom w:val="single" w:sz="6" w:space="0" w:color="auto"/>
              <w:right w:val="nil"/>
            </w:tcBorders>
          </w:tcPr>
          <w:p w14:paraId="0ACCACA0" w14:textId="77777777" w:rsidR="00A2071D" w:rsidRPr="00CA168C" w:rsidRDefault="00A2071D" w:rsidP="00A2071D">
            <w:pPr>
              <w:autoSpaceDE w:val="0"/>
              <w:autoSpaceDN w:val="0"/>
              <w:adjustRightInd w:val="0"/>
              <w:contextualSpacing/>
            </w:pPr>
            <w:r w:rsidRPr="00CA168C">
              <w:t>Br. Pound</w:t>
            </w:r>
          </w:p>
        </w:tc>
        <w:tc>
          <w:tcPr>
            <w:tcW w:w="1440" w:type="dxa"/>
            <w:tcBorders>
              <w:top w:val="nil"/>
              <w:left w:val="nil"/>
              <w:bottom w:val="single" w:sz="6" w:space="0" w:color="auto"/>
              <w:right w:val="nil"/>
            </w:tcBorders>
          </w:tcPr>
          <w:p w14:paraId="6907337D" w14:textId="77777777" w:rsidR="00A2071D" w:rsidRPr="00CA168C" w:rsidRDefault="00A2071D" w:rsidP="00A2071D">
            <w:pPr>
              <w:autoSpaceDE w:val="0"/>
              <w:autoSpaceDN w:val="0"/>
              <w:adjustRightInd w:val="0"/>
              <w:contextualSpacing/>
              <w:jc w:val="center"/>
            </w:pPr>
            <w:r w:rsidRPr="00CA168C">
              <w:t>0.02</w:t>
            </w:r>
          </w:p>
        </w:tc>
        <w:tc>
          <w:tcPr>
            <w:tcW w:w="1235" w:type="dxa"/>
            <w:tcBorders>
              <w:top w:val="nil"/>
              <w:left w:val="nil"/>
              <w:bottom w:val="single" w:sz="6" w:space="0" w:color="auto"/>
              <w:right w:val="nil"/>
            </w:tcBorders>
          </w:tcPr>
          <w:p w14:paraId="544F398C" w14:textId="77777777" w:rsidR="00A2071D" w:rsidRPr="00CA168C" w:rsidRDefault="00A2071D" w:rsidP="00A2071D">
            <w:pPr>
              <w:autoSpaceDE w:val="0"/>
              <w:autoSpaceDN w:val="0"/>
              <w:adjustRightInd w:val="0"/>
              <w:contextualSpacing/>
              <w:jc w:val="center"/>
            </w:pPr>
            <w:r w:rsidRPr="00CA168C">
              <w:t>-0.06</w:t>
            </w:r>
          </w:p>
        </w:tc>
        <w:tc>
          <w:tcPr>
            <w:tcW w:w="1223" w:type="dxa"/>
            <w:tcBorders>
              <w:top w:val="nil"/>
              <w:left w:val="nil"/>
              <w:bottom w:val="single" w:sz="6" w:space="0" w:color="auto"/>
              <w:right w:val="nil"/>
            </w:tcBorders>
          </w:tcPr>
          <w:p w14:paraId="7E5F825A" w14:textId="77777777" w:rsidR="00A2071D" w:rsidRPr="00CA168C" w:rsidRDefault="00A2071D" w:rsidP="00A2071D">
            <w:pPr>
              <w:autoSpaceDE w:val="0"/>
              <w:autoSpaceDN w:val="0"/>
              <w:adjustRightInd w:val="0"/>
              <w:contextualSpacing/>
              <w:jc w:val="center"/>
            </w:pPr>
            <w:r w:rsidRPr="00CA168C">
              <w:t>0.06</w:t>
            </w:r>
          </w:p>
        </w:tc>
        <w:tc>
          <w:tcPr>
            <w:tcW w:w="1260" w:type="dxa"/>
            <w:tcBorders>
              <w:top w:val="nil"/>
              <w:left w:val="nil"/>
              <w:bottom w:val="single" w:sz="6" w:space="0" w:color="auto"/>
              <w:right w:val="nil"/>
            </w:tcBorders>
          </w:tcPr>
          <w:p w14:paraId="3118B660" w14:textId="77777777" w:rsidR="00A2071D" w:rsidRPr="00CA168C" w:rsidRDefault="00A2071D" w:rsidP="00A2071D">
            <w:pPr>
              <w:autoSpaceDE w:val="0"/>
              <w:autoSpaceDN w:val="0"/>
              <w:adjustRightInd w:val="0"/>
              <w:contextualSpacing/>
              <w:jc w:val="center"/>
            </w:pPr>
            <w:r w:rsidRPr="00CA168C">
              <w:t>0.03</w:t>
            </w:r>
          </w:p>
        </w:tc>
        <w:tc>
          <w:tcPr>
            <w:tcW w:w="1170" w:type="dxa"/>
            <w:tcBorders>
              <w:top w:val="nil"/>
              <w:left w:val="nil"/>
              <w:bottom w:val="single" w:sz="6" w:space="0" w:color="auto"/>
              <w:right w:val="nil"/>
            </w:tcBorders>
          </w:tcPr>
          <w:p w14:paraId="1C194822" w14:textId="77777777" w:rsidR="00A2071D" w:rsidRPr="00CA168C" w:rsidRDefault="00A2071D" w:rsidP="00A2071D">
            <w:pPr>
              <w:autoSpaceDE w:val="0"/>
              <w:autoSpaceDN w:val="0"/>
              <w:adjustRightInd w:val="0"/>
              <w:contextualSpacing/>
              <w:jc w:val="center"/>
            </w:pPr>
            <w:r w:rsidRPr="00CA168C">
              <w:t>-0.01</w:t>
            </w:r>
          </w:p>
        </w:tc>
        <w:tc>
          <w:tcPr>
            <w:tcW w:w="1311" w:type="dxa"/>
            <w:tcBorders>
              <w:top w:val="nil"/>
              <w:left w:val="nil"/>
              <w:bottom w:val="single" w:sz="6" w:space="0" w:color="auto"/>
              <w:right w:val="nil"/>
            </w:tcBorders>
          </w:tcPr>
          <w:p w14:paraId="10F1103A" w14:textId="77777777" w:rsidR="00A2071D" w:rsidRPr="00CA168C" w:rsidRDefault="00A2071D" w:rsidP="00A2071D">
            <w:pPr>
              <w:autoSpaceDE w:val="0"/>
              <w:autoSpaceDN w:val="0"/>
              <w:adjustRightInd w:val="0"/>
              <w:contextualSpacing/>
              <w:jc w:val="center"/>
            </w:pPr>
            <w:r w:rsidRPr="00CA168C">
              <w:t>0.08</w:t>
            </w:r>
          </w:p>
        </w:tc>
      </w:tr>
    </w:tbl>
    <w:p w14:paraId="587246E3" w14:textId="77777777" w:rsidR="00A2071D" w:rsidRDefault="00A2071D" w:rsidP="00F555A9">
      <w:pPr>
        <w:autoSpaceDE w:val="0"/>
        <w:autoSpaceDN w:val="0"/>
        <w:adjustRightInd w:val="0"/>
        <w:spacing w:after="0"/>
      </w:pPr>
      <w:r>
        <w:rPr>
          <w:rFonts w:hint="eastAsia"/>
        </w:rPr>
        <w:t>Not</w:t>
      </w:r>
      <w:r>
        <w:t>es:</w:t>
      </w:r>
      <w:r w:rsidR="00F555A9">
        <w:t xml:space="preserve">  </w:t>
      </w:r>
      <w:r w:rsidRPr="00CA168C">
        <w:rPr>
          <w:rFonts w:hint="eastAsia"/>
          <w:i/>
        </w:rPr>
        <w:t>△</w:t>
      </w:r>
      <w:r w:rsidRPr="00CA168C">
        <w:rPr>
          <w:i/>
        </w:rPr>
        <w:t>EMP</w:t>
      </w:r>
      <w:r w:rsidRPr="00CA168C">
        <w:t xml:space="preserve"> is the exchange rate market pressure variable, which is defined as the percentage increase in the value of the local currency plus the increase in reserves (scaled by the monetary base)</w:t>
      </w:r>
    </w:p>
    <w:p w14:paraId="33165B97" w14:textId="77777777" w:rsidR="00D51A7E" w:rsidRDefault="00A2071D" w:rsidP="00D51A7E">
      <w:pPr>
        <w:widowControl w:val="0"/>
        <w:autoSpaceDE w:val="0"/>
        <w:autoSpaceDN w:val="0"/>
        <w:adjustRightInd w:val="0"/>
        <w:spacing w:after="0"/>
        <w:ind w:left="960"/>
        <w:jc w:val="both"/>
      </w:pPr>
      <w:r>
        <w:t xml:space="preserve"> </w:t>
      </w:r>
      <w:r w:rsidR="00D51A7E">
        <w:t xml:space="preserve">     </w:t>
      </w:r>
      <w:r w:rsidRPr="00CA168C">
        <w:rPr>
          <w:position w:val="-30"/>
        </w:rPr>
        <w:object w:dxaOrig="4400" w:dyaOrig="700" w14:anchorId="685C2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pt;height:29.25pt" o:ole="">
            <v:imagedata r:id="rId14" o:title=""/>
          </v:shape>
          <o:OLEObject Type="Embed" ProgID="Equation.3" ShapeID="_x0000_i1025" DrawAspect="Content" ObjectID="_1556385747" r:id="rId15"/>
        </w:object>
      </w:r>
      <w:r w:rsidR="00D51A7E">
        <w:t xml:space="preserve">   </w:t>
      </w:r>
      <w:r w:rsidRPr="00CA168C">
        <w:t>All data are weekly</w:t>
      </w:r>
      <w:r w:rsidR="008551E5">
        <w:t xml:space="preserve">.  </w:t>
      </w:r>
    </w:p>
    <w:p w14:paraId="7BC4839F" w14:textId="77777777" w:rsidR="00A2071D" w:rsidRPr="00D51A7E" w:rsidRDefault="00A2071D" w:rsidP="00D51A7E">
      <w:pPr>
        <w:widowControl w:val="0"/>
        <w:autoSpaceDE w:val="0"/>
        <w:autoSpaceDN w:val="0"/>
        <w:adjustRightInd w:val="0"/>
        <w:spacing w:after="0"/>
        <w:ind w:left="960" w:firstLine="305"/>
        <w:jc w:val="both"/>
      </w:pPr>
      <w:r w:rsidRPr="00CA168C">
        <w:t>*** p&lt;0.01, ** p&lt;0.05, * p&lt;0.1</w:t>
      </w:r>
      <w:r w:rsidR="00D51A7E">
        <w:t xml:space="preserve">  (</w:t>
      </w:r>
      <w:r w:rsidR="00D51A7E" w:rsidRPr="00CA168C">
        <w:t>Robust</w:t>
      </w:r>
      <w:r w:rsidR="00D51A7E">
        <w:t xml:space="preserve"> standard errors in parentheses.)</w:t>
      </w:r>
    </w:p>
    <w:p w14:paraId="3CFA6DD0" w14:textId="77777777" w:rsidR="00A2071D" w:rsidRDefault="008551E5" w:rsidP="008551E5">
      <w:pPr>
        <w:ind w:left="1265"/>
        <w:rPr>
          <w:sz w:val="20"/>
          <w:szCs w:val="20"/>
        </w:rPr>
      </w:pPr>
      <w:r>
        <w:rPr>
          <w:sz w:val="2"/>
          <w:szCs w:val="2"/>
        </w:rPr>
        <w:br/>
      </w:r>
      <w:r w:rsidR="00EF4739" w:rsidRPr="00EF4739">
        <w:rPr>
          <w:sz w:val="20"/>
          <w:szCs w:val="20"/>
        </w:rPr>
        <w:t>Source: Frankel and Xie (2011).</w:t>
      </w:r>
      <w:r w:rsidR="00EF4739">
        <w:rPr>
          <w:sz w:val="20"/>
          <w:szCs w:val="20"/>
        </w:rPr>
        <w:br/>
      </w:r>
    </w:p>
    <w:p w14:paraId="172A7B87" w14:textId="693C0514" w:rsidR="00E32A55" w:rsidRPr="00A471BB" w:rsidRDefault="00881181" w:rsidP="00986314">
      <w:pPr>
        <w:ind w:firstLine="720"/>
        <w:rPr>
          <w:sz w:val="24"/>
          <w:szCs w:val="24"/>
        </w:rPr>
      </w:pPr>
      <w:r>
        <w:rPr>
          <w:sz w:val="24"/>
          <w:szCs w:val="24"/>
        </w:rPr>
        <w:lastRenderedPageBreak/>
        <w:t>We hope t</w:t>
      </w:r>
      <w:r w:rsidR="00A471BB">
        <w:rPr>
          <w:sz w:val="24"/>
          <w:szCs w:val="24"/>
        </w:rPr>
        <w:t xml:space="preserve">o </w:t>
      </w:r>
      <w:r w:rsidR="00A471BB" w:rsidRPr="002F0B8D">
        <w:rPr>
          <w:sz w:val="24"/>
          <w:szCs w:val="24"/>
        </w:rPr>
        <w:t>exten</w:t>
      </w:r>
      <w:r w:rsidR="002F0B8D" w:rsidRPr="002F0B8D">
        <w:rPr>
          <w:sz w:val="24"/>
          <w:szCs w:val="24"/>
        </w:rPr>
        <w:t>d</w:t>
      </w:r>
      <w:r w:rsidR="00A471BB">
        <w:rPr>
          <w:sz w:val="24"/>
          <w:szCs w:val="24"/>
        </w:rPr>
        <w:t xml:space="preserve"> this research</w:t>
      </w:r>
      <w:r>
        <w:rPr>
          <w:sz w:val="24"/>
          <w:szCs w:val="24"/>
        </w:rPr>
        <w:t xml:space="preserve"> further</w:t>
      </w:r>
      <w:r w:rsidR="00A471BB">
        <w:rPr>
          <w:sz w:val="24"/>
          <w:szCs w:val="24"/>
        </w:rPr>
        <w:t xml:space="preserve"> -- </w:t>
      </w:r>
      <w:r w:rsidR="00490FAF">
        <w:rPr>
          <w:sz w:val="24"/>
          <w:szCs w:val="24"/>
        </w:rPr>
        <w:t xml:space="preserve">Frankel and Xie (2017) </w:t>
      </w:r>
      <w:r w:rsidR="00A471BB">
        <w:rPr>
          <w:sz w:val="24"/>
          <w:szCs w:val="24"/>
        </w:rPr>
        <w:t xml:space="preserve">-- </w:t>
      </w:r>
      <w:r w:rsidR="00490FAF">
        <w:rPr>
          <w:sz w:val="24"/>
          <w:szCs w:val="24"/>
        </w:rPr>
        <w:t xml:space="preserve">by incorporating estimation </w:t>
      </w:r>
      <w:r w:rsidR="00A471BB">
        <w:rPr>
          <w:sz w:val="24"/>
          <w:szCs w:val="24"/>
        </w:rPr>
        <w:t>of a possible target zone</w:t>
      </w:r>
      <w:r w:rsidR="00EF4739">
        <w:rPr>
          <w:sz w:val="24"/>
          <w:szCs w:val="24"/>
        </w:rPr>
        <w:t>, appropriate for a country that might be following a band or target zone</w:t>
      </w:r>
      <w:r w:rsidR="008551E5">
        <w:rPr>
          <w:sz w:val="24"/>
          <w:szCs w:val="24"/>
        </w:rPr>
        <w:t xml:space="preserve">, </w:t>
      </w:r>
      <w:r w:rsidR="00FA6BE7">
        <w:rPr>
          <w:sz w:val="24"/>
          <w:szCs w:val="24"/>
        </w:rPr>
        <w:t>perhaps together with a basket</w:t>
      </w:r>
      <w:r w:rsidR="00490FAF">
        <w:rPr>
          <w:sz w:val="24"/>
          <w:szCs w:val="24"/>
        </w:rPr>
        <w:t xml:space="preserve">.  </w:t>
      </w:r>
      <w:r w:rsidR="00A471BB">
        <w:rPr>
          <w:sz w:val="24"/>
          <w:szCs w:val="24"/>
        </w:rPr>
        <w:t xml:space="preserve"> The target zone is incorporated into the equation by means of the Thre</w:t>
      </w:r>
      <w:r w:rsidR="00986314">
        <w:rPr>
          <w:sz w:val="24"/>
          <w:szCs w:val="24"/>
        </w:rPr>
        <w:t xml:space="preserve">shold Autoregression Technique. </w:t>
      </w:r>
    </w:p>
    <w:p w14:paraId="53D19C05" w14:textId="77777777" w:rsidR="00E32A55" w:rsidRDefault="00E32A55" w:rsidP="00AB766C">
      <w:pPr>
        <w:pStyle w:val="ListParagraph"/>
        <w:ind w:left="1440"/>
        <w:rPr>
          <w:sz w:val="24"/>
          <w:szCs w:val="24"/>
        </w:rPr>
      </w:pPr>
    </w:p>
    <w:p w14:paraId="025A2EEC" w14:textId="77777777" w:rsidR="00F22703" w:rsidRDefault="00F22703" w:rsidP="00AB766C">
      <w:pPr>
        <w:pStyle w:val="ListParagraph"/>
        <w:ind w:left="1440"/>
        <w:rPr>
          <w:sz w:val="24"/>
          <w:szCs w:val="24"/>
        </w:rPr>
      </w:pPr>
    </w:p>
    <w:p w14:paraId="2B5B4B94" w14:textId="77777777" w:rsidR="00E32A55" w:rsidRDefault="00E32A55" w:rsidP="00AB766C">
      <w:pPr>
        <w:pStyle w:val="ListParagraph"/>
        <w:ind w:left="1440"/>
        <w:rPr>
          <w:sz w:val="24"/>
          <w:szCs w:val="24"/>
        </w:rPr>
      </w:pPr>
    </w:p>
    <w:p w14:paraId="0AFDF325" w14:textId="53A88098" w:rsidR="005B4F6E" w:rsidRPr="00F22703" w:rsidRDefault="00A471BB" w:rsidP="00F22703">
      <w:pPr>
        <w:pStyle w:val="ListParagraph"/>
        <w:numPr>
          <w:ilvl w:val="1"/>
          <w:numId w:val="1"/>
        </w:numPr>
        <w:rPr>
          <w:b/>
          <w:sz w:val="24"/>
          <w:szCs w:val="24"/>
        </w:rPr>
      </w:pPr>
      <w:r w:rsidRPr="009B3044">
        <w:rPr>
          <w:b/>
          <w:sz w:val="24"/>
          <w:szCs w:val="24"/>
        </w:rPr>
        <w:t>How do</w:t>
      </w:r>
      <w:r w:rsidR="002B195B" w:rsidRPr="009B3044">
        <w:rPr>
          <w:b/>
          <w:sz w:val="24"/>
          <w:szCs w:val="24"/>
        </w:rPr>
        <w:t xml:space="preserve"> the</w:t>
      </w:r>
      <w:r w:rsidRPr="009B3044">
        <w:rPr>
          <w:b/>
          <w:sz w:val="24"/>
          <w:szCs w:val="24"/>
        </w:rPr>
        <w:t>se</w:t>
      </w:r>
      <w:r w:rsidR="002B195B" w:rsidRPr="009B3044">
        <w:rPr>
          <w:b/>
          <w:sz w:val="24"/>
          <w:szCs w:val="24"/>
        </w:rPr>
        <w:t xml:space="preserve"> analys</w:t>
      </w:r>
      <w:r w:rsidRPr="009B3044">
        <w:rPr>
          <w:b/>
          <w:sz w:val="24"/>
          <w:szCs w:val="24"/>
        </w:rPr>
        <w:t>e</w:t>
      </w:r>
      <w:r w:rsidR="002B195B" w:rsidRPr="009B3044">
        <w:rPr>
          <w:b/>
          <w:sz w:val="24"/>
          <w:szCs w:val="24"/>
        </w:rPr>
        <w:t>s depend on the use of intervention data versus reserve changes?  The case of Turkey</w:t>
      </w:r>
    </w:p>
    <w:p w14:paraId="4B6597E6" w14:textId="7B1ECD91" w:rsidR="0042142F" w:rsidRPr="00D173F6" w:rsidRDefault="0042142F" w:rsidP="0042142F">
      <w:pPr>
        <w:ind w:firstLine="720"/>
        <w:rPr>
          <w:sz w:val="24"/>
          <w:szCs w:val="24"/>
        </w:rPr>
      </w:pPr>
      <w:r w:rsidRPr="00D173F6">
        <w:rPr>
          <w:sz w:val="24"/>
          <w:szCs w:val="24"/>
        </w:rPr>
        <w:t xml:space="preserve">It is easy enough to write down in theory that the magnitude of foreign exchange intervention equals the change in reserves.  Many central banks do not report data on foreign exchange intervention operations, as opposed to data on reserves.  For this reason, although empirical research on foreign exchange intervention per se </w:t>
      </w:r>
      <w:r w:rsidR="007B7DAE">
        <w:rPr>
          <w:sz w:val="24"/>
          <w:szCs w:val="24"/>
        </w:rPr>
        <w:t xml:space="preserve">usually </w:t>
      </w:r>
      <w:r w:rsidR="008605CF" w:rsidRPr="00D173F6">
        <w:rPr>
          <w:sz w:val="24"/>
          <w:szCs w:val="24"/>
        </w:rPr>
        <w:t>focuses</w:t>
      </w:r>
      <w:r w:rsidR="008605CF">
        <w:rPr>
          <w:sz w:val="24"/>
          <w:szCs w:val="24"/>
        </w:rPr>
        <w:t xml:space="preserve"> </w:t>
      </w:r>
      <w:r w:rsidRPr="00D173F6">
        <w:rPr>
          <w:sz w:val="24"/>
          <w:szCs w:val="24"/>
        </w:rPr>
        <w:t>on the few countries and time samples where the</w:t>
      </w:r>
      <w:r w:rsidR="007B7DAE">
        <w:rPr>
          <w:sz w:val="24"/>
          <w:szCs w:val="24"/>
        </w:rPr>
        <w:t xml:space="preserve"> data are available, the </w:t>
      </w:r>
      <w:r w:rsidRPr="00D173F6">
        <w:rPr>
          <w:sz w:val="24"/>
          <w:szCs w:val="24"/>
        </w:rPr>
        <w:t xml:space="preserve">literature on exchange rate regimes often uses data on monthly changes in reserves, which are reported by almost all countries.  </w:t>
      </w:r>
    </w:p>
    <w:p w14:paraId="13813B02" w14:textId="77777777" w:rsidR="0042142F" w:rsidRPr="00D173F6" w:rsidRDefault="0042142F" w:rsidP="0042142F">
      <w:pPr>
        <w:ind w:firstLine="720"/>
        <w:rPr>
          <w:sz w:val="24"/>
          <w:szCs w:val="24"/>
        </w:rPr>
      </w:pPr>
      <w:r w:rsidRPr="00D173F6">
        <w:rPr>
          <w:sz w:val="24"/>
          <w:szCs w:val="24"/>
        </w:rPr>
        <w:t>In practice, data on intervention, even when explicitly reported, tend to look very different from data on changes in foreign exchange reserves.   In this section we seek to shed light on the question how much difference it makes whether one uses data on intervention or foreign exchange in</w:t>
      </w:r>
      <w:r w:rsidR="008605CF">
        <w:rPr>
          <w:sz w:val="24"/>
          <w:szCs w:val="24"/>
        </w:rPr>
        <w:t>tervention, when assessing whether</w:t>
      </w:r>
      <w:r w:rsidRPr="00D173F6">
        <w:rPr>
          <w:sz w:val="24"/>
          <w:szCs w:val="24"/>
        </w:rPr>
        <w:t xml:space="preserve"> a country </w:t>
      </w:r>
      <w:r w:rsidR="008605CF">
        <w:rPr>
          <w:sz w:val="24"/>
          <w:szCs w:val="24"/>
        </w:rPr>
        <w:t>follows a systematically managed float</w:t>
      </w:r>
      <w:r w:rsidRPr="00D173F6">
        <w:rPr>
          <w:sz w:val="24"/>
          <w:szCs w:val="24"/>
        </w:rPr>
        <w:t>.</w:t>
      </w:r>
    </w:p>
    <w:p w14:paraId="5FC17725" w14:textId="77777777" w:rsidR="0042142F" w:rsidRPr="00D173F6" w:rsidRDefault="0042142F" w:rsidP="0042142F">
      <w:pPr>
        <w:ind w:firstLine="720"/>
        <w:rPr>
          <w:sz w:val="24"/>
          <w:szCs w:val="24"/>
        </w:rPr>
      </w:pPr>
      <w:r w:rsidRPr="00D173F6">
        <w:rPr>
          <w:sz w:val="24"/>
          <w:szCs w:val="24"/>
        </w:rPr>
        <w:t xml:space="preserve">There are two obvious reasons to expect the data on foreign exchange intervention to differ from the data on changes in foreign exchange reserves, reasons why reserves will change even if there has been no intervention.  The first is that interest accrues on the central bank’s holdings of US treasury bills and other assets held as foreign exchange reserves.  The second is the valuation effect:   If the value of reserves is measured in terms of domestic currency, it will change every time the exchange rate changes.   </w:t>
      </w:r>
    </w:p>
    <w:p w14:paraId="1C04A1DB" w14:textId="1C01320A" w:rsidR="0042142F" w:rsidRPr="00D173F6" w:rsidRDefault="0042142F" w:rsidP="0042142F">
      <w:pPr>
        <w:ind w:firstLine="720"/>
        <w:rPr>
          <w:sz w:val="24"/>
          <w:szCs w:val="24"/>
        </w:rPr>
      </w:pPr>
      <w:r w:rsidRPr="00D173F6">
        <w:rPr>
          <w:sz w:val="24"/>
          <w:szCs w:val="24"/>
        </w:rPr>
        <w:t xml:space="preserve">Even when the monetary authority does not report the value of reserves in terms of foreign currency, if all the reserves are known to be held in US treasury bills the researcher can use the monthly exchange rate to infer how much of a reported change in reserves is due to the pure valuation effect.  But most central banks hold at least some of their reserves in other assets and few if any </w:t>
      </w:r>
      <w:r w:rsidR="007B7DAE">
        <w:rPr>
          <w:sz w:val="24"/>
          <w:szCs w:val="24"/>
        </w:rPr>
        <w:t xml:space="preserve">accommodate researchers by </w:t>
      </w:r>
      <w:r w:rsidRPr="00D173F6">
        <w:rPr>
          <w:sz w:val="24"/>
          <w:szCs w:val="24"/>
        </w:rPr>
        <w:t>report</w:t>
      </w:r>
      <w:r w:rsidR="007B7DAE">
        <w:rPr>
          <w:sz w:val="24"/>
          <w:szCs w:val="24"/>
        </w:rPr>
        <w:t>ing</w:t>
      </w:r>
      <w:r w:rsidRPr="00D173F6">
        <w:rPr>
          <w:sz w:val="24"/>
          <w:szCs w:val="24"/>
        </w:rPr>
        <w:t xml:space="preserve"> the currency composition.  Furthermore it has become more common in recent years for central banks to diversify out of US treasury bills, not just into other non-US currencies but also into other securities, such as longer-term bonds and even equities in some cases.  This exacerbates each of the two measurement problems:  earnings on the reserves</w:t>
      </w:r>
      <w:r w:rsidR="007B7DAE">
        <w:rPr>
          <w:sz w:val="24"/>
          <w:szCs w:val="24"/>
        </w:rPr>
        <w:t xml:space="preserve"> </w:t>
      </w:r>
      <w:r w:rsidRPr="00D173F6">
        <w:rPr>
          <w:sz w:val="24"/>
          <w:szCs w:val="24"/>
        </w:rPr>
        <w:t xml:space="preserve">are generally higher on these alternate </w:t>
      </w:r>
      <w:r w:rsidRPr="00D173F6">
        <w:rPr>
          <w:sz w:val="24"/>
          <w:szCs w:val="24"/>
        </w:rPr>
        <w:lastRenderedPageBreak/>
        <w:t>assets than on US treasury bills</w:t>
      </w:r>
      <w:r w:rsidR="00216663">
        <w:rPr>
          <w:sz w:val="24"/>
          <w:szCs w:val="24"/>
        </w:rPr>
        <w:t>,</w:t>
      </w:r>
      <w:r w:rsidRPr="00D173F6">
        <w:rPr>
          <w:sz w:val="24"/>
          <w:szCs w:val="24"/>
        </w:rPr>
        <w:t xml:space="preserve"> and valuation effects now include capital gains and losses on securities be</w:t>
      </w:r>
      <w:r w:rsidR="00216663">
        <w:rPr>
          <w:sz w:val="24"/>
          <w:szCs w:val="24"/>
        </w:rPr>
        <w:t>yond just exchange rate changes</w:t>
      </w:r>
      <w:r w:rsidRPr="00D173F6">
        <w:rPr>
          <w:sz w:val="24"/>
          <w:szCs w:val="24"/>
        </w:rPr>
        <w:t>.</w:t>
      </w:r>
    </w:p>
    <w:p w14:paraId="78C2191C" w14:textId="77777777" w:rsidR="0042142F" w:rsidRPr="00D173F6" w:rsidRDefault="0042142F" w:rsidP="0042142F">
      <w:pPr>
        <w:ind w:firstLine="720"/>
        <w:rPr>
          <w:sz w:val="24"/>
          <w:szCs w:val="24"/>
        </w:rPr>
      </w:pPr>
      <w:r w:rsidRPr="00D173F6">
        <w:rPr>
          <w:sz w:val="24"/>
          <w:szCs w:val="24"/>
        </w:rPr>
        <w:t xml:space="preserve">When one looks into the data one always finds a variety of further complications, </w:t>
      </w:r>
      <w:r w:rsidR="005E5114">
        <w:rPr>
          <w:sz w:val="24"/>
          <w:szCs w:val="24"/>
        </w:rPr>
        <w:t>some</w:t>
      </w:r>
      <w:r w:rsidRPr="00D173F6">
        <w:rPr>
          <w:sz w:val="24"/>
          <w:szCs w:val="24"/>
        </w:rPr>
        <w:t xml:space="preserve"> of which suggest that what counts as intervention is not just an issue of having access to the right data, but can be an issue of conceptual interpretation too.  To take an example, some developing countries have official agencies that sell the country’s commodity exports for dollars.  If the agency chooses to hold the dollars (e.g., in a sovereign wealth fund), rather than exchange them for the local currency, does that count as foreign exchange intervention or as the absence of foreign exchange intervention?  Something analogous apparently holds in the case of Turkey, a country to which we are about to turn: an official agency holds dollars fo</w:t>
      </w:r>
      <w:r w:rsidR="005E5114">
        <w:rPr>
          <w:sz w:val="24"/>
          <w:szCs w:val="24"/>
        </w:rPr>
        <w:t>r the purpose of importing oil.</w:t>
      </w:r>
    </w:p>
    <w:p w14:paraId="494A3D1C" w14:textId="77777777" w:rsidR="0042142F" w:rsidRPr="00D173F6" w:rsidRDefault="0042142F" w:rsidP="0042142F">
      <w:pPr>
        <w:ind w:firstLine="720"/>
        <w:rPr>
          <w:sz w:val="24"/>
          <w:szCs w:val="24"/>
        </w:rPr>
      </w:pPr>
      <w:r w:rsidRPr="00D173F6">
        <w:rPr>
          <w:sz w:val="24"/>
          <w:szCs w:val="24"/>
        </w:rPr>
        <w:t>We turn to Turkey because it is one of the only managed floaters that also regularly makes public its data on foreign exchange intervention</w:t>
      </w:r>
      <w:r w:rsidR="001938BD">
        <w:rPr>
          <w:sz w:val="24"/>
          <w:szCs w:val="24"/>
        </w:rPr>
        <w:t>. M</w:t>
      </w:r>
      <w:r w:rsidRPr="00D173F6">
        <w:rPr>
          <w:sz w:val="24"/>
          <w:szCs w:val="24"/>
        </w:rPr>
        <w:t>ost countries only publish monthly da</w:t>
      </w:r>
      <w:r w:rsidR="001938BD">
        <w:rPr>
          <w:sz w:val="24"/>
          <w:szCs w:val="24"/>
        </w:rPr>
        <w:t>ta on foreign exchange reserves</w:t>
      </w:r>
      <w:r w:rsidRPr="00D173F6">
        <w:rPr>
          <w:sz w:val="24"/>
          <w:szCs w:val="24"/>
        </w:rPr>
        <w:t xml:space="preserve">.  </w:t>
      </w:r>
    </w:p>
    <w:p w14:paraId="4017316A" w14:textId="0F041DDB" w:rsidR="0042142F" w:rsidRPr="00D173F6" w:rsidRDefault="0042142F" w:rsidP="0042142F">
      <w:pPr>
        <w:ind w:firstLine="720"/>
        <w:rPr>
          <w:sz w:val="24"/>
          <w:szCs w:val="24"/>
        </w:rPr>
      </w:pPr>
      <w:r w:rsidRPr="00D173F6">
        <w:rPr>
          <w:sz w:val="24"/>
          <w:szCs w:val="24"/>
        </w:rPr>
        <w:t xml:space="preserve">We want to see how much difference it makes when studying the central bank’s behavior with respect to the foreign exchange market whether one uses intervention data or reserve changes.  We know that the two series will differ.  But, in the context of classifying countries by exchange rate regime, we want to be able to distinguish within the broad class of floaters those that systematically manage their floats, versus those that float freely or only intervene unsystematically.  To do that, we want to </w:t>
      </w:r>
      <w:r w:rsidR="007B7DAE">
        <w:rPr>
          <w:sz w:val="24"/>
          <w:szCs w:val="24"/>
        </w:rPr>
        <w:t>get an idea</w:t>
      </w:r>
      <w:r w:rsidRPr="00D173F6">
        <w:rPr>
          <w:sz w:val="24"/>
          <w:szCs w:val="24"/>
        </w:rPr>
        <w:t xml:space="preserve"> whether it makes a difference whether one uses the reserve data versus the intervention data.</w:t>
      </w:r>
    </w:p>
    <w:p w14:paraId="54CF8BF8" w14:textId="4226A4D6" w:rsidR="0042142F" w:rsidRPr="00D173F6" w:rsidRDefault="0042142F" w:rsidP="0042142F">
      <w:pPr>
        <w:ind w:firstLine="720"/>
        <w:rPr>
          <w:sz w:val="24"/>
          <w:szCs w:val="24"/>
        </w:rPr>
      </w:pPr>
      <w:r w:rsidRPr="00D173F6">
        <w:rPr>
          <w:sz w:val="24"/>
          <w:szCs w:val="24"/>
        </w:rPr>
        <w:t>It might be natural to think of the exercise as seeing whether the commonly available reserve data give the “right answer” represented by the more rarely available intervention data.  But one could argue, in the context of classifying exchange rate regimes, that the foreign exchange reserves have at least as much a claim to being the right measure as intervention data.   Recall the framework for thinking about the continuum of fixed versus flexible exchange rates that goes under the name of Exchange Market Pressure.   Exchange Market Pressure (EMP) is defined as a weighted average of the percentage change in the foreign exchange value of the currency and the change in foreign exchange reserves (where the weight on foreign exchange reserves m</w:t>
      </w:r>
      <w:r w:rsidR="007B7DAE">
        <w:rPr>
          <w:sz w:val="24"/>
          <w:szCs w:val="24"/>
        </w:rPr>
        <w:t xml:space="preserve">ight variously be </w:t>
      </w:r>
      <w:r w:rsidRPr="00D173F6">
        <w:rPr>
          <w:sz w:val="24"/>
          <w:szCs w:val="24"/>
        </w:rPr>
        <w:t xml:space="preserve">defined as the inverse of the monetary base or as an endogenously estimated parameter).  EMP represents the increase in demand for domestic currency versus foreign currency.  It is up to the central bank whether to allow exchange market pressure (EMP) to show up entirely in the form an appreciation of the currency, which is floating; or entirely as an increase in foreign exchange reserves, which is fixing; or somewhere in between.   If it consistently acts to absorb some share between zero and one in the exchange rate and the remainder in reserves, then we deem it to be a systematically-managed floater.  </w:t>
      </w:r>
      <w:r w:rsidRPr="00D173F6">
        <w:rPr>
          <w:sz w:val="24"/>
          <w:szCs w:val="24"/>
        </w:rPr>
        <w:lastRenderedPageBreak/>
        <w:t xml:space="preserve">For this purpose, it is the change in reserves that matters, not intervention normally defined.   </w:t>
      </w:r>
      <w:r w:rsidR="007B7DAE">
        <w:rPr>
          <w:sz w:val="24"/>
          <w:szCs w:val="24"/>
        </w:rPr>
        <w:t xml:space="preserve">Again, </w:t>
      </w:r>
      <w:r w:rsidRPr="00D173F6">
        <w:rPr>
          <w:sz w:val="24"/>
          <w:szCs w:val="24"/>
        </w:rPr>
        <w:t>if reserves rise because of interest earned on US Treasury bills, that is not considered</w:t>
      </w:r>
      <w:r w:rsidR="007B7DAE">
        <w:rPr>
          <w:sz w:val="24"/>
          <w:szCs w:val="24"/>
        </w:rPr>
        <w:t xml:space="preserve"> foreign exchange intervention.</w:t>
      </w:r>
    </w:p>
    <w:p w14:paraId="3939887A" w14:textId="5F8E6C66" w:rsidR="0042142F" w:rsidRPr="00D173F6" w:rsidRDefault="0042142F" w:rsidP="0042142F">
      <w:pPr>
        <w:ind w:firstLine="720"/>
        <w:rPr>
          <w:sz w:val="24"/>
          <w:szCs w:val="24"/>
        </w:rPr>
      </w:pPr>
      <w:r w:rsidRPr="00D173F6">
        <w:rPr>
          <w:sz w:val="24"/>
          <w:szCs w:val="24"/>
        </w:rPr>
        <w:t>Others have studied th</w:t>
      </w:r>
      <w:r w:rsidR="000B0630">
        <w:rPr>
          <w:sz w:val="24"/>
          <w:szCs w:val="24"/>
        </w:rPr>
        <w:t xml:space="preserve">e Turkish intervention data.  </w:t>
      </w:r>
      <w:r w:rsidR="000B0630">
        <w:rPr>
          <w:color w:val="000000" w:themeColor="text1"/>
          <w:kern w:val="24"/>
          <w:sz w:val="24"/>
          <w:szCs w:val="24"/>
        </w:rPr>
        <w:t xml:space="preserve">Basu and </w:t>
      </w:r>
      <w:r w:rsidRPr="00D173F6">
        <w:rPr>
          <w:color w:val="000000" w:themeColor="text1"/>
          <w:kern w:val="24"/>
          <w:sz w:val="24"/>
          <w:szCs w:val="24"/>
        </w:rPr>
        <w:t>Varoudakis (2013) find a clear reaction function that shows systematic management of the floating lira: Turkish intervention responds to the level of the exchange rate (nominal effec</w:t>
      </w:r>
      <w:r w:rsidR="000B0630">
        <w:rPr>
          <w:color w:val="000000" w:themeColor="text1"/>
          <w:kern w:val="24"/>
          <w:sz w:val="24"/>
          <w:szCs w:val="24"/>
        </w:rPr>
        <w:t>tive), as is visible in Figure 4</w:t>
      </w:r>
      <w:r w:rsidRPr="00D173F6">
        <w:rPr>
          <w:color w:val="000000" w:themeColor="text1"/>
          <w:kern w:val="24"/>
          <w:sz w:val="24"/>
          <w:szCs w:val="24"/>
        </w:rPr>
        <w:t xml:space="preserve">, borrowed from their paper. </w:t>
      </w:r>
      <w:r w:rsidRPr="00D173F6">
        <w:rPr>
          <w:sz w:val="24"/>
          <w:szCs w:val="24"/>
        </w:rPr>
        <w:t xml:space="preserve">Frömmel and Midiliç (2016) similarly find statistically significant reaction of intervention to the level of the exchange rate relative to a trend (medium run moving average), but no reaction to the recent rate of change of the exchange rate.  Their main focus is on </w:t>
      </w:r>
      <w:r w:rsidR="007B7DAE">
        <w:rPr>
          <w:sz w:val="24"/>
          <w:szCs w:val="24"/>
        </w:rPr>
        <w:t xml:space="preserve">an </w:t>
      </w:r>
      <w:r w:rsidRPr="00D173F6">
        <w:rPr>
          <w:sz w:val="24"/>
          <w:szCs w:val="24"/>
        </w:rPr>
        <w:t xml:space="preserve">additional variable, the level of foreign exchange reserves relative to GDP.  They find that it is a significant determinant of Turkish intervention.  They also identify several significant structural breaks in the reaction function.    </w:t>
      </w:r>
    </w:p>
    <w:p w14:paraId="6F3592EC" w14:textId="48F79776" w:rsidR="0042142F" w:rsidRDefault="007B7DAE" w:rsidP="0042142F">
      <w:pPr>
        <w:ind w:firstLine="720"/>
      </w:pPr>
      <w:r>
        <w:rPr>
          <w:sz w:val="24"/>
          <w:szCs w:val="24"/>
        </w:rPr>
        <w:t>As t</w:t>
      </w:r>
      <w:r w:rsidR="0042142F" w:rsidRPr="00D173F6">
        <w:rPr>
          <w:sz w:val="24"/>
          <w:szCs w:val="24"/>
        </w:rPr>
        <w:t>hey explain</w:t>
      </w:r>
      <w:r>
        <w:rPr>
          <w:sz w:val="24"/>
          <w:szCs w:val="24"/>
        </w:rPr>
        <w:t xml:space="preserve">, </w:t>
      </w:r>
      <w:r w:rsidR="0042142F" w:rsidRPr="00D173F6">
        <w:rPr>
          <w:sz w:val="24"/>
          <w:szCs w:val="24"/>
        </w:rPr>
        <w:t>the monetary authority, the Central Bank of the Republic of Turkey, undertakes two different modes of foreign exchange intervention: occasional auctions and regular market operations. On many days, the number for the auction is zero.  We add the two together to get the measure of intervention.  The series is still jagged because of the auctions.  Thus we smooth out the data a bit, by looking at monthly averages or other moving averages, as other studies have done.</w:t>
      </w:r>
      <w:r w:rsidR="0042142F" w:rsidRPr="002760C9">
        <w:br/>
      </w:r>
    </w:p>
    <w:p w14:paraId="7552696F" w14:textId="77777777" w:rsidR="0042142F" w:rsidRDefault="0042142F" w:rsidP="0042142F">
      <w:pPr>
        <w:jc w:val="center"/>
      </w:pPr>
      <w:r w:rsidRPr="00723AD7">
        <w:rPr>
          <w:noProof/>
        </w:rPr>
        <w:drawing>
          <wp:inline distT="0" distB="0" distL="0" distR="0" wp14:anchorId="32823E94" wp14:editId="6B1E9668">
            <wp:extent cx="4676774" cy="3314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677427" cy="3315163"/>
                    </a:xfrm>
                    <a:prstGeom prst="rect">
                      <a:avLst/>
                    </a:prstGeom>
                  </pic:spPr>
                </pic:pic>
              </a:graphicData>
            </a:graphic>
          </wp:inline>
        </w:drawing>
      </w:r>
    </w:p>
    <w:p w14:paraId="75A3B158" w14:textId="4068FBAA" w:rsidR="0042142F" w:rsidRDefault="0042142F" w:rsidP="0042142F">
      <w:pPr>
        <w:jc w:val="center"/>
      </w:pPr>
      <w:r>
        <w:t xml:space="preserve">Figure </w:t>
      </w:r>
      <w:r w:rsidR="000B0630">
        <w:t>4</w:t>
      </w:r>
      <w:r>
        <w:t>:   Turkey’s systematic management of its float (from Basu and Varoudakis, 2013)</w:t>
      </w:r>
    </w:p>
    <w:p w14:paraId="23D77E12" w14:textId="25F9176F" w:rsidR="0042142F" w:rsidRPr="007B7DAE" w:rsidRDefault="000B0630" w:rsidP="0042142F">
      <w:pPr>
        <w:rPr>
          <w:sz w:val="24"/>
          <w:szCs w:val="24"/>
        </w:rPr>
      </w:pPr>
      <w:r>
        <w:lastRenderedPageBreak/>
        <w:br/>
      </w:r>
      <w:r w:rsidRPr="007B7DAE">
        <w:rPr>
          <w:sz w:val="24"/>
          <w:szCs w:val="24"/>
        </w:rPr>
        <w:t xml:space="preserve">Figure </w:t>
      </w:r>
      <w:r w:rsidR="004C7BE5" w:rsidRPr="007B7DAE">
        <w:rPr>
          <w:sz w:val="24"/>
          <w:szCs w:val="24"/>
        </w:rPr>
        <w:t>5 graphs</w:t>
      </w:r>
      <w:r w:rsidR="0042142F" w:rsidRPr="007B7DAE">
        <w:rPr>
          <w:sz w:val="24"/>
          <w:szCs w:val="24"/>
        </w:rPr>
        <w:t xml:space="preserve"> the two different measures of intervention, along with various measures of the exchange rate.   The two measures look quite different, as expected, b</w:t>
      </w:r>
      <w:r w:rsidR="001F49D3" w:rsidRPr="007B7DAE">
        <w:rPr>
          <w:sz w:val="24"/>
          <w:szCs w:val="24"/>
        </w:rPr>
        <w:t>ut are highly correlated.</w:t>
      </w:r>
    </w:p>
    <w:p w14:paraId="7C9326FA" w14:textId="77777777" w:rsidR="0042142F" w:rsidRDefault="0042142F" w:rsidP="0042142F">
      <w:pPr>
        <w:jc w:val="center"/>
      </w:pPr>
      <w:r>
        <w:rPr>
          <w:noProof/>
        </w:rPr>
        <w:drawing>
          <wp:inline distT="0" distB="0" distL="0" distR="0" wp14:anchorId="3AFBEFF9" wp14:editId="4A8C259B">
            <wp:extent cx="4655127" cy="307570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63339" cy="3081135"/>
                    </a:xfrm>
                    <a:prstGeom prst="rect">
                      <a:avLst/>
                    </a:prstGeom>
                    <a:noFill/>
                    <a:ln>
                      <a:noFill/>
                    </a:ln>
                  </pic:spPr>
                </pic:pic>
              </a:graphicData>
            </a:graphic>
          </wp:inline>
        </w:drawing>
      </w:r>
    </w:p>
    <w:p w14:paraId="44F49C53" w14:textId="51441D57" w:rsidR="0042142F" w:rsidRDefault="00D173F6" w:rsidP="000B0630">
      <w:pPr>
        <w:jc w:val="center"/>
      </w:pPr>
      <w:r>
        <w:rPr>
          <w:rFonts w:eastAsia="Times New Roman" w:hAnsi="Calibri" w:cs="Times New Roman"/>
          <w:color w:val="000000" w:themeColor="text1"/>
          <w:kern w:val="24"/>
          <w:lang w:eastAsia="ko-KR"/>
        </w:rPr>
        <w:t xml:space="preserve"> </w:t>
      </w:r>
      <w:r w:rsidR="000B0630">
        <w:t>Figure 5</w:t>
      </w:r>
      <w:r w:rsidR="0042142F">
        <w:t>: Foreign Exchange Actions by Turkey:  Intervention Data vs. Reserve Changes</w:t>
      </w:r>
      <w:r w:rsidR="007B7DAE">
        <w:br/>
      </w:r>
    </w:p>
    <w:p w14:paraId="771E00DA" w14:textId="44357B5B" w:rsidR="0042142F" w:rsidRPr="00D173F6" w:rsidRDefault="0042142F" w:rsidP="00D173F6">
      <w:pPr>
        <w:ind w:firstLine="720"/>
        <w:rPr>
          <w:sz w:val="24"/>
          <w:szCs w:val="24"/>
        </w:rPr>
      </w:pPr>
      <w:r w:rsidRPr="00D173F6">
        <w:rPr>
          <w:sz w:val="24"/>
          <w:szCs w:val="24"/>
        </w:rPr>
        <w:t>Several hypotheses are tested</w:t>
      </w:r>
      <w:r w:rsidR="00895C09">
        <w:rPr>
          <w:sz w:val="24"/>
          <w:szCs w:val="24"/>
        </w:rPr>
        <w:t xml:space="preserve"> for the central bank reaction function</w:t>
      </w:r>
      <w:r w:rsidRPr="00D173F6">
        <w:rPr>
          <w:sz w:val="24"/>
          <w:szCs w:val="24"/>
        </w:rPr>
        <w:t xml:space="preserve">.   </w:t>
      </w:r>
      <w:r w:rsidR="00895C09">
        <w:rPr>
          <w:sz w:val="24"/>
          <w:szCs w:val="24"/>
        </w:rPr>
        <w:t xml:space="preserve">A </w:t>
      </w:r>
      <w:r w:rsidRPr="00D173F6">
        <w:rPr>
          <w:sz w:val="24"/>
          <w:szCs w:val="24"/>
        </w:rPr>
        <w:t>particular sort of systematic beha</w:t>
      </w:r>
      <w:r w:rsidR="001F49D3">
        <w:rPr>
          <w:sz w:val="24"/>
          <w:szCs w:val="24"/>
        </w:rPr>
        <w:t xml:space="preserve">vior </w:t>
      </w:r>
      <w:r w:rsidR="00895C09">
        <w:rPr>
          <w:sz w:val="24"/>
          <w:szCs w:val="24"/>
        </w:rPr>
        <w:t xml:space="preserve">is flow </w:t>
      </w:r>
      <w:r w:rsidRPr="00D173F6">
        <w:rPr>
          <w:sz w:val="24"/>
          <w:szCs w:val="24"/>
        </w:rPr>
        <w:t>intervention that seeks to drive the exchange rate in the direction of its long run equilibrium.  This means buying foreign currency when the price of foreign currency, which is the exchange rate, is low (the value of the domestic currency is high), measured relative to either a long-run average or a long-run trend, and selling foreign currency when the pric</w:t>
      </w:r>
      <w:r w:rsidR="001F49D3">
        <w:rPr>
          <w:sz w:val="24"/>
          <w:szCs w:val="24"/>
        </w:rPr>
        <w:t>e of foreign currency</w:t>
      </w:r>
      <w:r w:rsidRPr="00D173F6">
        <w:rPr>
          <w:sz w:val="24"/>
          <w:szCs w:val="24"/>
        </w:rPr>
        <w:t xml:space="preserve"> is high (the value of the domestic currency is low).  But an alternative is “leaning against the wind,” which is usually interpreted as intervention that opposes the </w:t>
      </w:r>
      <w:r w:rsidR="001F49D3">
        <w:rPr>
          <w:sz w:val="24"/>
          <w:szCs w:val="24"/>
        </w:rPr>
        <w:t xml:space="preserve">most </w:t>
      </w:r>
      <w:r w:rsidRPr="00D173F6">
        <w:rPr>
          <w:sz w:val="24"/>
          <w:szCs w:val="24"/>
        </w:rPr>
        <w:t xml:space="preserve">recent </w:t>
      </w:r>
      <w:r w:rsidRPr="001F49D3">
        <w:rPr>
          <w:i/>
          <w:sz w:val="24"/>
          <w:szCs w:val="24"/>
        </w:rPr>
        <w:t>direction of movement</w:t>
      </w:r>
      <w:r w:rsidRPr="00D173F6">
        <w:rPr>
          <w:sz w:val="24"/>
          <w:szCs w:val="24"/>
        </w:rPr>
        <w:t xml:space="preserve"> of the exchange rate, as opposed to its </w:t>
      </w:r>
      <w:r w:rsidRPr="001F49D3">
        <w:rPr>
          <w:i/>
          <w:sz w:val="24"/>
          <w:szCs w:val="24"/>
        </w:rPr>
        <w:t>level</w:t>
      </w:r>
      <w:r w:rsidRPr="00D173F6">
        <w:rPr>
          <w:sz w:val="24"/>
          <w:szCs w:val="24"/>
        </w:rPr>
        <w:t xml:space="preserve">.   A third relevant variable is the level of reserves.  </w:t>
      </w:r>
      <w:r w:rsidR="00895C09">
        <w:rPr>
          <w:sz w:val="24"/>
          <w:szCs w:val="24"/>
        </w:rPr>
        <w:t xml:space="preserve">Research </w:t>
      </w:r>
      <w:r w:rsidRPr="00D173F6">
        <w:rPr>
          <w:sz w:val="24"/>
          <w:szCs w:val="24"/>
        </w:rPr>
        <w:t>on reserve holdings features the hypothesis that central banks have a target level of reserves</w:t>
      </w:r>
      <w:r w:rsidRPr="00D173F6">
        <w:rPr>
          <w:rStyle w:val="FootnoteReference"/>
          <w:sz w:val="24"/>
          <w:szCs w:val="24"/>
        </w:rPr>
        <w:footnoteReference w:id="28"/>
      </w:r>
      <w:r w:rsidRPr="00D173F6">
        <w:rPr>
          <w:sz w:val="24"/>
          <w:szCs w:val="24"/>
        </w:rPr>
        <w:t>, held for precautionary purposes, and that the motivation for intervention behavior is not just to affect the exchange rate but also to move reserves in the direction of the target level.  There has been some evidence in favor of this hypothesis</w:t>
      </w:r>
      <w:r w:rsidRPr="0074107C">
        <w:rPr>
          <w:sz w:val="24"/>
          <w:szCs w:val="24"/>
        </w:rPr>
        <w:t>, particular</w:t>
      </w:r>
      <w:r w:rsidR="00C82CEA" w:rsidRPr="0074107C">
        <w:rPr>
          <w:sz w:val="24"/>
          <w:szCs w:val="24"/>
        </w:rPr>
        <w:t>ly</w:t>
      </w:r>
      <w:r w:rsidRPr="00D173F6">
        <w:rPr>
          <w:sz w:val="24"/>
          <w:szCs w:val="24"/>
        </w:rPr>
        <w:t xml:space="preserve"> since the currency crises of the 1990s and particularly in the case of Turkey (Frömmel and Midiliç, 2016, as noted).  A fourth relevant variable is the inflation rate, under the hypothesis that, in an inflation targeting country, central bank operations in the </w:t>
      </w:r>
      <w:r w:rsidRPr="00D173F6">
        <w:rPr>
          <w:sz w:val="24"/>
          <w:szCs w:val="24"/>
        </w:rPr>
        <w:lastRenderedPageBreak/>
        <w:t>foreign exchange market are among the tools that are motivated by an effort to push the inflation rate in the direction of its target.</w:t>
      </w:r>
    </w:p>
    <w:p w14:paraId="5513B031" w14:textId="77777777" w:rsidR="0042142F" w:rsidRPr="00D173F6" w:rsidRDefault="0042142F" w:rsidP="00D173F6">
      <w:pPr>
        <w:ind w:firstLine="720"/>
        <w:rPr>
          <w:sz w:val="24"/>
          <w:szCs w:val="24"/>
        </w:rPr>
      </w:pPr>
      <w:r w:rsidRPr="00D173F6">
        <w:rPr>
          <w:sz w:val="24"/>
          <w:szCs w:val="24"/>
        </w:rPr>
        <w:t>The full equation is thus:</w:t>
      </w:r>
    </w:p>
    <w:p w14:paraId="6F5B3186" w14:textId="77777777" w:rsidR="0042142F" w:rsidRPr="00D173F6" w:rsidRDefault="0042142F" w:rsidP="0042142F">
      <w:pPr>
        <w:rPr>
          <w:sz w:val="24"/>
          <w:szCs w:val="24"/>
        </w:rPr>
      </w:pPr>
      <w:r w:rsidRPr="00D173F6">
        <w:rPr>
          <w:sz w:val="24"/>
          <w:szCs w:val="24"/>
        </w:rPr>
        <w:t xml:space="preserve"> FX acquisition =  c +  a (</w:t>
      </w:r>
      <w:r w:rsidRPr="00D173F6">
        <w:rPr>
          <w:rFonts w:ascii="Calibri" w:eastAsia="Times New Roman" w:hAnsi="Calibri" w:cs="Times New Roman"/>
          <w:bCs/>
          <w:color w:val="000000"/>
          <w:sz w:val="24"/>
          <w:szCs w:val="24"/>
        </w:rPr>
        <w:t>s</w:t>
      </w:r>
      <w:r w:rsidRPr="00D173F6">
        <w:rPr>
          <w:rFonts w:ascii="Calibri" w:eastAsia="Times New Roman" w:hAnsi="Calibri" w:cs="Times New Roman"/>
          <w:bCs/>
          <w:color w:val="000000"/>
          <w:sz w:val="24"/>
          <w:szCs w:val="24"/>
          <w:vertAlign w:val="subscript"/>
        </w:rPr>
        <w:t xml:space="preserve"> t</w:t>
      </w:r>
      <w:r w:rsidRPr="00D173F6">
        <w:rPr>
          <w:rFonts w:ascii="Calibri" w:eastAsia="Times New Roman" w:hAnsi="Calibri" w:cs="Times New Roman"/>
          <w:bCs/>
          <w:color w:val="000000"/>
          <w:sz w:val="24"/>
          <w:szCs w:val="24"/>
        </w:rPr>
        <w:t xml:space="preserve"> – s</w:t>
      </w:r>
      <w:r w:rsidRPr="00D173F6">
        <w:rPr>
          <w:rFonts w:ascii="Calibri" w:eastAsia="Times New Roman" w:hAnsi="Calibri" w:cs="Times New Roman"/>
          <w:bCs/>
          <w:color w:val="000000"/>
          <w:sz w:val="24"/>
          <w:szCs w:val="24"/>
          <w:vertAlign w:val="subscript"/>
        </w:rPr>
        <w:t>trend</w:t>
      </w:r>
      <w:r w:rsidRPr="00D173F6">
        <w:rPr>
          <w:rFonts w:ascii="Calibri" w:eastAsia="Times New Roman" w:hAnsi="Calibri" w:cs="Times New Roman"/>
          <w:bCs/>
          <w:color w:val="000000"/>
          <w:sz w:val="24"/>
          <w:szCs w:val="24"/>
        </w:rPr>
        <w:t>)</w:t>
      </w:r>
      <w:r w:rsidRPr="00D173F6">
        <w:rPr>
          <w:sz w:val="24"/>
          <w:szCs w:val="24"/>
        </w:rPr>
        <w:t xml:space="preserve">  + ß (</w:t>
      </w:r>
      <w:r w:rsidRPr="00D173F6">
        <w:rPr>
          <w:rFonts w:ascii="Calibri" w:eastAsia="Times New Roman" w:hAnsi="Calibri" w:cs="Times New Roman"/>
          <w:bCs/>
          <w:color w:val="000000"/>
          <w:sz w:val="24"/>
          <w:szCs w:val="24"/>
        </w:rPr>
        <w:t>s</w:t>
      </w:r>
      <w:r w:rsidRPr="00D173F6">
        <w:rPr>
          <w:rFonts w:ascii="Calibri" w:eastAsia="Times New Roman" w:hAnsi="Calibri" w:cs="Times New Roman"/>
          <w:bCs/>
          <w:color w:val="000000"/>
          <w:sz w:val="24"/>
          <w:szCs w:val="24"/>
          <w:vertAlign w:val="subscript"/>
        </w:rPr>
        <w:t xml:space="preserve"> t</w:t>
      </w:r>
      <w:r w:rsidRPr="00D173F6">
        <w:rPr>
          <w:rFonts w:ascii="Calibri" w:eastAsia="Times New Roman" w:hAnsi="Calibri" w:cs="Times New Roman"/>
          <w:bCs/>
          <w:color w:val="000000"/>
          <w:sz w:val="24"/>
          <w:szCs w:val="24"/>
        </w:rPr>
        <w:t xml:space="preserve"> – s </w:t>
      </w:r>
      <w:r w:rsidRPr="00D173F6">
        <w:rPr>
          <w:rFonts w:ascii="Calibri" w:eastAsia="Times New Roman" w:hAnsi="Calibri" w:cs="Times New Roman"/>
          <w:bCs/>
          <w:color w:val="000000"/>
          <w:sz w:val="24"/>
          <w:szCs w:val="24"/>
          <w:vertAlign w:val="subscript"/>
        </w:rPr>
        <w:t>t-1</w:t>
      </w:r>
      <w:r w:rsidRPr="00D173F6">
        <w:rPr>
          <w:sz w:val="24"/>
          <w:szCs w:val="24"/>
        </w:rPr>
        <w:t>) + δ (Res /GDP)</w:t>
      </w:r>
      <w:r w:rsidRPr="00D173F6">
        <w:rPr>
          <w:rFonts w:ascii="Calibri" w:eastAsia="Times New Roman" w:hAnsi="Calibri" w:cs="Times New Roman"/>
          <w:b/>
          <w:bCs/>
          <w:color w:val="000000"/>
          <w:sz w:val="24"/>
          <w:szCs w:val="24"/>
          <w:vertAlign w:val="subscript"/>
        </w:rPr>
        <w:t>t</w:t>
      </w:r>
      <w:r w:rsidRPr="00D173F6">
        <w:rPr>
          <w:sz w:val="24"/>
          <w:szCs w:val="24"/>
        </w:rPr>
        <w:t xml:space="preserve"> + ψ (inflation – target)</w:t>
      </w:r>
    </w:p>
    <w:p w14:paraId="1887C6D6" w14:textId="77777777" w:rsidR="0042142F" w:rsidRPr="00D173F6" w:rsidRDefault="0042142F" w:rsidP="0042142F">
      <w:pPr>
        <w:rPr>
          <w:sz w:val="24"/>
          <w:szCs w:val="24"/>
        </w:rPr>
      </w:pPr>
      <w:r w:rsidRPr="00D173F6">
        <w:rPr>
          <w:sz w:val="24"/>
          <w:szCs w:val="24"/>
        </w:rPr>
        <w:t>The dependent variable, “Acquisition of foreign exchange,” is measured either by the data on foreign exchange intervention or by changes in foreign exchange reserves.</w:t>
      </w:r>
    </w:p>
    <w:p w14:paraId="2BE3BB9D" w14:textId="7216BB14" w:rsidR="0042142F" w:rsidRPr="00D173F6" w:rsidRDefault="0042142F" w:rsidP="00D173F6">
      <w:pPr>
        <w:ind w:firstLine="720"/>
        <w:rPr>
          <w:sz w:val="24"/>
          <w:szCs w:val="24"/>
        </w:rPr>
      </w:pPr>
      <w:r w:rsidRPr="00D173F6">
        <w:rPr>
          <w:sz w:val="24"/>
          <w:szCs w:val="24"/>
        </w:rPr>
        <w:t>Regression</w:t>
      </w:r>
      <w:r w:rsidR="000B0630">
        <w:rPr>
          <w:sz w:val="24"/>
          <w:szCs w:val="24"/>
        </w:rPr>
        <w:t xml:space="preserve"> results are reported in Table 4</w:t>
      </w:r>
      <w:r w:rsidR="00895C09">
        <w:rPr>
          <w:sz w:val="24"/>
          <w:szCs w:val="24"/>
        </w:rPr>
        <w:t>.</w:t>
      </w:r>
      <w:r w:rsidRPr="00D173F6">
        <w:rPr>
          <w:rStyle w:val="FootnoteReference"/>
          <w:sz w:val="24"/>
          <w:szCs w:val="24"/>
        </w:rPr>
        <w:footnoteReference w:id="29"/>
      </w:r>
      <w:r w:rsidRPr="00D173F6">
        <w:rPr>
          <w:sz w:val="24"/>
          <w:szCs w:val="24"/>
        </w:rPr>
        <w:t xml:space="preserve"> </w:t>
      </w:r>
      <w:r w:rsidR="00895C09">
        <w:rPr>
          <w:sz w:val="24"/>
          <w:szCs w:val="24"/>
        </w:rPr>
        <w:t xml:space="preserve">  </w:t>
      </w:r>
      <w:r w:rsidR="00895C09" w:rsidRPr="00D173F6">
        <w:rPr>
          <w:sz w:val="24"/>
          <w:szCs w:val="24"/>
        </w:rPr>
        <w:t>Several conclusions emerge.</w:t>
      </w:r>
      <w:r w:rsidRPr="00D173F6">
        <w:rPr>
          <w:sz w:val="24"/>
          <w:szCs w:val="24"/>
        </w:rPr>
        <w:t xml:space="preserve">  When the rate of change variable</w:t>
      </w:r>
      <w:r w:rsidR="000B0630">
        <w:rPr>
          <w:sz w:val="24"/>
          <w:szCs w:val="24"/>
        </w:rPr>
        <w:t xml:space="preserve"> is included on its own (Table 4</w:t>
      </w:r>
      <w:r w:rsidRPr="00D173F6">
        <w:rPr>
          <w:sz w:val="24"/>
          <w:szCs w:val="24"/>
        </w:rPr>
        <w:t>.1), to test for “leaning against the wind,” it is highly significant regardless whether the dependent variable is measured by intervention or changes in reserves.  When the level of the exchange rate</w:t>
      </w:r>
      <w:r w:rsidR="000B0630">
        <w:rPr>
          <w:sz w:val="24"/>
          <w:szCs w:val="24"/>
        </w:rPr>
        <w:t xml:space="preserve"> is included on its own (Table 4</w:t>
      </w:r>
      <w:r w:rsidR="00D722BA">
        <w:rPr>
          <w:sz w:val="24"/>
          <w:szCs w:val="24"/>
        </w:rPr>
        <w:t>.2),</w:t>
      </w:r>
      <w:r w:rsidRPr="00D173F6">
        <w:rPr>
          <w:sz w:val="24"/>
          <w:szCs w:val="24"/>
        </w:rPr>
        <w:t xml:space="preserve"> it is highly significant for explaining Intervention and borderline-significant for explaining reserve changes. When both variables are included at the same time, there is ev</w:t>
      </w:r>
      <w:r w:rsidR="000B0630">
        <w:rPr>
          <w:sz w:val="24"/>
          <w:szCs w:val="24"/>
        </w:rPr>
        <w:t>idence in favor of both (Table 4</w:t>
      </w:r>
      <w:r w:rsidRPr="00D173F6">
        <w:rPr>
          <w:sz w:val="24"/>
          <w:szCs w:val="24"/>
        </w:rPr>
        <w:t xml:space="preserve">.3).  When the central bank’s behavior is judged by the intervention data, both the level and rate of change variables are significant.   When it is judged by reserve changes, the rate of change variable is highly significant but the level variable is at best borderline-significant. </w:t>
      </w:r>
    </w:p>
    <w:p w14:paraId="5AA12E88" w14:textId="4F4B7888" w:rsidR="0042142F" w:rsidRPr="00D173F6" w:rsidRDefault="0042142F" w:rsidP="00D173F6">
      <w:pPr>
        <w:ind w:firstLine="720"/>
        <w:rPr>
          <w:sz w:val="24"/>
          <w:szCs w:val="24"/>
        </w:rPr>
      </w:pPr>
      <w:r w:rsidRPr="00D173F6">
        <w:rPr>
          <w:sz w:val="24"/>
          <w:szCs w:val="24"/>
        </w:rPr>
        <w:t>When the ra</w:t>
      </w:r>
      <w:r w:rsidR="0005364A">
        <w:rPr>
          <w:sz w:val="24"/>
          <w:szCs w:val="24"/>
        </w:rPr>
        <w:t>tio of reserves/GDP is included</w:t>
      </w:r>
      <w:r w:rsidRPr="00D173F6">
        <w:rPr>
          <w:sz w:val="24"/>
          <w:szCs w:val="24"/>
        </w:rPr>
        <w:t xml:space="preserve"> to test the hypot</w:t>
      </w:r>
      <w:r w:rsidR="000B0630">
        <w:rPr>
          <w:sz w:val="24"/>
          <w:szCs w:val="24"/>
        </w:rPr>
        <w:t>hesis of a target level (Table 4</w:t>
      </w:r>
      <w:r w:rsidRPr="00D173F6">
        <w:rPr>
          <w:sz w:val="24"/>
          <w:szCs w:val="24"/>
        </w:rPr>
        <w:t>.3), the intervention data give strong support:  the effect is negative and significant, th</w:t>
      </w:r>
      <w:r w:rsidR="0005364A">
        <w:rPr>
          <w:sz w:val="24"/>
          <w:szCs w:val="24"/>
        </w:rPr>
        <w:t>us</w:t>
      </w:r>
      <w:r w:rsidRPr="00D173F6">
        <w:rPr>
          <w:sz w:val="24"/>
          <w:szCs w:val="24"/>
        </w:rPr>
        <w:t xml:space="preserve"> suggesting that the authorities are more likely to add to their reserves when the level is low.   The effect is not evident when central bank behavior is measured by the change in reserves, rather than the intervention data.</w:t>
      </w:r>
    </w:p>
    <w:p w14:paraId="7482EF98" w14:textId="574CAC62" w:rsidR="00D173F6" w:rsidRDefault="0042142F" w:rsidP="00D173F6">
      <w:pPr>
        <w:ind w:firstLine="720"/>
        <w:rPr>
          <w:sz w:val="24"/>
          <w:szCs w:val="24"/>
        </w:rPr>
      </w:pPr>
      <w:r w:rsidRPr="00D173F6">
        <w:rPr>
          <w:sz w:val="24"/>
          <w:szCs w:val="24"/>
        </w:rPr>
        <w:t xml:space="preserve">We find no evidence for the inflation targeting hypothesis:  Neither intervention nor changes in reserves appear to respond significantly to the level of inflation measured relative to its target.  We </w:t>
      </w:r>
      <w:r w:rsidR="00895C09">
        <w:rPr>
          <w:sz w:val="24"/>
          <w:szCs w:val="24"/>
        </w:rPr>
        <w:t>omitt</w:t>
      </w:r>
      <w:r w:rsidRPr="00D173F6">
        <w:rPr>
          <w:sz w:val="24"/>
          <w:szCs w:val="24"/>
        </w:rPr>
        <w:t xml:space="preserve">ed </w:t>
      </w:r>
      <w:r w:rsidR="00895C09">
        <w:rPr>
          <w:sz w:val="24"/>
          <w:szCs w:val="24"/>
        </w:rPr>
        <w:t>the inflation results</w:t>
      </w:r>
      <w:r w:rsidRPr="00D173F6">
        <w:rPr>
          <w:sz w:val="24"/>
          <w:szCs w:val="24"/>
        </w:rPr>
        <w:t xml:space="preserve"> from the equation estimates reported in table </w:t>
      </w:r>
      <w:r w:rsidR="000B0630">
        <w:rPr>
          <w:sz w:val="24"/>
          <w:szCs w:val="24"/>
        </w:rPr>
        <w:t>4</w:t>
      </w:r>
      <w:r w:rsidRPr="00D173F6">
        <w:rPr>
          <w:sz w:val="24"/>
          <w:szCs w:val="24"/>
        </w:rPr>
        <w:t>, but they are included in the on-line appendix.</w:t>
      </w:r>
    </w:p>
    <w:p w14:paraId="5E2E9267" w14:textId="77777777" w:rsidR="00D173F6" w:rsidRDefault="00D173F6">
      <w:pPr>
        <w:rPr>
          <w:sz w:val="24"/>
          <w:szCs w:val="24"/>
        </w:rPr>
      </w:pPr>
      <w:r>
        <w:rPr>
          <w:sz w:val="24"/>
          <w:szCs w:val="24"/>
        </w:rPr>
        <w:br w:type="page"/>
      </w:r>
    </w:p>
    <w:p w14:paraId="3BB360BF" w14:textId="4ABB45E9" w:rsidR="0042142F" w:rsidRPr="009371EC" w:rsidRDefault="0042142F" w:rsidP="009371EC">
      <w:pPr>
        <w:jc w:val="center"/>
        <w:rPr>
          <w:b/>
          <w:sz w:val="24"/>
          <w:szCs w:val="24"/>
        </w:rPr>
      </w:pPr>
      <w:r w:rsidRPr="009371EC">
        <w:rPr>
          <w:b/>
          <w:sz w:val="24"/>
          <w:szCs w:val="24"/>
        </w:rPr>
        <w:lastRenderedPageBreak/>
        <w:t xml:space="preserve">Table </w:t>
      </w:r>
      <w:r w:rsidR="000B0630" w:rsidRPr="009371EC">
        <w:rPr>
          <w:b/>
          <w:sz w:val="24"/>
          <w:szCs w:val="24"/>
        </w:rPr>
        <w:t>4</w:t>
      </w:r>
      <w:r w:rsidRPr="009371EC">
        <w:rPr>
          <w:b/>
          <w:sz w:val="24"/>
          <w:szCs w:val="24"/>
        </w:rPr>
        <w:t>: Estimating Foreign Exchange Reaction Function of Turkey’s Central Bank</w:t>
      </w:r>
      <w:r w:rsidR="00D722BA" w:rsidRPr="009371EC">
        <w:rPr>
          <w:b/>
          <w:sz w:val="24"/>
          <w:szCs w:val="24"/>
        </w:rPr>
        <w:br/>
      </w:r>
      <w:r w:rsidR="00A84A29" w:rsidRPr="009371EC">
        <w:rPr>
          <w:b/>
          <w:sz w:val="24"/>
          <w:szCs w:val="24"/>
        </w:rPr>
        <w:t xml:space="preserve">t-statistics                  </w:t>
      </w:r>
      <w:r w:rsidR="00D722BA" w:rsidRPr="009371EC">
        <w:rPr>
          <w:b/>
          <w:sz w:val="24"/>
          <w:szCs w:val="24"/>
        </w:rPr>
        <w:t xml:space="preserve">133 </w:t>
      </w:r>
      <w:r w:rsidR="00A84A29" w:rsidRPr="009371EC">
        <w:rPr>
          <w:b/>
          <w:sz w:val="24"/>
          <w:szCs w:val="24"/>
        </w:rPr>
        <w:t xml:space="preserve">monthly </w:t>
      </w:r>
      <w:r w:rsidR="00D722BA" w:rsidRPr="009371EC">
        <w:rPr>
          <w:b/>
          <w:sz w:val="24"/>
          <w:szCs w:val="24"/>
        </w:rPr>
        <w:t xml:space="preserve">observations: </w:t>
      </w:r>
      <w:r w:rsidR="003A1103" w:rsidRPr="009371EC">
        <w:rPr>
          <w:b/>
          <w:sz w:val="24"/>
          <w:szCs w:val="24"/>
        </w:rPr>
        <w:t xml:space="preserve"> 2003m1</w:t>
      </w:r>
      <w:r w:rsidR="003A1103" w:rsidRPr="009371EC">
        <w:rPr>
          <w:rFonts w:eastAsia="Times New Roman" w:cs="Times New Roman"/>
          <w:b/>
          <w:color w:val="000000"/>
        </w:rPr>
        <w:t>-2014m1</w:t>
      </w:r>
    </w:p>
    <w:tbl>
      <w:tblPr>
        <w:tblW w:w="9555" w:type="dxa"/>
        <w:tblInd w:w="93" w:type="dxa"/>
        <w:tblLayout w:type="fixed"/>
        <w:tblLook w:val="04A0" w:firstRow="1" w:lastRow="0" w:firstColumn="1" w:lastColumn="0" w:noHBand="0" w:noVBand="1"/>
      </w:tblPr>
      <w:tblGrid>
        <w:gridCol w:w="1202"/>
        <w:gridCol w:w="1410"/>
        <w:gridCol w:w="1877"/>
        <w:gridCol w:w="121"/>
        <w:gridCol w:w="1811"/>
        <w:gridCol w:w="121"/>
        <w:gridCol w:w="133"/>
        <w:gridCol w:w="1678"/>
        <w:gridCol w:w="302"/>
        <w:gridCol w:w="900"/>
      </w:tblGrid>
      <w:tr w:rsidR="0042142F" w:rsidRPr="009164C3" w14:paraId="0BD91A04" w14:textId="77777777" w:rsidTr="00AB60B7">
        <w:trPr>
          <w:gridAfter w:val="9"/>
          <w:wAfter w:w="8353" w:type="dxa"/>
          <w:trHeight w:val="315"/>
        </w:trPr>
        <w:tc>
          <w:tcPr>
            <w:tcW w:w="1202" w:type="dxa"/>
            <w:tcBorders>
              <w:top w:val="nil"/>
              <w:left w:val="nil"/>
              <w:bottom w:val="nil"/>
              <w:right w:val="nil"/>
            </w:tcBorders>
            <w:shd w:val="clear" w:color="auto" w:fill="auto"/>
            <w:noWrap/>
            <w:vAlign w:val="bottom"/>
            <w:hideMark/>
          </w:tcPr>
          <w:p w14:paraId="6B93455E" w14:textId="77777777" w:rsidR="0042142F" w:rsidRPr="009164C3" w:rsidRDefault="0042142F" w:rsidP="001C3BD5">
            <w:pPr>
              <w:spacing w:after="0" w:line="240" w:lineRule="auto"/>
              <w:rPr>
                <w:rFonts w:ascii="Calibri" w:eastAsia="Times New Roman" w:hAnsi="Calibri" w:cs="Times New Roman"/>
                <w:color w:val="000000"/>
                <w:sz w:val="24"/>
                <w:szCs w:val="24"/>
              </w:rPr>
            </w:pPr>
          </w:p>
        </w:tc>
      </w:tr>
      <w:tr w:rsidR="0042142F" w:rsidRPr="009164C3" w14:paraId="669523DE" w14:textId="77777777" w:rsidTr="00AB60B7">
        <w:trPr>
          <w:gridAfter w:val="1"/>
          <w:wAfter w:w="900" w:type="dxa"/>
          <w:trHeight w:val="243"/>
        </w:trPr>
        <w:tc>
          <w:tcPr>
            <w:tcW w:w="8655" w:type="dxa"/>
            <w:gridSpan w:val="9"/>
            <w:tcBorders>
              <w:top w:val="nil"/>
              <w:left w:val="nil"/>
              <w:bottom w:val="nil"/>
            </w:tcBorders>
            <w:shd w:val="clear" w:color="auto" w:fill="auto"/>
          </w:tcPr>
          <w:p w14:paraId="22C7D077" w14:textId="04E9DAB4" w:rsidR="0042142F" w:rsidRDefault="00977DEA" w:rsidP="001C3BD5">
            <w:r>
              <w:rPr>
                <w:rFonts w:ascii="Calibri" w:eastAsia="Times New Roman" w:hAnsi="Calibri" w:cs="Times New Roman"/>
                <w:b/>
                <w:bCs/>
                <w:color w:val="000000"/>
                <w:sz w:val="24"/>
                <w:szCs w:val="24"/>
              </w:rPr>
              <w:t>Table 4</w:t>
            </w:r>
            <w:r w:rsidR="0042142F" w:rsidRPr="00667D24">
              <w:rPr>
                <w:rFonts w:ascii="Calibri" w:eastAsia="Times New Roman" w:hAnsi="Calibri" w:cs="Times New Roman"/>
                <w:b/>
                <w:bCs/>
                <w:color w:val="000000"/>
                <w:sz w:val="24"/>
                <w:szCs w:val="24"/>
              </w:rPr>
              <w:t>.1</w:t>
            </w:r>
            <w:r w:rsidR="0042142F">
              <w:rPr>
                <w:rFonts w:ascii="Calibri" w:eastAsia="Times New Roman" w:hAnsi="Calibri" w:cs="Times New Roman"/>
                <w:b/>
                <w:bCs/>
                <w:color w:val="000000"/>
                <w:sz w:val="24"/>
                <w:szCs w:val="24"/>
              </w:rPr>
              <w:t xml:space="preserve">  </w:t>
            </w:r>
            <w:r w:rsidR="0042142F" w:rsidRPr="00667D24">
              <w:rPr>
                <w:rFonts w:ascii="Calibri" w:eastAsia="Times New Roman" w:hAnsi="Calibri" w:cs="Times New Roman"/>
                <w:b/>
                <w:bCs/>
                <w:color w:val="000000"/>
                <w:sz w:val="24"/>
                <w:szCs w:val="24"/>
              </w:rPr>
              <w:t xml:space="preserve">Regressing </w:t>
            </w:r>
            <w:r w:rsidR="0042142F">
              <w:rPr>
                <w:rFonts w:ascii="Calibri" w:eastAsia="Times New Roman" w:hAnsi="Calibri" w:cs="Times New Roman"/>
                <w:b/>
                <w:bCs/>
                <w:color w:val="000000"/>
                <w:sz w:val="24"/>
                <w:szCs w:val="24"/>
              </w:rPr>
              <w:t xml:space="preserve">Turkish </w:t>
            </w:r>
            <w:r w:rsidR="0042142F" w:rsidRPr="00667D24">
              <w:rPr>
                <w:rFonts w:ascii="Calibri" w:eastAsia="Times New Roman" w:hAnsi="Calibri" w:cs="Times New Roman"/>
                <w:b/>
                <w:bCs/>
                <w:color w:val="000000"/>
                <w:sz w:val="24"/>
                <w:szCs w:val="24"/>
              </w:rPr>
              <w:t>intervention measures against only against s</w:t>
            </w:r>
            <w:r w:rsidR="0042142F" w:rsidRPr="00667D24">
              <w:rPr>
                <w:rFonts w:ascii="Calibri" w:eastAsia="Times New Roman" w:hAnsi="Calibri" w:cs="Times New Roman"/>
                <w:b/>
                <w:bCs/>
                <w:color w:val="000000"/>
                <w:sz w:val="24"/>
                <w:szCs w:val="24"/>
                <w:vertAlign w:val="subscript"/>
              </w:rPr>
              <w:t xml:space="preserve"> t</w:t>
            </w:r>
            <w:r w:rsidR="0042142F" w:rsidRPr="00667D24">
              <w:rPr>
                <w:rFonts w:ascii="Calibri" w:eastAsia="Times New Roman" w:hAnsi="Calibri" w:cs="Times New Roman"/>
                <w:b/>
                <w:bCs/>
                <w:color w:val="000000"/>
                <w:sz w:val="24"/>
                <w:szCs w:val="24"/>
              </w:rPr>
              <w:t xml:space="preserve"> – s </w:t>
            </w:r>
            <w:r w:rsidR="0042142F" w:rsidRPr="00667D24">
              <w:rPr>
                <w:rFonts w:ascii="Calibri" w:eastAsia="Times New Roman" w:hAnsi="Calibri" w:cs="Times New Roman"/>
                <w:b/>
                <w:bCs/>
                <w:color w:val="000000"/>
                <w:sz w:val="24"/>
                <w:szCs w:val="24"/>
                <w:vertAlign w:val="subscript"/>
              </w:rPr>
              <w:t>t-1</w:t>
            </w:r>
            <w:r w:rsidR="0042142F" w:rsidRPr="00667D24">
              <w:rPr>
                <w:rFonts w:ascii="Calibri" w:eastAsia="Times New Roman" w:hAnsi="Calibri" w:cs="Times New Roman"/>
                <w:b/>
                <w:bCs/>
                <w:color w:val="000000"/>
                <w:sz w:val="24"/>
                <w:szCs w:val="24"/>
              </w:rPr>
              <w:t>.</w:t>
            </w:r>
          </w:p>
        </w:tc>
      </w:tr>
      <w:tr w:rsidR="0042142F" w:rsidRPr="009164C3" w14:paraId="3A8629EE" w14:textId="77777777" w:rsidTr="00AB60B7">
        <w:trPr>
          <w:gridAfter w:val="3"/>
          <w:wAfter w:w="2880" w:type="dxa"/>
          <w:trHeight w:val="801"/>
        </w:trPr>
        <w:tc>
          <w:tcPr>
            <w:tcW w:w="2612" w:type="dxa"/>
            <w:gridSpan w:val="2"/>
            <w:tcBorders>
              <w:top w:val="nil"/>
              <w:left w:val="nil"/>
              <w:bottom w:val="nil"/>
              <w:right w:val="nil"/>
            </w:tcBorders>
            <w:shd w:val="clear" w:color="auto" w:fill="auto"/>
            <w:vAlign w:val="center"/>
            <w:hideMark/>
          </w:tcPr>
          <w:p w14:paraId="028DF629" w14:textId="77777777" w:rsidR="0042142F" w:rsidRPr="009164C3" w:rsidRDefault="0042142F" w:rsidP="001C3BD5">
            <w:pPr>
              <w:spacing w:after="0" w:line="240" w:lineRule="auto"/>
              <w:rPr>
                <w:rFonts w:ascii="Calibri" w:eastAsia="Times New Roman" w:hAnsi="Calibri" w:cs="Times New Roman"/>
                <w:color w:val="000000"/>
                <w:sz w:val="24"/>
                <w:szCs w:val="24"/>
                <w:u w:val="single"/>
              </w:rPr>
            </w:pPr>
            <w:r w:rsidRPr="009164C3">
              <w:rPr>
                <w:rFonts w:ascii="Calibri" w:eastAsia="Times New Roman" w:hAnsi="Calibri" w:cs="Times New Roman"/>
                <w:color w:val="000000"/>
                <w:sz w:val="24"/>
                <w:szCs w:val="24"/>
                <w:u w:val="single"/>
              </w:rPr>
              <w:t>Dependent Variable</w:t>
            </w:r>
          </w:p>
        </w:tc>
        <w:tc>
          <w:tcPr>
            <w:tcW w:w="1998" w:type="dxa"/>
            <w:gridSpan w:val="2"/>
            <w:tcBorders>
              <w:top w:val="nil"/>
              <w:left w:val="nil"/>
              <w:bottom w:val="nil"/>
              <w:right w:val="nil"/>
            </w:tcBorders>
            <w:shd w:val="clear" w:color="auto" w:fill="auto"/>
            <w:vAlign w:val="center"/>
            <w:hideMark/>
          </w:tcPr>
          <w:p w14:paraId="1B2935B3" w14:textId="6F7A2234" w:rsidR="0042142F" w:rsidRPr="009164C3" w:rsidRDefault="009371EC" w:rsidP="009371EC">
            <w:pPr>
              <w:spacing w:after="0" w:line="240" w:lineRule="auto"/>
              <w:jc w:val="center"/>
              <w:rPr>
                <w:rFonts w:ascii="Calibri" w:eastAsia="Times New Roman" w:hAnsi="Calibri" w:cs="Times New Roman"/>
                <w:color w:val="000000"/>
                <w:sz w:val="24"/>
                <w:szCs w:val="24"/>
                <w:u w:val="single"/>
              </w:rPr>
            </w:pPr>
            <w:r>
              <w:rPr>
                <w:rFonts w:ascii="Calibri" w:eastAsia="Times New Roman" w:hAnsi="Calibri" w:cs="Times New Roman"/>
                <w:color w:val="000000"/>
                <w:sz w:val="24"/>
                <w:szCs w:val="24"/>
                <w:u w:val="single"/>
              </w:rPr>
              <w:t>Intervention</w:t>
            </w:r>
          </w:p>
        </w:tc>
        <w:tc>
          <w:tcPr>
            <w:tcW w:w="1811" w:type="dxa"/>
            <w:tcBorders>
              <w:top w:val="nil"/>
              <w:left w:val="nil"/>
              <w:bottom w:val="nil"/>
              <w:right w:val="nil"/>
            </w:tcBorders>
            <w:shd w:val="clear" w:color="auto" w:fill="auto"/>
            <w:vAlign w:val="center"/>
            <w:hideMark/>
          </w:tcPr>
          <w:p w14:paraId="16FDCD5A" w14:textId="13C3012B" w:rsidR="0042142F" w:rsidRPr="009164C3" w:rsidRDefault="009371EC" w:rsidP="009371EC">
            <w:pPr>
              <w:spacing w:after="0" w:line="240" w:lineRule="auto"/>
              <w:jc w:val="center"/>
              <w:rPr>
                <w:rFonts w:ascii="Calibri" w:eastAsia="Times New Roman" w:hAnsi="Calibri" w:cs="Times New Roman"/>
                <w:color w:val="000000"/>
                <w:sz w:val="24"/>
                <w:szCs w:val="24"/>
                <w:u w:val="single"/>
              </w:rPr>
            </w:pPr>
            <w:r>
              <w:rPr>
                <w:rFonts w:ascii="Calibri" w:eastAsia="Times New Roman" w:hAnsi="Calibri" w:cs="Times New Roman"/>
                <w:color w:val="000000"/>
                <w:sz w:val="24"/>
                <w:szCs w:val="24"/>
                <w:u w:val="single"/>
              </w:rPr>
              <w:t>Δ Reserves</w:t>
            </w:r>
          </w:p>
        </w:tc>
        <w:tc>
          <w:tcPr>
            <w:tcW w:w="254" w:type="dxa"/>
            <w:gridSpan w:val="2"/>
            <w:tcBorders>
              <w:top w:val="nil"/>
              <w:left w:val="nil"/>
              <w:bottom w:val="nil"/>
              <w:right w:val="nil"/>
            </w:tcBorders>
            <w:shd w:val="clear" w:color="auto" w:fill="auto"/>
            <w:noWrap/>
            <w:vAlign w:val="bottom"/>
            <w:hideMark/>
          </w:tcPr>
          <w:p w14:paraId="21BBBE74" w14:textId="77777777" w:rsidR="0042142F" w:rsidRPr="009164C3" w:rsidRDefault="0042142F" w:rsidP="001C3BD5">
            <w:pPr>
              <w:spacing w:after="0" w:line="240" w:lineRule="auto"/>
              <w:rPr>
                <w:rFonts w:ascii="Calibri" w:eastAsia="Times New Roman" w:hAnsi="Calibri" w:cs="Times New Roman"/>
                <w:color w:val="000000"/>
                <w:sz w:val="24"/>
                <w:szCs w:val="24"/>
              </w:rPr>
            </w:pPr>
          </w:p>
        </w:tc>
      </w:tr>
      <w:tr w:rsidR="0042142F" w:rsidRPr="009164C3" w14:paraId="6F7B7968" w14:textId="77777777" w:rsidTr="00AB60B7">
        <w:trPr>
          <w:gridAfter w:val="3"/>
          <w:wAfter w:w="2880" w:type="dxa"/>
          <w:trHeight w:val="315"/>
        </w:trPr>
        <w:tc>
          <w:tcPr>
            <w:tcW w:w="2612" w:type="dxa"/>
            <w:gridSpan w:val="2"/>
            <w:tcBorders>
              <w:top w:val="nil"/>
              <w:left w:val="nil"/>
              <w:bottom w:val="nil"/>
              <w:right w:val="nil"/>
            </w:tcBorders>
            <w:shd w:val="clear" w:color="auto" w:fill="auto"/>
            <w:noWrap/>
            <w:vAlign w:val="bottom"/>
            <w:hideMark/>
          </w:tcPr>
          <w:p w14:paraId="4803555E" w14:textId="5C3E832A" w:rsidR="0042142F" w:rsidRPr="009164C3" w:rsidRDefault="0042142F" w:rsidP="001C3BD5">
            <w:pPr>
              <w:spacing w:after="0" w:line="240" w:lineRule="auto"/>
              <w:rPr>
                <w:rFonts w:ascii="Calibri" w:eastAsia="Times New Roman" w:hAnsi="Calibri" w:cs="Times New Roman"/>
                <w:color w:val="000000"/>
                <w:sz w:val="24"/>
                <w:szCs w:val="24"/>
              </w:rPr>
            </w:pPr>
            <w:r w:rsidRPr="00851045">
              <w:rPr>
                <w:rFonts w:ascii="Calibri" w:eastAsia="Times New Roman" w:hAnsi="Calibri" w:cs="Times New Roman"/>
                <w:b/>
                <w:bCs/>
                <w:color w:val="000000"/>
                <w:sz w:val="24"/>
                <w:szCs w:val="24"/>
              </w:rPr>
              <w:t>s</w:t>
            </w:r>
            <w:r w:rsidRPr="00851045">
              <w:rPr>
                <w:rFonts w:ascii="Calibri" w:eastAsia="Times New Roman" w:hAnsi="Calibri" w:cs="Times New Roman"/>
                <w:b/>
                <w:bCs/>
                <w:color w:val="000000"/>
                <w:sz w:val="24"/>
                <w:szCs w:val="24"/>
                <w:vertAlign w:val="subscript"/>
              </w:rPr>
              <w:t xml:space="preserve"> t</w:t>
            </w:r>
            <w:r w:rsidRPr="00851045">
              <w:rPr>
                <w:rFonts w:ascii="Calibri" w:eastAsia="Times New Roman" w:hAnsi="Calibri" w:cs="Times New Roman"/>
                <w:b/>
                <w:bCs/>
                <w:color w:val="000000"/>
                <w:sz w:val="24"/>
                <w:szCs w:val="24"/>
              </w:rPr>
              <w:t xml:space="preserve"> </w:t>
            </w:r>
            <w:r>
              <w:rPr>
                <w:rFonts w:ascii="Calibri" w:eastAsia="Times New Roman" w:hAnsi="Calibri" w:cs="Times New Roman"/>
                <w:b/>
                <w:bCs/>
                <w:color w:val="000000"/>
                <w:sz w:val="24"/>
                <w:szCs w:val="24"/>
              </w:rPr>
              <w:t>–</w:t>
            </w:r>
            <w:r w:rsidRPr="00851045">
              <w:rPr>
                <w:rFonts w:ascii="Calibri" w:eastAsia="Times New Roman" w:hAnsi="Calibri" w:cs="Times New Roman"/>
                <w:b/>
                <w:bCs/>
                <w:color w:val="000000"/>
                <w:sz w:val="24"/>
                <w:szCs w:val="24"/>
              </w:rPr>
              <w:t xml:space="preserve"> s</w:t>
            </w:r>
            <w:r>
              <w:rPr>
                <w:rFonts w:ascii="Calibri" w:eastAsia="Times New Roman" w:hAnsi="Calibri" w:cs="Times New Roman"/>
                <w:b/>
                <w:bCs/>
                <w:color w:val="000000"/>
                <w:sz w:val="24"/>
                <w:szCs w:val="24"/>
              </w:rPr>
              <w:t xml:space="preserve"> </w:t>
            </w:r>
            <w:r w:rsidRPr="00851045">
              <w:rPr>
                <w:rFonts w:ascii="Calibri" w:eastAsia="Times New Roman" w:hAnsi="Calibri" w:cs="Times New Roman"/>
                <w:b/>
                <w:bCs/>
                <w:color w:val="000000"/>
                <w:sz w:val="24"/>
                <w:szCs w:val="24"/>
                <w:vertAlign w:val="subscript"/>
              </w:rPr>
              <w:t>t-1</w:t>
            </w:r>
          </w:p>
        </w:tc>
        <w:tc>
          <w:tcPr>
            <w:tcW w:w="1998" w:type="dxa"/>
            <w:gridSpan w:val="2"/>
            <w:tcBorders>
              <w:top w:val="nil"/>
              <w:left w:val="nil"/>
              <w:bottom w:val="nil"/>
              <w:right w:val="nil"/>
            </w:tcBorders>
            <w:shd w:val="clear" w:color="auto" w:fill="auto"/>
            <w:noWrap/>
            <w:vAlign w:val="bottom"/>
            <w:hideMark/>
          </w:tcPr>
          <w:p w14:paraId="42EEE30C" w14:textId="0D75D32A" w:rsidR="0042142F" w:rsidRPr="009164C3" w:rsidRDefault="0042142F" w:rsidP="001C3BD5">
            <w:pPr>
              <w:spacing w:after="0" w:line="240" w:lineRule="auto"/>
              <w:jc w:val="center"/>
              <w:rPr>
                <w:rFonts w:ascii="Calibri" w:eastAsia="Times New Roman" w:hAnsi="Calibri" w:cs="Times New Roman"/>
                <w:color w:val="000000"/>
                <w:sz w:val="24"/>
                <w:szCs w:val="24"/>
              </w:rPr>
            </w:pPr>
            <w:r w:rsidRPr="009164C3">
              <w:rPr>
                <w:rFonts w:ascii="Calibri" w:eastAsia="Times New Roman" w:hAnsi="Calibri" w:cs="Times New Roman"/>
                <w:color w:val="000000"/>
                <w:sz w:val="24"/>
                <w:szCs w:val="24"/>
              </w:rPr>
              <w:t>2.52</w:t>
            </w:r>
            <w:r w:rsidR="00A84A29">
              <w:rPr>
                <w:rFonts w:ascii="Calibri" w:eastAsia="Times New Roman" w:hAnsi="Calibri" w:cs="Times New Roman"/>
                <w:color w:val="000000"/>
                <w:sz w:val="24"/>
                <w:szCs w:val="24"/>
              </w:rPr>
              <w:t>***</w:t>
            </w:r>
          </w:p>
        </w:tc>
        <w:tc>
          <w:tcPr>
            <w:tcW w:w="1811" w:type="dxa"/>
            <w:tcBorders>
              <w:top w:val="nil"/>
              <w:left w:val="nil"/>
              <w:bottom w:val="nil"/>
              <w:right w:val="nil"/>
            </w:tcBorders>
            <w:shd w:val="clear" w:color="auto" w:fill="auto"/>
            <w:noWrap/>
            <w:vAlign w:val="bottom"/>
            <w:hideMark/>
          </w:tcPr>
          <w:p w14:paraId="61890C6A" w14:textId="7C32ABB9" w:rsidR="0042142F" w:rsidRPr="009164C3" w:rsidRDefault="0042142F" w:rsidP="001C3BD5">
            <w:pPr>
              <w:spacing w:after="0" w:line="240" w:lineRule="auto"/>
              <w:jc w:val="center"/>
              <w:rPr>
                <w:rFonts w:ascii="Calibri" w:eastAsia="Times New Roman" w:hAnsi="Calibri" w:cs="Times New Roman"/>
                <w:color w:val="000000"/>
                <w:sz w:val="24"/>
                <w:szCs w:val="24"/>
              </w:rPr>
            </w:pPr>
            <w:r w:rsidRPr="009164C3">
              <w:rPr>
                <w:rFonts w:ascii="Calibri" w:eastAsia="Times New Roman" w:hAnsi="Calibri" w:cs="Times New Roman"/>
                <w:color w:val="000000"/>
                <w:sz w:val="24"/>
                <w:szCs w:val="24"/>
              </w:rPr>
              <w:t>4.45</w:t>
            </w:r>
            <w:r w:rsidR="00A84A29">
              <w:rPr>
                <w:rFonts w:ascii="Calibri" w:eastAsia="Times New Roman" w:hAnsi="Calibri" w:cs="Times New Roman"/>
                <w:color w:val="000000"/>
                <w:sz w:val="24"/>
                <w:szCs w:val="24"/>
              </w:rPr>
              <w:t>***</w:t>
            </w:r>
          </w:p>
        </w:tc>
        <w:tc>
          <w:tcPr>
            <w:tcW w:w="254" w:type="dxa"/>
            <w:gridSpan w:val="2"/>
            <w:tcBorders>
              <w:top w:val="nil"/>
              <w:left w:val="nil"/>
              <w:bottom w:val="nil"/>
              <w:right w:val="nil"/>
            </w:tcBorders>
            <w:shd w:val="clear" w:color="auto" w:fill="auto"/>
            <w:noWrap/>
            <w:vAlign w:val="bottom"/>
            <w:hideMark/>
          </w:tcPr>
          <w:p w14:paraId="61AE1C2B" w14:textId="77777777" w:rsidR="0042142F" w:rsidRPr="009164C3" w:rsidRDefault="0042142F" w:rsidP="001C3BD5">
            <w:pPr>
              <w:spacing w:after="0" w:line="240" w:lineRule="auto"/>
              <w:rPr>
                <w:rFonts w:ascii="Calibri" w:eastAsia="Times New Roman" w:hAnsi="Calibri" w:cs="Times New Roman"/>
                <w:color w:val="000000"/>
                <w:sz w:val="24"/>
                <w:szCs w:val="24"/>
              </w:rPr>
            </w:pPr>
          </w:p>
        </w:tc>
      </w:tr>
      <w:tr w:rsidR="0042142F" w:rsidRPr="009164C3" w14:paraId="2F416AB5" w14:textId="77777777" w:rsidTr="00AB60B7">
        <w:trPr>
          <w:gridAfter w:val="3"/>
          <w:wAfter w:w="2880" w:type="dxa"/>
          <w:trHeight w:val="315"/>
        </w:trPr>
        <w:tc>
          <w:tcPr>
            <w:tcW w:w="2612" w:type="dxa"/>
            <w:gridSpan w:val="2"/>
            <w:tcBorders>
              <w:top w:val="nil"/>
              <w:left w:val="nil"/>
              <w:bottom w:val="nil"/>
              <w:right w:val="nil"/>
            </w:tcBorders>
            <w:shd w:val="clear" w:color="auto" w:fill="auto"/>
            <w:noWrap/>
            <w:vAlign w:val="bottom"/>
            <w:hideMark/>
          </w:tcPr>
          <w:p w14:paraId="6EED782D" w14:textId="77777777" w:rsidR="0042142F" w:rsidRPr="009164C3" w:rsidRDefault="0042142F" w:rsidP="001C3BD5">
            <w:pPr>
              <w:spacing w:after="0" w:line="240" w:lineRule="auto"/>
              <w:rPr>
                <w:rFonts w:ascii="Calibri" w:eastAsia="Times New Roman" w:hAnsi="Calibri" w:cs="Times New Roman"/>
                <w:color w:val="000000"/>
                <w:sz w:val="24"/>
                <w:szCs w:val="24"/>
              </w:rPr>
            </w:pPr>
            <w:r w:rsidRPr="009164C3">
              <w:rPr>
                <w:rFonts w:ascii="Calibri" w:eastAsia="Times New Roman" w:hAnsi="Calibri" w:cs="Times New Roman"/>
                <w:color w:val="000000"/>
                <w:sz w:val="24"/>
                <w:szCs w:val="24"/>
              </w:rPr>
              <w:t>constant</w:t>
            </w:r>
          </w:p>
        </w:tc>
        <w:tc>
          <w:tcPr>
            <w:tcW w:w="1998" w:type="dxa"/>
            <w:gridSpan w:val="2"/>
            <w:tcBorders>
              <w:top w:val="nil"/>
              <w:left w:val="nil"/>
              <w:bottom w:val="nil"/>
              <w:right w:val="nil"/>
            </w:tcBorders>
            <w:shd w:val="clear" w:color="auto" w:fill="auto"/>
            <w:noWrap/>
            <w:vAlign w:val="bottom"/>
            <w:hideMark/>
          </w:tcPr>
          <w:p w14:paraId="272837AE" w14:textId="3EF2E49F" w:rsidR="0042142F" w:rsidRPr="009164C3" w:rsidRDefault="0042142F" w:rsidP="001C3BD5">
            <w:pPr>
              <w:spacing w:after="0" w:line="240" w:lineRule="auto"/>
              <w:jc w:val="center"/>
              <w:rPr>
                <w:rFonts w:ascii="Calibri" w:eastAsia="Times New Roman" w:hAnsi="Calibri" w:cs="Times New Roman"/>
                <w:color w:val="000000"/>
                <w:sz w:val="24"/>
                <w:szCs w:val="24"/>
              </w:rPr>
            </w:pPr>
            <w:r w:rsidRPr="009164C3">
              <w:rPr>
                <w:rFonts w:ascii="Calibri" w:eastAsia="Times New Roman" w:hAnsi="Calibri" w:cs="Times New Roman"/>
                <w:color w:val="000000"/>
                <w:sz w:val="24"/>
                <w:szCs w:val="24"/>
              </w:rPr>
              <w:t>4.14</w:t>
            </w:r>
            <w:r w:rsidR="00A84A29">
              <w:rPr>
                <w:rFonts w:ascii="Calibri" w:eastAsia="Times New Roman" w:hAnsi="Calibri" w:cs="Times New Roman"/>
                <w:color w:val="000000"/>
                <w:sz w:val="24"/>
                <w:szCs w:val="24"/>
              </w:rPr>
              <w:t>***</w:t>
            </w:r>
          </w:p>
        </w:tc>
        <w:tc>
          <w:tcPr>
            <w:tcW w:w="1811" w:type="dxa"/>
            <w:tcBorders>
              <w:top w:val="nil"/>
              <w:left w:val="nil"/>
              <w:bottom w:val="nil"/>
              <w:right w:val="nil"/>
            </w:tcBorders>
            <w:shd w:val="clear" w:color="auto" w:fill="auto"/>
            <w:noWrap/>
            <w:vAlign w:val="bottom"/>
            <w:hideMark/>
          </w:tcPr>
          <w:p w14:paraId="4CECE640" w14:textId="073990BD" w:rsidR="0042142F" w:rsidRPr="009164C3" w:rsidRDefault="0042142F" w:rsidP="001C3BD5">
            <w:pPr>
              <w:spacing w:after="0" w:line="240" w:lineRule="auto"/>
              <w:jc w:val="center"/>
              <w:rPr>
                <w:rFonts w:ascii="Calibri" w:eastAsia="Times New Roman" w:hAnsi="Calibri" w:cs="Times New Roman"/>
                <w:color w:val="000000"/>
                <w:sz w:val="24"/>
                <w:szCs w:val="24"/>
              </w:rPr>
            </w:pPr>
            <w:r w:rsidRPr="009164C3">
              <w:rPr>
                <w:rFonts w:ascii="Calibri" w:eastAsia="Times New Roman" w:hAnsi="Calibri" w:cs="Times New Roman"/>
                <w:color w:val="000000"/>
                <w:sz w:val="24"/>
                <w:szCs w:val="24"/>
              </w:rPr>
              <w:t>3.23</w:t>
            </w:r>
            <w:r w:rsidR="00A84A29">
              <w:rPr>
                <w:rFonts w:ascii="Calibri" w:eastAsia="Times New Roman" w:hAnsi="Calibri" w:cs="Times New Roman"/>
                <w:color w:val="000000"/>
                <w:sz w:val="24"/>
                <w:szCs w:val="24"/>
              </w:rPr>
              <w:t>***</w:t>
            </w:r>
          </w:p>
        </w:tc>
        <w:tc>
          <w:tcPr>
            <w:tcW w:w="254" w:type="dxa"/>
            <w:gridSpan w:val="2"/>
            <w:tcBorders>
              <w:top w:val="nil"/>
              <w:left w:val="nil"/>
              <w:bottom w:val="nil"/>
              <w:right w:val="nil"/>
            </w:tcBorders>
            <w:shd w:val="clear" w:color="auto" w:fill="auto"/>
            <w:noWrap/>
            <w:vAlign w:val="bottom"/>
          </w:tcPr>
          <w:p w14:paraId="374A0F80" w14:textId="77777777" w:rsidR="0042142F" w:rsidRPr="009164C3" w:rsidRDefault="0042142F" w:rsidP="001C3BD5">
            <w:pPr>
              <w:spacing w:after="0" w:line="240" w:lineRule="auto"/>
              <w:rPr>
                <w:rFonts w:ascii="Calibri" w:eastAsia="Times New Roman" w:hAnsi="Calibri" w:cs="Times New Roman"/>
                <w:color w:val="000000"/>
                <w:sz w:val="24"/>
                <w:szCs w:val="24"/>
              </w:rPr>
            </w:pPr>
          </w:p>
        </w:tc>
      </w:tr>
      <w:tr w:rsidR="0042142F" w:rsidRPr="009164C3" w14:paraId="0C521DAF" w14:textId="77777777" w:rsidTr="00AB60B7">
        <w:trPr>
          <w:trHeight w:val="315"/>
        </w:trPr>
        <w:tc>
          <w:tcPr>
            <w:tcW w:w="8353" w:type="dxa"/>
            <w:gridSpan w:val="8"/>
            <w:tcBorders>
              <w:top w:val="nil"/>
              <w:left w:val="nil"/>
              <w:bottom w:val="nil"/>
              <w:right w:val="nil"/>
            </w:tcBorders>
            <w:shd w:val="clear" w:color="auto" w:fill="auto"/>
            <w:noWrap/>
            <w:vAlign w:val="bottom"/>
            <w:hideMark/>
          </w:tcPr>
          <w:p w14:paraId="6026CB74" w14:textId="32F06F44" w:rsidR="0042142F" w:rsidRPr="009164C3" w:rsidRDefault="00AB60B7" w:rsidP="001C3BD5">
            <w:pPr>
              <w:spacing w:after="0" w:line="240" w:lineRule="auto"/>
              <w:rPr>
                <w:rFonts w:ascii="Calibri" w:eastAsia="Times New Roman" w:hAnsi="Calibri" w:cs="Times New Roman"/>
                <w:color w:val="000000"/>
                <w:sz w:val="24"/>
                <w:szCs w:val="24"/>
              </w:rPr>
            </w:pPr>
            <w:r>
              <w:br/>
            </w:r>
            <w:r>
              <w:rPr>
                <w:rFonts w:ascii="Calibri" w:eastAsia="Times New Roman" w:hAnsi="Calibri" w:cs="Times New Roman"/>
                <w:b/>
                <w:bCs/>
                <w:color w:val="000000"/>
                <w:sz w:val="24"/>
                <w:szCs w:val="24"/>
              </w:rPr>
              <w:br/>
            </w:r>
            <w:r w:rsidR="00977DEA">
              <w:rPr>
                <w:rFonts w:ascii="Calibri" w:eastAsia="Times New Roman" w:hAnsi="Calibri" w:cs="Times New Roman"/>
                <w:b/>
                <w:bCs/>
                <w:color w:val="000000"/>
                <w:sz w:val="24"/>
                <w:szCs w:val="24"/>
              </w:rPr>
              <w:t>Table 4</w:t>
            </w:r>
            <w:r w:rsidR="0042142F">
              <w:rPr>
                <w:rFonts w:ascii="Calibri" w:eastAsia="Times New Roman" w:hAnsi="Calibri" w:cs="Times New Roman"/>
                <w:b/>
                <w:bCs/>
                <w:color w:val="000000"/>
                <w:sz w:val="24"/>
                <w:szCs w:val="24"/>
              </w:rPr>
              <w:t xml:space="preserve">.2   </w:t>
            </w:r>
            <w:r w:rsidR="0042142F" w:rsidRPr="00851045">
              <w:rPr>
                <w:rFonts w:ascii="Calibri" w:eastAsia="Times New Roman" w:hAnsi="Calibri" w:cs="Times New Roman"/>
                <w:b/>
                <w:bCs/>
                <w:color w:val="000000"/>
                <w:sz w:val="24"/>
                <w:szCs w:val="24"/>
              </w:rPr>
              <w:t xml:space="preserve">Regressing </w:t>
            </w:r>
            <w:r w:rsidR="0042142F">
              <w:rPr>
                <w:rFonts w:ascii="Calibri" w:eastAsia="Times New Roman" w:hAnsi="Calibri" w:cs="Times New Roman"/>
                <w:b/>
                <w:bCs/>
                <w:color w:val="000000"/>
                <w:sz w:val="24"/>
                <w:szCs w:val="24"/>
              </w:rPr>
              <w:t xml:space="preserve">Turkish intervention measures against </w:t>
            </w:r>
            <w:r w:rsidR="0042142F" w:rsidRPr="00851045">
              <w:rPr>
                <w:rFonts w:ascii="Calibri" w:eastAsia="Times New Roman" w:hAnsi="Calibri" w:cs="Times New Roman"/>
                <w:b/>
                <w:bCs/>
                <w:color w:val="000000"/>
                <w:sz w:val="24"/>
                <w:szCs w:val="24"/>
              </w:rPr>
              <w:t>only s</w:t>
            </w:r>
            <w:r w:rsidR="0042142F" w:rsidRPr="00851045">
              <w:rPr>
                <w:rFonts w:ascii="Calibri" w:eastAsia="Times New Roman" w:hAnsi="Calibri" w:cs="Times New Roman"/>
                <w:b/>
                <w:bCs/>
                <w:color w:val="000000"/>
                <w:sz w:val="24"/>
                <w:szCs w:val="24"/>
                <w:vertAlign w:val="subscript"/>
              </w:rPr>
              <w:t xml:space="preserve"> t</w:t>
            </w:r>
            <w:r w:rsidR="0042142F" w:rsidRPr="00851045">
              <w:rPr>
                <w:rFonts w:ascii="Calibri" w:eastAsia="Times New Roman" w:hAnsi="Calibri" w:cs="Times New Roman"/>
                <w:b/>
                <w:bCs/>
                <w:color w:val="000000"/>
                <w:sz w:val="24"/>
                <w:szCs w:val="24"/>
              </w:rPr>
              <w:t xml:space="preserve"> </w:t>
            </w:r>
            <w:r w:rsidR="0042142F">
              <w:rPr>
                <w:rFonts w:ascii="Calibri" w:eastAsia="Times New Roman" w:hAnsi="Calibri" w:cs="Times New Roman"/>
                <w:b/>
                <w:bCs/>
                <w:color w:val="000000"/>
                <w:sz w:val="24"/>
                <w:szCs w:val="24"/>
              </w:rPr>
              <w:t>–</w:t>
            </w:r>
            <w:r w:rsidR="0042142F" w:rsidRPr="00851045">
              <w:rPr>
                <w:rFonts w:ascii="Calibri" w:eastAsia="Times New Roman" w:hAnsi="Calibri" w:cs="Times New Roman"/>
                <w:b/>
                <w:bCs/>
                <w:color w:val="000000"/>
                <w:sz w:val="24"/>
                <w:szCs w:val="24"/>
              </w:rPr>
              <w:t xml:space="preserve"> s</w:t>
            </w:r>
            <w:r w:rsidR="0042142F" w:rsidRPr="00851045">
              <w:rPr>
                <w:rFonts w:ascii="Calibri" w:eastAsia="Times New Roman" w:hAnsi="Calibri" w:cs="Times New Roman"/>
                <w:b/>
                <w:bCs/>
                <w:color w:val="000000"/>
                <w:sz w:val="24"/>
                <w:szCs w:val="24"/>
                <w:vertAlign w:val="subscript"/>
              </w:rPr>
              <w:t>t</w:t>
            </w:r>
            <w:r w:rsidR="0042142F">
              <w:rPr>
                <w:rFonts w:ascii="Calibri" w:eastAsia="Times New Roman" w:hAnsi="Calibri" w:cs="Times New Roman"/>
                <w:b/>
                <w:bCs/>
                <w:color w:val="000000"/>
                <w:sz w:val="24"/>
                <w:szCs w:val="24"/>
                <w:vertAlign w:val="subscript"/>
              </w:rPr>
              <w:t>rend</w:t>
            </w:r>
            <w:r w:rsidR="0042142F" w:rsidRPr="00851045">
              <w:rPr>
                <w:rFonts w:ascii="Calibri" w:eastAsia="Times New Roman" w:hAnsi="Calibri" w:cs="Times New Roman"/>
                <w:b/>
                <w:bCs/>
                <w:color w:val="000000"/>
                <w:sz w:val="24"/>
                <w:szCs w:val="24"/>
              </w:rPr>
              <w:t>.</w:t>
            </w:r>
          </w:p>
        </w:tc>
        <w:tc>
          <w:tcPr>
            <w:tcW w:w="1202" w:type="dxa"/>
            <w:gridSpan w:val="2"/>
            <w:tcBorders>
              <w:top w:val="nil"/>
              <w:left w:val="nil"/>
              <w:bottom w:val="nil"/>
              <w:right w:val="nil"/>
            </w:tcBorders>
            <w:shd w:val="clear" w:color="auto" w:fill="auto"/>
            <w:noWrap/>
            <w:vAlign w:val="bottom"/>
            <w:hideMark/>
          </w:tcPr>
          <w:p w14:paraId="4B580F5C" w14:textId="77777777" w:rsidR="0042142F" w:rsidRPr="009164C3" w:rsidRDefault="0042142F" w:rsidP="001C3BD5">
            <w:pPr>
              <w:spacing w:after="0" w:line="240" w:lineRule="auto"/>
              <w:rPr>
                <w:rFonts w:ascii="Calibri" w:eastAsia="Times New Roman" w:hAnsi="Calibri" w:cs="Times New Roman"/>
                <w:color w:val="000000"/>
                <w:sz w:val="24"/>
                <w:szCs w:val="24"/>
              </w:rPr>
            </w:pPr>
          </w:p>
        </w:tc>
      </w:tr>
      <w:tr w:rsidR="0042142F" w:rsidRPr="009164C3" w14:paraId="1FC8B3E6" w14:textId="77777777" w:rsidTr="00AB60B7">
        <w:trPr>
          <w:trHeight w:val="783"/>
        </w:trPr>
        <w:tc>
          <w:tcPr>
            <w:tcW w:w="2612" w:type="dxa"/>
            <w:gridSpan w:val="2"/>
            <w:tcBorders>
              <w:top w:val="nil"/>
              <w:left w:val="nil"/>
              <w:bottom w:val="nil"/>
              <w:right w:val="nil"/>
            </w:tcBorders>
            <w:shd w:val="clear" w:color="auto" w:fill="auto"/>
            <w:vAlign w:val="center"/>
            <w:hideMark/>
          </w:tcPr>
          <w:p w14:paraId="45496D35" w14:textId="77777777" w:rsidR="0042142F" w:rsidRPr="009164C3" w:rsidRDefault="0042142F" w:rsidP="001C3BD5">
            <w:pPr>
              <w:spacing w:after="0" w:line="240" w:lineRule="auto"/>
              <w:rPr>
                <w:rFonts w:ascii="Calibri" w:eastAsia="Times New Roman" w:hAnsi="Calibri" w:cs="Times New Roman"/>
                <w:color w:val="000000"/>
                <w:sz w:val="24"/>
                <w:szCs w:val="24"/>
                <w:u w:val="single"/>
              </w:rPr>
            </w:pPr>
            <w:r w:rsidRPr="009164C3">
              <w:rPr>
                <w:rFonts w:ascii="Calibri" w:eastAsia="Times New Roman" w:hAnsi="Calibri" w:cs="Times New Roman"/>
                <w:color w:val="000000"/>
                <w:sz w:val="24"/>
                <w:szCs w:val="24"/>
                <w:u w:val="single"/>
              </w:rPr>
              <w:t>Dependent Variable</w:t>
            </w:r>
          </w:p>
        </w:tc>
        <w:tc>
          <w:tcPr>
            <w:tcW w:w="1877" w:type="dxa"/>
            <w:tcBorders>
              <w:top w:val="nil"/>
              <w:left w:val="nil"/>
              <w:bottom w:val="nil"/>
              <w:right w:val="nil"/>
            </w:tcBorders>
            <w:shd w:val="clear" w:color="auto" w:fill="auto"/>
            <w:vAlign w:val="center"/>
            <w:hideMark/>
          </w:tcPr>
          <w:p w14:paraId="2CEF71A8" w14:textId="618CBFEA" w:rsidR="0042142F" w:rsidRPr="009164C3" w:rsidRDefault="009371EC" w:rsidP="009371EC">
            <w:pPr>
              <w:spacing w:after="0" w:line="240" w:lineRule="auto"/>
              <w:jc w:val="center"/>
              <w:rPr>
                <w:rFonts w:ascii="Calibri" w:eastAsia="Times New Roman" w:hAnsi="Calibri" w:cs="Times New Roman"/>
                <w:color w:val="000000"/>
                <w:sz w:val="24"/>
                <w:szCs w:val="24"/>
                <w:u w:val="single"/>
              </w:rPr>
            </w:pPr>
            <w:r>
              <w:rPr>
                <w:rFonts w:ascii="Calibri" w:eastAsia="Times New Roman" w:hAnsi="Calibri" w:cs="Times New Roman"/>
                <w:color w:val="000000"/>
                <w:sz w:val="24"/>
                <w:szCs w:val="24"/>
                <w:u w:val="single"/>
              </w:rPr>
              <w:t>Intervention</w:t>
            </w:r>
          </w:p>
        </w:tc>
        <w:tc>
          <w:tcPr>
            <w:tcW w:w="2053" w:type="dxa"/>
            <w:gridSpan w:val="3"/>
            <w:tcBorders>
              <w:top w:val="nil"/>
              <w:left w:val="nil"/>
              <w:bottom w:val="nil"/>
              <w:right w:val="nil"/>
            </w:tcBorders>
            <w:shd w:val="clear" w:color="auto" w:fill="auto"/>
            <w:vAlign w:val="center"/>
            <w:hideMark/>
          </w:tcPr>
          <w:p w14:paraId="78E806FB" w14:textId="72403D5E" w:rsidR="0042142F" w:rsidRPr="009164C3" w:rsidRDefault="009371EC" w:rsidP="001C3BD5">
            <w:pPr>
              <w:spacing w:after="0" w:line="240" w:lineRule="auto"/>
              <w:jc w:val="center"/>
              <w:rPr>
                <w:rFonts w:ascii="Calibri" w:eastAsia="Times New Roman" w:hAnsi="Calibri" w:cs="Times New Roman"/>
                <w:color w:val="000000"/>
                <w:sz w:val="24"/>
                <w:szCs w:val="24"/>
                <w:u w:val="single"/>
              </w:rPr>
            </w:pPr>
            <w:r>
              <w:rPr>
                <w:rFonts w:ascii="Calibri" w:eastAsia="Times New Roman" w:hAnsi="Calibri" w:cs="Times New Roman"/>
                <w:color w:val="000000"/>
                <w:sz w:val="24"/>
                <w:szCs w:val="24"/>
                <w:u w:val="single"/>
              </w:rPr>
              <w:t>Δ Reserves</w:t>
            </w:r>
          </w:p>
        </w:tc>
        <w:tc>
          <w:tcPr>
            <w:tcW w:w="1811" w:type="dxa"/>
            <w:gridSpan w:val="2"/>
            <w:tcBorders>
              <w:top w:val="nil"/>
              <w:left w:val="nil"/>
              <w:bottom w:val="nil"/>
              <w:right w:val="nil"/>
            </w:tcBorders>
            <w:shd w:val="clear" w:color="auto" w:fill="auto"/>
            <w:vAlign w:val="center"/>
          </w:tcPr>
          <w:p w14:paraId="7860B9ED" w14:textId="77777777" w:rsidR="0042142F" w:rsidRPr="009164C3" w:rsidRDefault="0042142F" w:rsidP="001C3BD5">
            <w:pPr>
              <w:spacing w:after="0" w:line="240" w:lineRule="auto"/>
              <w:jc w:val="center"/>
              <w:rPr>
                <w:rFonts w:ascii="Calibri" w:eastAsia="Times New Roman" w:hAnsi="Calibri" w:cs="Times New Roman"/>
                <w:color w:val="000000"/>
                <w:sz w:val="24"/>
                <w:szCs w:val="24"/>
                <w:u w:val="single"/>
              </w:rPr>
            </w:pPr>
          </w:p>
        </w:tc>
        <w:tc>
          <w:tcPr>
            <w:tcW w:w="1202" w:type="dxa"/>
            <w:gridSpan w:val="2"/>
            <w:tcBorders>
              <w:top w:val="nil"/>
              <w:left w:val="nil"/>
              <w:bottom w:val="nil"/>
              <w:right w:val="nil"/>
            </w:tcBorders>
            <w:shd w:val="clear" w:color="auto" w:fill="auto"/>
            <w:noWrap/>
            <w:vAlign w:val="bottom"/>
            <w:hideMark/>
          </w:tcPr>
          <w:p w14:paraId="31C9A4EC" w14:textId="77777777" w:rsidR="0042142F" w:rsidRPr="009164C3" w:rsidRDefault="0042142F" w:rsidP="001C3BD5">
            <w:pPr>
              <w:spacing w:after="0" w:line="240" w:lineRule="auto"/>
              <w:rPr>
                <w:rFonts w:ascii="Calibri" w:eastAsia="Times New Roman" w:hAnsi="Calibri" w:cs="Times New Roman"/>
                <w:color w:val="000000"/>
                <w:sz w:val="24"/>
                <w:szCs w:val="24"/>
              </w:rPr>
            </w:pPr>
          </w:p>
        </w:tc>
      </w:tr>
      <w:tr w:rsidR="0042142F" w:rsidRPr="009164C3" w14:paraId="68E478FE" w14:textId="77777777" w:rsidTr="00AB60B7">
        <w:trPr>
          <w:trHeight w:val="315"/>
        </w:trPr>
        <w:tc>
          <w:tcPr>
            <w:tcW w:w="2612" w:type="dxa"/>
            <w:gridSpan w:val="2"/>
            <w:tcBorders>
              <w:top w:val="nil"/>
              <w:left w:val="nil"/>
              <w:bottom w:val="nil"/>
              <w:right w:val="nil"/>
            </w:tcBorders>
            <w:shd w:val="clear" w:color="auto" w:fill="auto"/>
            <w:noWrap/>
            <w:vAlign w:val="bottom"/>
            <w:hideMark/>
          </w:tcPr>
          <w:p w14:paraId="71AA40F0" w14:textId="77777777" w:rsidR="0042142F" w:rsidRPr="009164C3" w:rsidRDefault="0042142F" w:rsidP="001C3BD5">
            <w:pPr>
              <w:spacing w:after="0" w:line="240" w:lineRule="auto"/>
              <w:rPr>
                <w:rFonts w:ascii="Calibri" w:eastAsia="Times New Roman" w:hAnsi="Calibri" w:cs="Times New Roman"/>
                <w:color w:val="000000"/>
                <w:sz w:val="24"/>
                <w:szCs w:val="24"/>
              </w:rPr>
            </w:pPr>
            <w:r w:rsidRPr="00851045">
              <w:rPr>
                <w:rFonts w:ascii="Calibri" w:eastAsia="Times New Roman" w:hAnsi="Calibri" w:cs="Times New Roman"/>
                <w:b/>
                <w:bCs/>
                <w:color w:val="000000"/>
                <w:sz w:val="24"/>
                <w:szCs w:val="24"/>
              </w:rPr>
              <w:t>s</w:t>
            </w:r>
            <w:r w:rsidRPr="00851045">
              <w:rPr>
                <w:rFonts w:ascii="Calibri" w:eastAsia="Times New Roman" w:hAnsi="Calibri" w:cs="Times New Roman"/>
                <w:b/>
                <w:bCs/>
                <w:color w:val="000000"/>
                <w:sz w:val="24"/>
                <w:szCs w:val="24"/>
                <w:vertAlign w:val="subscript"/>
              </w:rPr>
              <w:t xml:space="preserve"> t</w:t>
            </w:r>
            <w:r w:rsidRPr="00851045">
              <w:rPr>
                <w:rFonts w:ascii="Calibri" w:eastAsia="Times New Roman" w:hAnsi="Calibri" w:cs="Times New Roman"/>
                <w:b/>
                <w:bCs/>
                <w:color w:val="000000"/>
                <w:sz w:val="24"/>
                <w:szCs w:val="24"/>
              </w:rPr>
              <w:t xml:space="preserve"> </w:t>
            </w:r>
            <w:r>
              <w:rPr>
                <w:rFonts w:ascii="Calibri" w:eastAsia="Times New Roman" w:hAnsi="Calibri" w:cs="Times New Roman"/>
                <w:b/>
                <w:bCs/>
                <w:color w:val="000000"/>
                <w:sz w:val="24"/>
                <w:szCs w:val="24"/>
              </w:rPr>
              <w:t>–</w:t>
            </w:r>
            <w:r w:rsidRPr="00851045">
              <w:rPr>
                <w:rFonts w:ascii="Calibri" w:eastAsia="Times New Roman" w:hAnsi="Calibri" w:cs="Times New Roman"/>
                <w:b/>
                <w:bCs/>
                <w:color w:val="000000"/>
                <w:sz w:val="24"/>
                <w:szCs w:val="24"/>
              </w:rPr>
              <w:t xml:space="preserve"> s</w:t>
            </w:r>
            <w:r w:rsidRPr="00851045">
              <w:rPr>
                <w:rFonts w:ascii="Calibri" w:eastAsia="Times New Roman" w:hAnsi="Calibri" w:cs="Times New Roman"/>
                <w:b/>
                <w:bCs/>
                <w:color w:val="000000"/>
                <w:sz w:val="24"/>
                <w:szCs w:val="24"/>
                <w:vertAlign w:val="subscript"/>
              </w:rPr>
              <w:t>t</w:t>
            </w:r>
            <w:r>
              <w:rPr>
                <w:rFonts w:ascii="Calibri" w:eastAsia="Times New Roman" w:hAnsi="Calibri" w:cs="Times New Roman"/>
                <w:b/>
                <w:bCs/>
                <w:color w:val="000000"/>
                <w:sz w:val="24"/>
                <w:szCs w:val="24"/>
                <w:vertAlign w:val="subscript"/>
              </w:rPr>
              <w:t>rend</w:t>
            </w:r>
          </w:p>
        </w:tc>
        <w:tc>
          <w:tcPr>
            <w:tcW w:w="1877" w:type="dxa"/>
            <w:tcBorders>
              <w:top w:val="nil"/>
              <w:left w:val="nil"/>
              <w:bottom w:val="nil"/>
              <w:right w:val="nil"/>
            </w:tcBorders>
            <w:shd w:val="clear" w:color="auto" w:fill="auto"/>
            <w:noWrap/>
            <w:vAlign w:val="bottom"/>
            <w:hideMark/>
          </w:tcPr>
          <w:p w14:paraId="2B8A34D8" w14:textId="4672687E" w:rsidR="0042142F" w:rsidRPr="009164C3" w:rsidRDefault="0042142F" w:rsidP="001C3BD5">
            <w:pPr>
              <w:spacing w:after="0" w:line="240" w:lineRule="auto"/>
              <w:jc w:val="center"/>
              <w:rPr>
                <w:rFonts w:ascii="Calibri" w:eastAsia="Times New Roman" w:hAnsi="Calibri" w:cs="Times New Roman"/>
                <w:color w:val="000000"/>
                <w:sz w:val="24"/>
                <w:szCs w:val="24"/>
              </w:rPr>
            </w:pPr>
            <w:r w:rsidRPr="009164C3">
              <w:rPr>
                <w:rFonts w:ascii="Calibri" w:eastAsia="Times New Roman" w:hAnsi="Calibri" w:cs="Times New Roman"/>
                <w:color w:val="000000"/>
                <w:sz w:val="24"/>
                <w:szCs w:val="24"/>
              </w:rPr>
              <w:t>3.72</w:t>
            </w:r>
            <w:r w:rsidR="00A84A29">
              <w:rPr>
                <w:rFonts w:ascii="Calibri" w:eastAsia="Times New Roman" w:hAnsi="Calibri" w:cs="Times New Roman"/>
                <w:color w:val="000000"/>
                <w:sz w:val="24"/>
                <w:szCs w:val="24"/>
              </w:rPr>
              <w:t>***</w:t>
            </w:r>
          </w:p>
        </w:tc>
        <w:tc>
          <w:tcPr>
            <w:tcW w:w="2053" w:type="dxa"/>
            <w:gridSpan w:val="3"/>
            <w:tcBorders>
              <w:top w:val="nil"/>
              <w:left w:val="nil"/>
              <w:bottom w:val="nil"/>
              <w:right w:val="nil"/>
            </w:tcBorders>
            <w:shd w:val="clear" w:color="auto" w:fill="auto"/>
            <w:noWrap/>
            <w:vAlign w:val="bottom"/>
            <w:hideMark/>
          </w:tcPr>
          <w:p w14:paraId="701A0D78" w14:textId="1A22D3AE" w:rsidR="0042142F" w:rsidRPr="009164C3" w:rsidRDefault="0042142F" w:rsidP="001C3BD5">
            <w:pPr>
              <w:spacing w:after="0" w:line="240" w:lineRule="auto"/>
              <w:jc w:val="center"/>
              <w:rPr>
                <w:rFonts w:ascii="Calibri" w:eastAsia="Times New Roman" w:hAnsi="Calibri" w:cs="Times New Roman"/>
                <w:color w:val="000000"/>
                <w:sz w:val="24"/>
                <w:szCs w:val="24"/>
              </w:rPr>
            </w:pPr>
            <w:r w:rsidRPr="009164C3">
              <w:rPr>
                <w:rFonts w:ascii="Calibri" w:eastAsia="Times New Roman" w:hAnsi="Calibri" w:cs="Times New Roman"/>
                <w:color w:val="000000"/>
                <w:sz w:val="24"/>
                <w:szCs w:val="24"/>
              </w:rPr>
              <w:t>1.86</w:t>
            </w:r>
            <w:r w:rsidR="00A84A29">
              <w:rPr>
                <w:rFonts w:ascii="Calibri" w:eastAsia="Times New Roman" w:hAnsi="Calibri" w:cs="Times New Roman"/>
                <w:color w:val="000000"/>
                <w:sz w:val="24"/>
                <w:szCs w:val="24"/>
              </w:rPr>
              <w:t xml:space="preserve"> *</w:t>
            </w:r>
          </w:p>
        </w:tc>
        <w:tc>
          <w:tcPr>
            <w:tcW w:w="1811" w:type="dxa"/>
            <w:gridSpan w:val="2"/>
            <w:tcBorders>
              <w:top w:val="nil"/>
              <w:left w:val="nil"/>
              <w:bottom w:val="nil"/>
              <w:right w:val="nil"/>
            </w:tcBorders>
            <w:shd w:val="clear" w:color="auto" w:fill="auto"/>
            <w:noWrap/>
            <w:vAlign w:val="bottom"/>
          </w:tcPr>
          <w:p w14:paraId="3283ADFB" w14:textId="77777777" w:rsidR="0042142F" w:rsidRPr="009164C3" w:rsidRDefault="0042142F" w:rsidP="001C3BD5">
            <w:pPr>
              <w:spacing w:after="0" w:line="240" w:lineRule="auto"/>
              <w:jc w:val="center"/>
              <w:rPr>
                <w:rFonts w:ascii="Calibri" w:eastAsia="Times New Roman" w:hAnsi="Calibri" w:cs="Times New Roman"/>
                <w:color w:val="000000"/>
                <w:sz w:val="24"/>
                <w:szCs w:val="24"/>
              </w:rPr>
            </w:pPr>
          </w:p>
        </w:tc>
        <w:tc>
          <w:tcPr>
            <w:tcW w:w="1202" w:type="dxa"/>
            <w:gridSpan w:val="2"/>
            <w:tcBorders>
              <w:top w:val="nil"/>
              <w:left w:val="nil"/>
              <w:bottom w:val="nil"/>
              <w:right w:val="nil"/>
            </w:tcBorders>
            <w:shd w:val="clear" w:color="auto" w:fill="auto"/>
            <w:noWrap/>
            <w:vAlign w:val="bottom"/>
            <w:hideMark/>
          </w:tcPr>
          <w:p w14:paraId="00B6338E" w14:textId="77777777" w:rsidR="0042142F" w:rsidRPr="009164C3" w:rsidRDefault="0042142F" w:rsidP="001C3BD5">
            <w:pPr>
              <w:spacing w:after="0" w:line="240" w:lineRule="auto"/>
              <w:rPr>
                <w:rFonts w:ascii="Calibri" w:eastAsia="Times New Roman" w:hAnsi="Calibri" w:cs="Times New Roman"/>
                <w:color w:val="000000"/>
                <w:sz w:val="24"/>
                <w:szCs w:val="24"/>
              </w:rPr>
            </w:pPr>
          </w:p>
        </w:tc>
      </w:tr>
      <w:tr w:rsidR="0042142F" w:rsidRPr="009164C3" w14:paraId="2F72A094" w14:textId="77777777" w:rsidTr="00AB60B7">
        <w:trPr>
          <w:trHeight w:val="315"/>
        </w:trPr>
        <w:tc>
          <w:tcPr>
            <w:tcW w:w="2612" w:type="dxa"/>
            <w:gridSpan w:val="2"/>
            <w:tcBorders>
              <w:top w:val="nil"/>
              <w:left w:val="nil"/>
              <w:bottom w:val="nil"/>
              <w:right w:val="nil"/>
            </w:tcBorders>
            <w:shd w:val="clear" w:color="auto" w:fill="auto"/>
            <w:noWrap/>
            <w:vAlign w:val="bottom"/>
            <w:hideMark/>
          </w:tcPr>
          <w:p w14:paraId="2002A123" w14:textId="77777777" w:rsidR="0042142F" w:rsidRPr="009164C3" w:rsidRDefault="0042142F" w:rsidP="001C3BD5">
            <w:pPr>
              <w:spacing w:after="0" w:line="240" w:lineRule="auto"/>
              <w:rPr>
                <w:rFonts w:ascii="Calibri" w:eastAsia="Times New Roman" w:hAnsi="Calibri" w:cs="Times New Roman"/>
                <w:color w:val="000000"/>
                <w:sz w:val="24"/>
                <w:szCs w:val="24"/>
              </w:rPr>
            </w:pPr>
            <w:r w:rsidRPr="009164C3">
              <w:rPr>
                <w:rFonts w:ascii="Calibri" w:eastAsia="Times New Roman" w:hAnsi="Calibri" w:cs="Times New Roman"/>
                <w:color w:val="000000"/>
                <w:sz w:val="24"/>
                <w:szCs w:val="24"/>
              </w:rPr>
              <w:t>constant</w:t>
            </w:r>
          </w:p>
        </w:tc>
        <w:tc>
          <w:tcPr>
            <w:tcW w:w="1877" w:type="dxa"/>
            <w:tcBorders>
              <w:top w:val="nil"/>
              <w:left w:val="nil"/>
              <w:bottom w:val="nil"/>
              <w:right w:val="nil"/>
            </w:tcBorders>
            <w:shd w:val="clear" w:color="auto" w:fill="auto"/>
            <w:noWrap/>
            <w:vAlign w:val="bottom"/>
            <w:hideMark/>
          </w:tcPr>
          <w:p w14:paraId="1FEC7A22" w14:textId="2E1F8EB4" w:rsidR="0042142F" w:rsidRPr="009164C3" w:rsidRDefault="0042142F" w:rsidP="001C3BD5">
            <w:pPr>
              <w:spacing w:after="0" w:line="240" w:lineRule="auto"/>
              <w:jc w:val="center"/>
              <w:rPr>
                <w:rFonts w:ascii="Calibri" w:eastAsia="Times New Roman" w:hAnsi="Calibri" w:cs="Times New Roman"/>
                <w:color w:val="000000"/>
                <w:sz w:val="24"/>
                <w:szCs w:val="24"/>
              </w:rPr>
            </w:pPr>
            <w:r w:rsidRPr="009164C3">
              <w:rPr>
                <w:rFonts w:ascii="Calibri" w:eastAsia="Times New Roman" w:hAnsi="Calibri" w:cs="Times New Roman"/>
                <w:color w:val="000000"/>
                <w:sz w:val="24"/>
                <w:szCs w:val="24"/>
              </w:rPr>
              <w:t>4.17</w:t>
            </w:r>
            <w:r w:rsidR="00A84A29">
              <w:rPr>
                <w:rFonts w:ascii="Calibri" w:eastAsia="Times New Roman" w:hAnsi="Calibri" w:cs="Times New Roman"/>
                <w:color w:val="000000"/>
                <w:sz w:val="24"/>
                <w:szCs w:val="24"/>
              </w:rPr>
              <w:t>***</w:t>
            </w:r>
          </w:p>
        </w:tc>
        <w:tc>
          <w:tcPr>
            <w:tcW w:w="2053" w:type="dxa"/>
            <w:gridSpan w:val="3"/>
            <w:tcBorders>
              <w:top w:val="nil"/>
              <w:left w:val="nil"/>
              <w:bottom w:val="nil"/>
              <w:right w:val="nil"/>
            </w:tcBorders>
            <w:shd w:val="clear" w:color="auto" w:fill="auto"/>
            <w:noWrap/>
            <w:vAlign w:val="bottom"/>
            <w:hideMark/>
          </w:tcPr>
          <w:p w14:paraId="4E162997" w14:textId="451F6F7C" w:rsidR="0042142F" w:rsidRPr="009164C3" w:rsidRDefault="00A84A29" w:rsidP="001C3BD5">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  </w:t>
            </w:r>
            <w:r w:rsidR="0042142F" w:rsidRPr="009164C3">
              <w:rPr>
                <w:rFonts w:ascii="Calibri" w:eastAsia="Times New Roman" w:hAnsi="Calibri" w:cs="Times New Roman"/>
                <w:color w:val="000000"/>
                <w:sz w:val="24"/>
                <w:szCs w:val="24"/>
              </w:rPr>
              <w:t>2.68</w:t>
            </w:r>
            <w:r>
              <w:rPr>
                <w:rFonts w:ascii="Calibri" w:eastAsia="Times New Roman" w:hAnsi="Calibri" w:cs="Times New Roman"/>
                <w:color w:val="000000"/>
                <w:sz w:val="24"/>
                <w:szCs w:val="24"/>
              </w:rPr>
              <w:t>***</w:t>
            </w:r>
          </w:p>
        </w:tc>
        <w:tc>
          <w:tcPr>
            <w:tcW w:w="1811" w:type="dxa"/>
            <w:gridSpan w:val="2"/>
            <w:tcBorders>
              <w:top w:val="nil"/>
              <w:left w:val="nil"/>
              <w:bottom w:val="nil"/>
              <w:right w:val="nil"/>
            </w:tcBorders>
            <w:shd w:val="clear" w:color="auto" w:fill="auto"/>
            <w:noWrap/>
            <w:vAlign w:val="bottom"/>
          </w:tcPr>
          <w:p w14:paraId="43466B62" w14:textId="77777777" w:rsidR="0042142F" w:rsidRPr="009164C3" w:rsidRDefault="0042142F" w:rsidP="001C3BD5">
            <w:pPr>
              <w:spacing w:after="0" w:line="240" w:lineRule="auto"/>
              <w:jc w:val="center"/>
              <w:rPr>
                <w:rFonts w:ascii="Calibri" w:eastAsia="Times New Roman" w:hAnsi="Calibri" w:cs="Times New Roman"/>
                <w:color w:val="000000"/>
                <w:sz w:val="24"/>
                <w:szCs w:val="24"/>
              </w:rPr>
            </w:pPr>
          </w:p>
        </w:tc>
        <w:tc>
          <w:tcPr>
            <w:tcW w:w="1202" w:type="dxa"/>
            <w:gridSpan w:val="2"/>
            <w:tcBorders>
              <w:top w:val="nil"/>
              <w:left w:val="nil"/>
              <w:bottom w:val="nil"/>
              <w:right w:val="nil"/>
            </w:tcBorders>
            <w:shd w:val="clear" w:color="auto" w:fill="auto"/>
            <w:noWrap/>
            <w:vAlign w:val="bottom"/>
            <w:hideMark/>
          </w:tcPr>
          <w:p w14:paraId="7F926D28" w14:textId="77777777" w:rsidR="0042142F" w:rsidRPr="009164C3" w:rsidRDefault="0042142F" w:rsidP="001C3BD5">
            <w:pPr>
              <w:spacing w:after="0" w:line="240" w:lineRule="auto"/>
              <w:rPr>
                <w:rFonts w:ascii="Calibri" w:eastAsia="Times New Roman" w:hAnsi="Calibri" w:cs="Times New Roman"/>
                <w:color w:val="000000"/>
                <w:sz w:val="24"/>
                <w:szCs w:val="24"/>
              </w:rPr>
            </w:pPr>
          </w:p>
        </w:tc>
      </w:tr>
    </w:tbl>
    <w:p w14:paraId="5B8709C8" w14:textId="77777777" w:rsidR="0042142F" w:rsidRDefault="0042142F" w:rsidP="0042142F">
      <w:pPr>
        <w:pStyle w:val="NormalWeb"/>
        <w:shd w:val="clear" w:color="auto" w:fill="FFFFFF"/>
        <w:spacing w:before="0" w:beforeAutospacing="0" w:after="240" w:afterAutospacing="0"/>
        <w:rPr>
          <w:rFonts w:ascii="Helvetica" w:hAnsi="Helvetica" w:cs="Helvetica"/>
          <w:color w:val="2C2825"/>
        </w:rPr>
      </w:pPr>
    </w:p>
    <w:tbl>
      <w:tblPr>
        <w:tblW w:w="9645" w:type="dxa"/>
        <w:tblInd w:w="93" w:type="dxa"/>
        <w:tblLayout w:type="fixed"/>
        <w:tblLook w:val="04A0" w:firstRow="1" w:lastRow="0" w:firstColumn="1" w:lastColumn="0" w:noHBand="0" w:noVBand="1"/>
      </w:tblPr>
      <w:tblGrid>
        <w:gridCol w:w="2265"/>
        <w:gridCol w:w="1440"/>
        <w:gridCol w:w="1710"/>
        <w:gridCol w:w="1440"/>
        <w:gridCol w:w="1530"/>
        <w:gridCol w:w="270"/>
        <w:gridCol w:w="810"/>
        <w:gridCol w:w="90"/>
        <w:gridCol w:w="90"/>
      </w:tblGrid>
      <w:tr w:rsidR="0042142F" w:rsidRPr="009164C3" w14:paraId="1D5C7417" w14:textId="77777777" w:rsidTr="009371EC">
        <w:trPr>
          <w:gridAfter w:val="2"/>
          <w:wAfter w:w="180" w:type="dxa"/>
          <w:trHeight w:val="387"/>
        </w:trPr>
        <w:tc>
          <w:tcPr>
            <w:tcW w:w="9465" w:type="dxa"/>
            <w:gridSpan w:val="7"/>
            <w:tcBorders>
              <w:top w:val="nil"/>
              <w:left w:val="nil"/>
              <w:bottom w:val="nil"/>
              <w:right w:val="nil"/>
            </w:tcBorders>
            <w:shd w:val="clear" w:color="auto" w:fill="auto"/>
            <w:noWrap/>
            <w:vAlign w:val="bottom"/>
            <w:hideMark/>
          </w:tcPr>
          <w:p w14:paraId="668F2A73" w14:textId="7A1F3C5C" w:rsidR="0042142F" w:rsidRPr="009164C3" w:rsidRDefault="00977DEA" w:rsidP="001C3BD5">
            <w:pPr>
              <w:spacing w:after="0" w:line="240" w:lineRule="auto"/>
              <w:rPr>
                <w:rFonts w:ascii="Calibri" w:eastAsia="Times New Roman" w:hAnsi="Calibri" w:cs="Times New Roman"/>
                <w:color w:val="000000"/>
                <w:sz w:val="24"/>
                <w:szCs w:val="24"/>
              </w:rPr>
            </w:pPr>
            <w:r>
              <w:rPr>
                <w:rFonts w:ascii="Calibri" w:eastAsia="Times New Roman" w:hAnsi="Calibri" w:cs="Times New Roman"/>
                <w:b/>
                <w:bCs/>
                <w:color w:val="000000"/>
                <w:sz w:val="24"/>
                <w:szCs w:val="24"/>
              </w:rPr>
              <w:t>Table 4</w:t>
            </w:r>
            <w:r w:rsidR="0042142F">
              <w:rPr>
                <w:rFonts w:ascii="Calibri" w:eastAsia="Times New Roman" w:hAnsi="Calibri" w:cs="Times New Roman"/>
                <w:b/>
                <w:bCs/>
                <w:color w:val="000000"/>
                <w:sz w:val="24"/>
                <w:szCs w:val="24"/>
              </w:rPr>
              <w:t>.3</w:t>
            </w:r>
            <w:r w:rsidR="0042142F" w:rsidRPr="009164C3">
              <w:rPr>
                <w:rFonts w:ascii="Calibri" w:eastAsia="Times New Roman" w:hAnsi="Calibri" w:cs="Times New Roman"/>
                <w:b/>
                <w:bCs/>
                <w:color w:val="000000"/>
                <w:sz w:val="24"/>
                <w:szCs w:val="24"/>
              </w:rPr>
              <w:t xml:space="preserve">. </w:t>
            </w:r>
            <w:r w:rsidR="0042142F">
              <w:rPr>
                <w:rFonts w:ascii="Calibri" w:eastAsia="Times New Roman" w:hAnsi="Calibri" w:cs="Times New Roman"/>
                <w:b/>
                <w:bCs/>
                <w:color w:val="000000"/>
                <w:sz w:val="24"/>
                <w:szCs w:val="24"/>
              </w:rPr>
              <w:t xml:space="preserve"> </w:t>
            </w:r>
            <w:r w:rsidR="0042142F" w:rsidRPr="00851045">
              <w:rPr>
                <w:rFonts w:ascii="Calibri" w:eastAsia="Times New Roman" w:hAnsi="Calibri" w:cs="Times New Roman"/>
                <w:b/>
                <w:bCs/>
                <w:color w:val="000000"/>
                <w:sz w:val="24"/>
                <w:szCs w:val="24"/>
              </w:rPr>
              <w:t xml:space="preserve">Regressing </w:t>
            </w:r>
            <w:r w:rsidR="0042142F">
              <w:rPr>
                <w:rFonts w:ascii="Calibri" w:eastAsia="Times New Roman" w:hAnsi="Calibri" w:cs="Times New Roman"/>
                <w:b/>
                <w:bCs/>
                <w:color w:val="000000"/>
                <w:sz w:val="24"/>
                <w:szCs w:val="24"/>
              </w:rPr>
              <w:t>Turkish intervention measures against both (</w:t>
            </w:r>
            <w:r w:rsidR="0042142F" w:rsidRPr="00667D24">
              <w:rPr>
                <w:rFonts w:ascii="Calibri" w:eastAsia="Times New Roman" w:hAnsi="Calibri" w:cs="Times New Roman"/>
                <w:b/>
                <w:bCs/>
                <w:color w:val="000000"/>
                <w:sz w:val="24"/>
                <w:szCs w:val="24"/>
              </w:rPr>
              <w:t>s</w:t>
            </w:r>
            <w:r w:rsidR="0042142F" w:rsidRPr="00667D24">
              <w:rPr>
                <w:rFonts w:ascii="Calibri" w:eastAsia="Times New Roman" w:hAnsi="Calibri" w:cs="Times New Roman"/>
                <w:b/>
                <w:bCs/>
                <w:color w:val="000000"/>
                <w:sz w:val="24"/>
                <w:szCs w:val="24"/>
                <w:vertAlign w:val="subscript"/>
              </w:rPr>
              <w:t xml:space="preserve"> t</w:t>
            </w:r>
            <w:r w:rsidR="0042142F" w:rsidRPr="00667D24">
              <w:rPr>
                <w:rFonts w:ascii="Calibri" w:eastAsia="Times New Roman" w:hAnsi="Calibri" w:cs="Times New Roman"/>
                <w:b/>
                <w:bCs/>
                <w:color w:val="000000"/>
                <w:sz w:val="24"/>
                <w:szCs w:val="24"/>
              </w:rPr>
              <w:t xml:space="preserve"> – s </w:t>
            </w:r>
            <w:r w:rsidR="0042142F" w:rsidRPr="00667D24">
              <w:rPr>
                <w:rFonts w:ascii="Calibri" w:eastAsia="Times New Roman" w:hAnsi="Calibri" w:cs="Times New Roman"/>
                <w:b/>
                <w:bCs/>
                <w:color w:val="000000"/>
                <w:sz w:val="24"/>
                <w:szCs w:val="24"/>
                <w:vertAlign w:val="subscript"/>
              </w:rPr>
              <w:t>t-1</w:t>
            </w:r>
            <w:r w:rsidR="0042142F">
              <w:rPr>
                <w:rFonts w:ascii="Calibri" w:eastAsia="Times New Roman" w:hAnsi="Calibri" w:cs="Times New Roman"/>
                <w:b/>
                <w:bCs/>
                <w:color w:val="000000"/>
                <w:sz w:val="24"/>
                <w:szCs w:val="24"/>
              </w:rPr>
              <w:t>) and (</w:t>
            </w:r>
            <w:r w:rsidR="0042142F" w:rsidRPr="00851045">
              <w:rPr>
                <w:rFonts w:ascii="Calibri" w:eastAsia="Times New Roman" w:hAnsi="Calibri" w:cs="Times New Roman"/>
                <w:b/>
                <w:bCs/>
                <w:color w:val="000000"/>
                <w:sz w:val="24"/>
                <w:szCs w:val="24"/>
              </w:rPr>
              <w:t>s</w:t>
            </w:r>
            <w:r w:rsidR="0042142F" w:rsidRPr="00851045">
              <w:rPr>
                <w:rFonts w:ascii="Calibri" w:eastAsia="Times New Roman" w:hAnsi="Calibri" w:cs="Times New Roman"/>
                <w:b/>
                <w:bCs/>
                <w:color w:val="000000"/>
                <w:sz w:val="24"/>
                <w:szCs w:val="24"/>
                <w:vertAlign w:val="subscript"/>
              </w:rPr>
              <w:t xml:space="preserve"> t</w:t>
            </w:r>
            <w:r w:rsidR="0042142F" w:rsidRPr="00851045">
              <w:rPr>
                <w:rFonts w:ascii="Calibri" w:eastAsia="Times New Roman" w:hAnsi="Calibri" w:cs="Times New Roman"/>
                <w:b/>
                <w:bCs/>
                <w:color w:val="000000"/>
                <w:sz w:val="24"/>
                <w:szCs w:val="24"/>
              </w:rPr>
              <w:t xml:space="preserve"> </w:t>
            </w:r>
            <w:r w:rsidR="0042142F">
              <w:rPr>
                <w:rFonts w:ascii="Calibri" w:eastAsia="Times New Roman" w:hAnsi="Calibri" w:cs="Times New Roman"/>
                <w:b/>
                <w:bCs/>
                <w:color w:val="000000"/>
                <w:sz w:val="24"/>
                <w:szCs w:val="24"/>
              </w:rPr>
              <w:t>–</w:t>
            </w:r>
            <w:r w:rsidR="0042142F" w:rsidRPr="00851045">
              <w:rPr>
                <w:rFonts w:ascii="Calibri" w:eastAsia="Times New Roman" w:hAnsi="Calibri" w:cs="Times New Roman"/>
                <w:b/>
                <w:bCs/>
                <w:color w:val="000000"/>
                <w:sz w:val="24"/>
                <w:szCs w:val="24"/>
              </w:rPr>
              <w:t xml:space="preserve"> s</w:t>
            </w:r>
            <w:r w:rsidR="0042142F" w:rsidRPr="00DE7C79">
              <w:rPr>
                <w:rFonts w:ascii="Calibri" w:eastAsia="Times New Roman" w:hAnsi="Calibri" w:cs="Times New Roman"/>
                <w:b/>
                <w:bCs/>
                <w:color w:val="000000"/>
                <w:sz w:val="16"/>
                <w:szCs w:val="16"/>
              </w:rPr>
              <w:t xml:space="preserve"> </w:t>
            </w:r>
            <w:r w:rsidR="0042142F" w:rsidRPr="00851045">
              <w:rPr>
                <w:rFonts w:ascii="Calibri" w:eastAsia="Times New Roman" w:hAnsi="Calibri" w:cs="Times New Roman"/>
                <w:b/>
                <w:bCs/>
                <w:color w:val="000000"/>
                <w:sz w:val="24"/>
                <w:szCs w:val="24"/>
                <w:vertAlign w:val="subscript"/>
              </w:rPr>
              <w:t>t</w:t>
            </w:r>
            <w:r w:rsidR="0042142F">
              <w:rPr>
                <w:rFonts w:ascii="Calibri" w:eastAsia="Times New Roman" w:hAnsi="Calibri" w:cs="Times New Roman"/>
                <w:b/>
                <w:bCs/>
                <w:color w:val="000000"/>
                <w:sz w:val="24"/>
                <w:szCs w:val="24"/>
                <w:vertAlign w:val="subscript"/>
              </w:rPr>
              <w:t>rend</w:t>
            </w:r>
            <w:r w:rsidR="009371EC">
              <w:rPr>
                <w:rFonts w:ascii="Calibri" w:eastAsia="Times New Roman" w:hAnsi="Calibri" w:cs="Times New Roman"/>
                <w:b/>
                <w:bCs/>
                <w:color w:val="000000"/>
                <w:sz w:val="24"/>
                <w:szCs w:val="24"/>
              </w:rPr>
              <w:t>).</w:t>
            </w:r>
          </w:p>
        </w:tc>
      </w:tr>
      <w:tr w:rsidR="0042142F" w:rsidRPr="009164C3" w14:paraId="594A4C9D" w14:textId="77777777" w:rsidTr="009371EC">
        <w:trPr>
          <w:gridAfter w:val="1"/>
          <w:wAfter w:w="90" w:type="dxa"/>
          <w:trHeight w:val="630"/>
        </w:trPr>
        <w:tc>
          <w:tcPr>
            <w:tcW w:w="2265" w:type="dxa"/>
            <w:tcBorders>
              <w:top w:val="nil"/>
              <w:left w:val="nil"/>
              <w:bottom w:val="nil"/>
              <w:right w:val="nil"/>
            </w:tcBorders>
            <w:shd w:val="clear" w:color="auto" w:fill="auto"/>
            <w:vAlign w:val="center"/>
            <w:hideMark/>
          </w:tcPr>
          <w:p w14:paraId="7EDE68EC" w14:textId="3A6C473C" w:rsidR="0042142F" w:rsidRPr="009164C3" w:rsidRDefault="009371EC" w:rsidP="001C3BD5">
            <w:pPr>
              <w:spacing w:after="0" w:line="240" w:lineRule="auto"/>
              <w:rPr>
                <w:rFonts w:ascii="Calibri" w:eastAsia="Times New Roman" w:hAnsi="Calibri" w:cs="Times New Roman"/>
                <w:color w:val="000000"/>
                <w:sz w:val="24"/>
                <w:szCs w:val="24"/>
                <w:u w:val="single"/>
              </w:rPr>
            </w:pPr>
            <w:r>
              <w:rPr>
                <w:rFonts w:ascii="Calibri" w:eastAsia="Times New Roman" w:hAnsi="Calibri" w:cs="Times New Roman"/>
                <w:color w:val="000000"/>
                <w:sz w:val="24"/>
                <w:szCs w:val="24"/>
                <w:u w:val="single"/>
              </w:rPr>
              <w:t xml:space="preserve">Dependent </w:t>
            </w:r>
            <w:r w:rsidR="0042142F" w:rsidRPr="009164C3">
              <w:rPr>
                <w:rFonts w:ascii="Calibri" w:eastAsia="Times New Roman" w:hAnsi="Calibri" w:cs="Times New Roman"/>
                <w:color w:val="000000"/>
                <w:sz w:val="24"/>
                <w:szCs w:val="24"/>
                <w:u w:val="single"/>
              </w:rPr>
              <w:t>Variable</w:t>
            </w:r>
          </w:p>
        </w:tc>
        <w:tc>
          <w:tcPr>
            <w:tcW w:w="1440" w:type="dxa"/>
            <w:tcBorders>
              <w:top w:val="nil"/>
              <w:left w:val="nil"/>
              <w:bottom w:val="nil"/>
              <w:right w:val="nil"/>
            </w:tcBorders>
            <w:shd w:val="clear" w:color="auto" w:fill="auto"/>
            <w:vAlign w:val="center"/>
            <w:hideMark/>
          </w:tcPr>
          <w:p w14:paraId="356C2C62" w14:textId="5FBE9333" w:rsidR="0042142F" w:rsidRPr="009164C3" w:rsidRDefault="009371EC" w:rsidP="001C3BD5">
            <w:pPr>
              <w:spacing w:after="0" w:line="240" w:lineRule="auto"/>
              <w:jc w:val="center"/>
              <w:rPr>
                <w:rFonts w:ascii="Calibri" w:eastAsia="Times New Roman" w:hAnsi="Calibri" w:cs="Times New Roman"/>
                <w:color w:val="000000"/>
                <w:sz w:val="24"/>
                <w:szCs w:val="24"/>
                <w:u w:val="single"/>
              </w:rPr>
            </w:pPr>
            <w:r>
              <w:rPr>
                <w:rFonts w:ascii="Calibri" w:eastAsia="Times New Roman" w:hAnsi="Calibri" w:cs="Times New Roman"/>
                <w:color w:val="000000"/>
                <w:sz w:val="24"/>
                <w:szCs w:val="24"/>
                <w:u w:val="single"/>
              </w:rPr>
              <w:t xml:space="preserve">Intervention </w:t>
            </w:r>
          </w:p>
        </w:tc>
        <w:tc>
          <w:tcPr>
            <w:tcW w:w="1710" w:type="dxa"/>
            <w:tcBorders>
              <w:top w:val="nil"/>
              <w:left w:val="nil"/>
              <w:bottom w:val="nil"/>
              <w:right w:val="nil"/>
            </w:tcBorders>
            <w:shd w:val="clear" w:color="auto" w:fill="auto"/>
            <w:vAlign w:val="center"/>
            <w:hideMark/>
          </w:tcPr>
          <w:p w14:paraId="11EF6ED1" w14:textId="25E02F09" w:rsidR="0042142F" w:rsidRPr="009164C3" w:rsidRDefault="0042142F" w:rsidP="009371EC">
            <w:pPr>
              <w:spacing w:after="0" w:line="240" w:lineRule="auto"/>
              <w:jc w:val="center"/>
              <w:rPr>
                <w:rFonts w:ascii="Calibri" w:eastAsia="Times New Roman" w:hAnsi="Calibri" w:cs="Times New Roman"/>
                <w:color w:val="000000"/>
                <w:sz w:val="24"/>
                <w:szCs w:val="24"/>
                <w:u w:val="single"/>
              </w:rPr>
            </w:pPr>
            <w:r w:rsidRPr="009164C3">
              <w:rPr>
                <w:rFonts w:ascii="Calibri" w:eastAsia="Times New Roman" w:hAnsi="Calibri" w:cs="Times New Roman"/>
                <w:color w:val="000000"/>
                <w:sz w:val="24"/>
                <w:szCs w:val="24"/>
                <w:u w:val="single"/>
              </w:rPr>
              <w:t>Intervent</w:t>
            </w:r>
            <w:r>
              <w:rPr>
                <w:rFonts w:ascii="Calibri" w:eastAsia="Times New Roman" w:hAnsi="Calibri" w:cs="Times New Roman"/>
                <w:color w:val="000000"/>
                <w:sz w:val="24"/>
                <w:szCs w:val="24"/>
                <w:u w:val="single"/>
              </w:rPr>
              <w:t>io</w:t>
            </w:r>
            <w:r w:rsidR="009371EC">
              <w:rPr>
                <w:rFonts w:ascii="Calibri" w:eastAsia="Times New Roman" w:hAnsi="Calibri" w:cs="Times New Roman"/>
                <w:color w:val="000000"/>
                <w:sz w:val="24"/>
                <w:szCs w:val="24"/>
                <w:u w:val="single"/>
              </w:rPr>
              <w:t xml:space="preserve">n </w:t>
            </w:r>
          </w:p>
        </w:tc>
        <w:tc>
          <w:tcPr>
            <w:tcW w:w="1440" w:type="dxa"/>
            <w:tcBorders>
              <w:top w:val="nil"/>
              <w:left w:val="nil"/>
              <w:bottom w:val="nil"/>
              <w:right w:val="nil"/>
            </w:tcBorders>
            <w:shd w:val="clear" w:color="auto" w:fill="auto"/>
            <w:vAlign w:val="center"/>
            <w:hideMark/>
          </w:tcPr>
          <w:p w14:paraId="297AF8C8" w14:textId="3AD9FB56" w:rsidR="0042142F" w:rsidRPr="009164C3" w:rsidRDefault="0042142F" w:rsidP="001C3BD5">
            <w:pPr>
              <w:spacing w:after="0" w:line="240" w:lineRule="auto"/>
              <w:jc w:val="center"/>
              <w:rPr>
                <w:rFonts w:ascii="Calibri" w:eastAsia="Times New Roman" w:hAnsi="Calibri" w:cs="Times New Roman"/>
                <w:color w:val="000000"/>
                <w:sz w:val="24"/>
                <w:szCs w:val="24"/>
                <w:u w:val="single"/>
              </w:rPr>
            </w:pPr>
            <w:r w:rsidRPr="009164C3">
              <w:rPr>
                <w:rFonts w:ascii="Calibri" w:eastAsia="Times New Roman" w:hAnsi="Calibri" w:cs="Times New Roman"/>
                <w:color w:val="000000"/>
                <w:sz w:val="24"/>
                <w:szCs w:val="24"/>
                <w:u w:val="single"/>
              </w:rPr>
              <w:t>Intervent</w:t>
            </w:r>
            <w:r>
              <w:rPr>
                <w:rFonts w:ascii="Calibri" w:eastAsia="Times New Roman" w:hAnsi="Calibri" w:cs="Times New Roman"/>
                <w:color w:val="000000"/>
                <w:sz w:val="24"/>
                <w:szCs w:val="24"/>
                <w:u w:val="single"/>
              </w:rPr>
              <w:t>io</w:t>
            </w:r>
            <w:r w:rsidR="009371EC">
              <w:rPr>
                <w:rFonts w:ascii="Calibri" w:eastAsia="Times New Roman" w:hAnsi="Calibri" w:cs="Times New Roman"/>
                <w:color w:val="000000"/>
                <w:sz w:val="24"/>
                <w:szCs w:val="24"/>
                <w:u w:val="single"/>
              </w:rPr>
              <w:t xml:space="preserve">n </w:t>
            </w:r>
          </w:p>
        </w:tc>
        <w:tc>
          <w:tcPr>
            <w:tcW w:w="1530" w:type="dxa"/>
            <w:tcBorders>
              <w:top w:val="nil"/>
              <w:left w:val="nil"/>
              <w:bottom w:val="nil"/>
              <w:right w:val="nil"/>
            </w:tcBorders>
            <w:shd w:val="clear" w:color="auto" w:fill="auto"/>
            <w:vAlign w:val="center"/>
            <w:hideMark/>
          </w:tcPr>
          <w:p w14:paraId="6DA6D49D" w14:textId="72FB5A2F" w:rsidR="0042142F" w:rsidRPr="006A4F44" w:rsidRDefault="009371EC" w:rsidP="001C3BD5">
            <w:pPr>
              <w:spacing w:after="0" w:line="240" w:lineRule="auto"/>
              <w:jc w:val="center"/>
              <w:rPr>
                <w:rFonts w:ascii="Calibri" w:eastAsia="Times New Roman" w:hAnsi="Calibri" w:cs="Times New Roman"/>
                <w:color w:val="000000"/>
                <w:sz w:val="24"/>
                <w:szCs w:val="24"/>
                <w:u w:val="single"/>
              </w:rPr>
            </w:pPr>
            <w:r>
              <w:rPr>
                <w:rFonts w:ascii="Calibri" w:eastAsia="Times New Roman" w:hAnsi="Calibri" w:cs="Times New Roman"/>
                <w:color w:val="000000"/>
                <w:sz w:val="24"/>
                <w:szCs w:val="24"/>
                <w:u w:val="single"/>
              </w:rPr>
              <w:t>Δ Reserves</w:t>
            </w:r>
          </w:p>
        </w:tc>
        <w:tc>
          <w:tcPr>
            <w:tcW w:w="270" w:type="dxa"/>
            <w:tcBorders>
              <w:top w:val="nil"/>
              <w:left w:val="nil"/>
              <w:bottom w:val="nil"/>
              <w:right w:val="nil"/>
            </w:tcBorders>
            <w:shd w:val="clear" w:color="auto" w:fill="auto"/>
            <w:vAlign w:val="center"/>
          </w:tcPr>
          <w:p w14:paraId="34378193" w14:textId="77777777" w:rsidR="0042142F" w:rsidRPr="009164C3" w:rsidRDefault="0042142F" w:rsidP="001C3BD5">
            <w:pPr>
              <w:spacing w:after="0" w:line="240" w:lineRule="auto"/>
              <w:jc w:val="center"/>
              <w:rPr>
                <w:rFonts w:ascii="Calibri" w:eastAsia="Times New Roman" w:hAnsi="Calibri" w:cs="Times New Roman"/>
                <w:color w:val="000000"/>
                <w:sz w:val="20"/>
                <w:szCs w:val="20"/>
                <w:u w:val="single"/>
              </w:rPr>
            </w:pPr>
          </w:p>
        </w:tc>
        <w:tc>
          <w:tcPr>
            <w:tcW w:w="900" w:type="dxa"/>
            <w:gridSpan w:val="2"/>
            <w:tcBorders>
              <w:top w:val="nil"/>
              <w:left w:val="nil"/>
              <w:bottom w:val="nil"/>
              <w:right w:val="nil"/>
            </w:tcBorders>
            <w:shd w:val="clear" w:color="auto" w:fill="auto"/>
            <w:vAlign w:val="center"/>
          </w:tcPr>
          <w:p w14:paraId="5072A5AA" w14:textId="77777777" w:rsidR="0042142F" w:rsidRPr="009164C3" w:rsidRDefault="0042142F" w:rsidP="001C3BD5">
            <w:pPr>
              <w:spacing w:after="0" w:line="240" w:lineRule="auto"/>
              <w:jc w:val="center"/>
              <w:rPr>
                <w:rFonts w:ascii="Calibri" w:eastAsia="Times New Roman" w:hAnsi="Calibri" w:cs="Times New Roman"/>
                <w:color w:val="000000"/>
                <w:sz w:val="20"/>
                <w:szCs w:val="20"/>
                <w:u w:val="single"/>
              </w:rPr>
            </w:pPr>
          </w:p>
        </w:tc>
      </w:tr>
      <w:tr w:rsidR="00AB60B7" w:rsidRPr="009164C3" w14:paraId="4EA60D04" w14:textId="77777777" w:rsidTr="00AB60B7">
        <w:trPr>
          <w:trHeight w:val="315"/>
        </w:trPr>
        <w:tc>
          <w:tcPr>
            <w:tcW w:w="2265" w:type="dxa"/>
            <w:tcBorders>
              <w:top w:val="nil"/>
              <w:left w:val="nil"/>
              <w:bottom w:val="nil"/>
              <w:right w:val="nil"/>
            </w:tcBorders>
            <w:shd w:val="clear" w:color="auto" w:fill="auto"/>
            <w:noWrap/>
            <w:vAlign w:val="bottom"/>
          </w:tcPr>
          <w:p w14:paraId="126A056B" w14:textId="2287853B" w:rsidR="00AB60B7" w:rsidRPr="009164C3" w:rsidRDefault="00AB60B7" w:rsidP="001C3BD5">
            <w:pPr>
              <w:spacing w:after="0" w:line="240" w:lineRule="auto"/>
              <w:rPr>
                <w:rFonts w:ascii="Calibri" w:eastAsia="Times New Roman" w:hAnsi="Calibri" w:cs="Times New Roman"/>
                <w:color w:val="000000"/>
                <w:sz w:val="24"/>
                <w:szCs w:val="24"/>
              </w:rPr>
            </w:pPr>
            <w:r w:rsidRPr="00851045">
              <w:rPr>
                <w:rFonts w:ascii="Calibri" w:eastAsia="Times New Roman" w:hAnsi="Calibri" w:cs="Times New Roman"/>
                <w:b/>
                <w:bCs/>
                <w:color w:val="000000"/>
                <w:sz w:val="24"/>
                <w:szCs w:val="24"/>
              </w:rPr>
              <w:t>s</w:t>
            </w:r>
            <w:r w:rsidRPr="00851045">
              <w:rPr>
                <w:rFonts w:ascii="Calibri" w:eastAsia="Times New Roman" w:hAnsi="Calibri" w:cs="Times New Roman"/>
                <w:b/>
                <w:bCs/>
                <w:color w:val="000000"/>
                <w:sz w:val="24"/>
                <w:szCs w:val="24"/>
                <w:vertAlign w:val="subscript"/>
              </w:rPr>
              <w:t xml:space="preserve"> t</w:t>
            </w:r>
            <w:r w:rsidRPr="00851045">
              <w:rPr>
                <w:rFonts w:ascii="Calibri" w:eastAsia="Times New Roman" w:hAnsi="Calibri" w:cs="Times New Roman"/>
                <w:b/>
                <w:bCs/>
                <w:color w:val="000000"/>
                <w:sz w:val="24"/>
                <w:szCs w:val="24"/>
              </w:rPr>
              <w:t xml:space="preserve"> </w:t>
            </w:r>
            <w:r>
              <w:rPr>
                <w:rFonts w:ascii="Calibri" w:eastAsia="Times New Roman" w:hAnsi="Calibri" w:cs="Times New Roman"/>
                <w:b/>
                <w:bCs/>
                <w:color w:val="000000"/>
                <w:sz w:val="24"/>
                <w:szCs w:val="24"/>
              </w:rPr>
              <w:t>–</w:t>
            </w:r>
            <w:r w:rsidRPr="00851045">
              <w:rPr>
                <w:rFonts w:ascii="Calibri" w:eastAsia="Times New Roman" w:hAnsi="Calibri" w:cs="Times New Roman"/>
                <w:b/>
                <w:bCs/>
                <w:color w:val="000000"/>
                <w:sz w:val="24"/>
                <w:szCs w:val="24"/>
              </w:rPr>
              <w:t xml:space="preserve"> s</w:t>
            </w:r>
            <w:r>
              <w:rPr>
                <w:rFonts w:ascii="Calibri" w:eastAsia="Times New Roman" w:hAnsi="Calibri" w:cs="Times New Roman"/>
                <w:b/>
                <w:bCs/>
                <w:color w:val="000000"/>
                <w:sz w:val="24"/>
                <w:szCs w:val="24"/>
              </w:rPr>
              <w:t xml:space="preserve"> </w:t>
            </w:r>
            <w:r w:rsidRPr="00851045">
              <w:rPr>
                <w:rFonts w:ascii="Calibri" w:eastAsia="Times New Roman" w:hAnsi="Calibri" w:cs="Times New Roman"/>
                <w:b/>
                <w:bCs/>
                <w:color w:val="000000"/>
                <w:sz w:val="24"/>
                <w:szCs w:val="24"/>
                <w:vertAlign w:val="subscript"/>
              </w:rPr>
              <w:t>t-1</w:t>
            </w:r>
          </w:p>
        </w:tc>
        <w:tc>
          <w:tcPr>
            <w:tcW w:w="1440" w:type="dxa"/>
            <w:tcBorders>
              <w:top w:val="nil"/>
              <w:left w:val="nil"/>
              <w:bottom w:val="nil"/>
              <w:right w:val="nil"/>
            </w:tcBorders>
            <w:shd w:val="clear" w:color="auto" w:fill="auto"/>
            <w:noWrap/>
            <w:vAlign w:val="bottom"/>
          </w:tcPr>
          <w:p w14:paraId="085EA04F" w14:textId="319138E8" w:rsidR="00AB60B7" w:rsidRPr="009164C3" w:rsidRDefault="00AB60B7" w:rsidP="001C3BD5">
            <w:pPr>
              <w:spacing w:after="0" w:line="240" w:lineRule="auto"/>
              <w:jc w:val="center"/>
              <w:rPr>
                <w:rFonts w:ascii="Calibri" w:eastAsia="Times New Roman" w:hAnsi="Calibri" w:cs="Times New Roman"/>
                <w:color w:val="000000"/>
                <w:sz w:val="24"/>
                <w:szCs w:val="24"/>
              </w:rPr>
            </w:pPr>
            <w:r w:rsidRPr="009164C3">
              <w:rPr>
                <w:rFonts w:ascii="Calibri" w:eastAsia="Times New Roman" w:hAnsi="Calibri" w:cs="Times New Roman"/>
                <w:color w:val="000000"/>
                <w:sz w:val="24"/>
                <w:szCs w:val="24"/>
              </w:rPr>
              <w:t>2.26</w:t>
            </w:r>
            <w:r>
              <w:rPr>
                <w:rFonts w:ascii="Calibri" w:eastAsia="Times New Roman" w:hAnsi="Calibri" w:cs="Times New Roman"/>
                <w:color w:val="000000"/>
                <w:sz w:val="24"/>
                <w:szCs w:val="24"/>
              </w:rPr>
              <w:t>**</w:t>
            </w:r>
          </w:p>
        </w:tc>
        <w:tc>
          <w:tcPr>
            <w:tcW w:w="1710" w:type="dxa"/>
            <w:tcBorders>
              <w:top w:val="nil"/>
              <w:left w:val="nil"/>
              <w:bottom w:val="nil"/>
              <w:right w:val="nil"/>
            </w:tcBorders>
            <w:shd w:val="clear" w:color="auto" w:fill="auto"/>
            <w:noWrap/>
            <w:vAlign w:val="bottom"/>
          </w:tcPr>
          <w:p w14:paraId="3138A049" w14:textId="6560B11A" w:rsidR="00AB60B7" w:rsidRPr="009164C3" w:rsidRDefault="00AB60B7" w:rsidP="001C3BD5">
            <w:pPr>
              <w:spacing w:after="0" w:line="240" w:lineRule="auto"/>
              <w:jc w:val="center"/>
              <w:rPr>
                <w:rFonts w:ascii="Calibri" w:eastAsia="Times New Roman" w:hAnsi="Calibri" w:cs="Times New Roman"/>
                <w:color w:val="000000"/>
                <w:sz w:val="24"/>
                <w:szCs w:val="24"/>
              </w:rPr>
            </w:pPr>
          </w:p>
        </w:tc>
        <w:tc>
          <w:tcPr>
            <w:tcW w:w="1440" w:type="dxa"/>
            <w:tcBorders>
              <w:top w:val="nil"/>
              <w:left w:val="nil"/>
              <w:bottom w:val="nil"/>
              <w:right w:val="nil"/>
            </w:tcBorders>
            <w:shd w:val="clear" w:color="auto" w:fill="auto"/>
            <w:noWrap/>
            <w:vAlign w:val="bottom"/>
          </w:tcPr>
          <w:p w14:paraId="6469E317" w14:textId="2B40F419" w:rsidR="00AB60B7" w:rsidRPr="009164C3" w:rsidRDefault="00AB60B7" w:rsidP="001C3BD5">
            <w:pPr>
              <w:spacing w:after="0" w:line="240" w:lineRule="auto"/>
              <w:jc w:val="center"/>
              <w:rPr>
                <w:rFonts w:ascii="Calibri" w:eastAsia="Times New Roman" w:hAnsi="Calibri" w:cs="Times New Roman"/>
                <w:color w:val="000000"/>
                <w:sz w:val="24"/>
                <w:szCs w:val="24"/>
              </w:rPr>
            </w:pPr>
            <w:r w:rsidRPr="009164C3">
              <w:rPr>
                <w:rFonts w:ascii="Calibri" w:eastAsia="Times New Roman" w:hAnsi="Calibri" w:cs="Times New Roman"/>
                <w:color w:val="000000"/>
                <w:sz w:val="24"/>
                <w:szCs w:val="24"/>
              </w:rPr>
              <w:t>1.63</w:t>
            </w:r>
          </w:p>
        </w:tc>
        <w:tc>
          <w:tcPr>
            <w:tcW w:w="1530" w:type="dxa"/>
            <w:tcBorders>
              <w:top w:val="nil"/>
              <w:left w:val="nil"/>
              <w:bottom w:val="nil"/>
              <w:right w:val="nil"/>
            </w:tcBorders>
            <w:shd w:val="clear" w:color="auto" w:fill="auto"/>
            <w:noWrap/>
            <w:vAlign w:val="bottom"/>
          </w:tcPr>
          <w:p w14:paraId="4D39C9A3" w14:textId="75E1386C" w:rsidR="00AB60B7" w:rsidRPr="009164C3" w:rsidRDefault="00AB60B7" w:rsidP="001C3BD5">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     </w:t>
            </w:r>
            <w:r w:rsidRPr="009164C3">
              <w:rPr>
                <w:rFonts w:ascii="Calibri" w:eastAsia="Times New Roman" w:hAnsi="Calibri" w:cs="Times New Roman"/>
                <w:color w:val="000000"/>
                <w:sz w:val="24"/>
                <w:szCs w:val="24"/>
              </w:rPr>
              <w:t>4.52</w:t>
            </w:r>
            <w:r>
              <w:rPr>
                <w:rFonts w:ascii="Calibri" w:eastAsia="Times New Roman" w:hAnsi="Calibri" w:cs="Times New Roman"/>
                <w:color w:val="000000"/>
                <w:sz w:val="24"/>
                <w:szCs w:val="24"/>
              </w:rPr>
              <w:t>***</w:t>
            </w:r>
          </w:p>
        </w:tc>
        <w:tc>
          <w:tcPr>
            <w:tcW w:w="270" w:type="dxa"/>
            <w:tcBorders>
              <w:top w:val="nil"/>
              <w:left w:val="nil"/>
              <w:bottom w:val="nil"/>
              <w:right w:val="nil"/>
            </w:tcBorders>
            <w:shd w:val="clear" w:color="auto" w:fill="auto"/>
            <w:noWrap/>
            <w:vAlign w:val="bottom"/>
          </w:tcPr>
          <w:p w14:paraId="3CF95BB7" w14:textId="77777777" w:rsidR="00AB60B7" w:rsidRPr="009164C3" w:rsidRDefault="00AB60B7" w:rsidP="001C3BD5">
            <w:pPr>
              <w:spacing w:after="0" w:line="240" w:lineRule="auto"/>
              <w:jc w:val="right"/>
              <w:rPr>
                <w:rFonts w:ascii="Calibri" w:eastAsia="Times New Roman" w:hAnsi="Calibri" w:cs="Times New Roman"/>
                <w:color w:val="000000"/>
                <w:sz w:val="24"/>
                <w:szCs w:val="24"/>
              </w:rPr>
            </w:pPr>
          </w:p>
        </w:tc>
        <w:tc>
          <w:tcPr>
            <w:tcW w:w="990" w:type="dxa"/>
            <w:gridSpan w:val="3"/>
            <w:tcBorders>
              <w:top w:val="nil"/>
              <w:left w:val="nil"/>
              <w:bottom w:val="nil"/>
              <w:right w:val="nil"/>
            </w:tcBorders>
            <w:shd w:val="clear" w:color="auto" w:fill="auto"/>
            <w:noWrap/>
            <w:vAlign w:val="bottom"/>
          </w:tcPr>
          <w:p w14:paraId="45404BBB" w14:textId="77777777" w:rsidR="00AB60B7" w:rsidRPr="009164C3" w:rsidRDefault="00AB60B7" w:rsidP="001C3BD5">
            <w:pPr>
              <w:spacing w:after="0" w:line="240" w:lineRule="auto"/>
              <w:jc w:val="right"/>
              <w:rPr>
                <w:rFonts w:ascii="Calibri" w:eastAsia="Times New Roman" w:hAnsi="Calibri" w:cs="Times New Roman"/>
                <w:color w:val="000000"/>
                <w:sz w:val="24"/>
                <w:szCs w:val="24"/>
              </w:rPr>
            </w:pPr>
          </w:p>
        </w:tc>
      </w:tr>
      <w:tr w:rsidR="00AB60B7" w:rsidRPr="009164C3" w14:paraId="33F1483B" w14:textId="77777777" w:rsidTr="00AB60B7">
        <w:trPr>
          <w:trHeight w:val="315"/>
        </w:trPr>
        <w:tc>
          <w:tcPr>
            <w:tcW w:w="2265" w:type="dxa"/>
            <w:tcBorders>
              <w:top w:val="nil"/>
              <w:left w:val="nil"/>
              <w:bottom w:val="nil"/>
              <w:right w:val="nil"/>
            </w:tcBorders>
            <w:shd w:val="clear" w:color="auto" w:fill="auto"/>
            <w:noWrap/>
            <w:vAlign w:val="bottom"/>
          </w:tcPr>
          <w:p w14:paraId="534E2240" w14:textId="06245C82" w:rsidR="00AB60B7" w:rsidRPr="009164C3" w:rsidRDefault="00AB60B7" w:rsidP="001C3BD5">
            <w:pPr>
              <w:spacing w:after="0" w:line="240" w:lineRule="auto"/>
              <w:rPr>
                <w:rFonts w:ascii="Calibri" w:eastAsia="Times New Roman" w:hAnsi="Calibri" w:cs="Times New Roman"/>
                <w:color w:val="000000"/>
                <w:sz w:val="24"/>
                <w:szCs w:val="24"/>
              </w:rPr>
            </w:pPr>
            <w:r w:rsidRPr="00851045">
              <w:rPr>
                <w:rFonts w:ascii="Calibri" w:eastAsia="Times New Roman" w:hAnsi="Calibri" w:cs="Times New Roman"/>
                <w:b/>
                <w:bCs/>
                <w:color w:val="000000"/>
                <w:sz w:val="24"/>
                <w:szCs w:val="24"/>
              </w:rPr>
              <w:t>s</w:t>
            </w:r>
            <w:r w:rsidRPr="00851045">
              <w:rPr>
                <w:rFonts w:ascii="Calibri" w:eastAsia="Times New Roman" w:hAnsi="Calibri" w:cs="Times New Roman"/>
                <w:b/>
                <w:bCs/>
                <w:color w:val="000000"/>
                <w:sz w:val="24"/>
                <w:szCs w:val="24"/>
                <w:vertAlign w:val="subscript"/>
              </w:rPr>
              <w:t xml:space="preserve"> t</w:t>
            </w:r>
            <w:r w:rsidRPr="00851045">
              <w:rPr>
                <w:rFonts w:ascii="Calibri" w:eastAsia="Times New Roman" w:hAnsi="Calibri" w:cs="Times New Roman"/>
                <w:b/>
                <w:bCs/>
                <w:color w:val="000000"/>
                <w:sz w:val="24"/>
                <w:szCs w:val="24"/>
              </w:rPr>
              <w:t xml:space="preserve"> </w:t>
            </w:r>
            <w:r>
              <w:rPr>
                <w:rFonts w:ascii="Calibri" w:eastAsia="Times New Roman" w:hAnsi="Calibri" w:cs="Times New Roman"/>
                <w:b/>
                <w:bCs/>
                <w:color w:val="000000"/>
                <w:sz w:val="24"/>
                <w:szCs w:val="24"/>
              </w:rPr>
              <w:t>–</w:t>
            </w:r>
            <w:r w:rsidRPr="00851045">
              <w:rPr>
                <w:rFonts w:ascii="Calibri" w:eastAsia="Times New Roman" w:hAnsi="Calibri" w:cs="Times New Roman"/>
                <w:b/>
                <w:bCs/>
                <w:color w:val="000000"/>
                <w:sz w:val="24"/>
                <w:szCs w:val="24"/>
              </w:rPr>
              <w:t xml:space="preserve"> s</w:t>
            </w:r>
            <w:r w:rsidRPr="00851045">
              <w:rPr>
                <w:rFonts w:ascii="Calibri" w:eastAsia="Times New Roman" w:hAnsi="Calibri" w:cs="Times New Roman"/>
                <w:b/>
                <w:bCs/>
                <w:color w:val="000000"/>
                <w:sz w:val="24"/>
                <w:szCs w:val="24"/>
                <w:vertAlign w:val="subscript"/>
              </w:rPr>
              <w:t>t</w:t>
            </w:r>
            <w:r>
              <w:rPr>
                <w:rFonts w:ascii="Calibri" w:eastAsia="Times New Roman" w:hAnsi="Calibri" w:cs="Times New Roman"/>
                <w:b/>
                <w:bCs/>
                <w:color w:val="000000"/>
                <w:sz w:val="24"/>
                <w:szCs w:val="24"/>
                <w:vertAlign w:val="subscript"/>
              </w:rPr>
              <w:t>rend</w:t>
            </w:r>
          </w:p>
        </w:tc>
        <w:tc>
          <w:tcPr>
            <w:tcW w:w="1440" w:type="dxa"/>
            <w:tcBorders>
              <w:top w:val="nil"/>
              <w:left w:val="nil"/>
              <w:bottom w:val="nil"/>
              <w:right w:val="nil"/>
            </w:tcBorders>
            <w:shd w:val="clear" w:color="auto" w:fill="auto"/>
            <w:noWrap/>
            <w:vAlign w:val="bottom"/>
          </w:tcPr>
          <w:p w14:paraId="7784DC3F" w14:textId="3BFD9B4D" w:rsidR="00AB60B7" w:rsidRPr="009164C3" w:rsidRDefault="00AB60B7" w:rsidP="001C3BD5">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 </w:t>
            </w:r>
            <w:r w:rsidRPr="009164C3">
              <w:rPr>
                <w:rFonts w:ascii="Calibri" w:eastAsia="Times New Roman" w:hAnsi="Calibri" w:cs="Times New Roman"/>
                <w:color w:val="000000"/>
                <w:sz w:val="24"/>
                <w:szCs w:val="24"/>
              </w:rPr>
              <w:t>3.63</w:t>
            </w:r>
            <w:r>
              <w:rPr>
                <w:rFonts w:ascii="Calibri" w:eastAsia="Times New Roman" w:hAnsi="Calibri" w:cs="Times New Roman"/>
                <w:color w:val="000000"/>
                <w:sz w:val="24"/>
                <w:szCs w:val="24"/>
              </w:rPr>
              <w:t>***</w:t>
            </w:r>
          </w:p>
        </w:tc>
        <w:tc>
          <w:tcPr>
            <w:tcW w:w="1710" w:type="dxa"/>
            <w:tcBorders>
              <w:top w:val="nil"/>
              <w:left w:val="nil"/>
              <w:bottom w:val="nil"/>
              <w:right w:val="nil"/>
            </w:tcBorders>
            <w:shd w:val="clear" w:color="auto" w:fill="auto"/>
            <w:noWrap/>
            <w:vAlign w:val="bottom"/>
          </w:tcPr>
          <w:p w14:paraId="3F024569" w14:textId="0B3BBC08" w:rsidR="00AB60B7" w:rsidRPr="009164C3" w:rsidRDefault="00AB60B7" w:rsidP="001C3BD5">
            <w:pPr>
              <w:spacing w:after="0" w:line="240" w:lineRule="auto"/>
              <w:jc w:val="center"/>
              <w:rPr>
                <w:rFonts w:ascii="Calibri" w:eastAsia="Times New Roman" w:hAnsi="Calibri" w:cs="Times New Roman"/>
                <w:color w:val="000000"/>
                <w:sz w:val="24"/>
                <w:szCs w:val="24"/>
              </w:rPr>
            </w:pPr>
            <w:r w:rsidRPr="009164C3">
              <w:rPr>
                <w:rFonts w:ascii="Calibri" w:eastAsia="Times New Roman" w:hAnsi="Calibri" w:cs="Times New Roman"/>
                <w:color w:val="000000"/>
                <w:sz w:val="24"/>
                <w:szCs w:val="24"/>
              </w:rPr>
              <w:t>2.7</w:t>
            </w:r>
            <w:r>
              <w:rPr>
                <w:rFonts w:ascii="Calibri" w:eastAsia="Times New Roman" w:hAnsi="Calibri" w:cs="Times New Roman"/>
                <w:color w:val="000000"/>
                <w:sz w:val="24"/>
                <w:szCs w:val="24"/>
              </w:rPr>
              <w:t>***</w:t>
            </w:r>
          </w:p>
        </w:tc>
        <w:tc>
          <w:tcPr>
            <w:tcW w:w="1440" w:type="dxa"/>
            <w:tcBorders>
              <w:top w:val="nil"/>
              <w:left w:val="nil"/>
              <w:bottom w:val="nil"/>
              <w:right w:val="nil"/>
            </w:tcBorders>
            <w:shd w:val="clear" w:color="auto" w:fill="auto"/>
            <w:noWrap/>
            <w:vAlign w:val="bottom"/>
          </w:tcPr>
          <w:p w14:paraId="552DB5F8" w14:textId="0DA93755" w:rsidR="00AB60B7" w:rsidRPr="009164C3" w:rsidRDefault="00AB60B7" w:rsidP="001C3BD5">
            <w:pPr>
              <w:spacing w:after="0" w:line="240" w:lineRule="auto"/>
              <w:jc w:val="center"/>
              <w:rPr>
                <w:rFonts w:ascii="Calibri" w:eastAsia="Times New Roman" w:hAnsi="Calibri" w:cs="Times New Roman"/>
                <w:color w:val="000000"/>
                <w:sz w:val="24"/>
                <w:szCs w:val="24"/>
              </w:rPr>
            </w:pPr>
            <w:r w:rsidRPr="009164C3">
              <w:rPr>
                <w:rFonts w:ascii="Calibri" w:eastAsia="Times New Roman" w:hAnsi="Calibri" w:cs="Times New Roman"/>
                <w:color w:val="000000"/>
                <w:sz w:val="24"/>
                <w:szCs w:val="24"/>
              </w:rPr>
              <w:t>2.65</w:t>
            </w:r>
            <w:r>
              <w:rPr>
                <w:rFonts w:ascii="Calibri" w:eastAsia="Times New Roman" w:hAnsi="Calibri" w:cs="Times New Roman"/>
                <w:color w:val="000000"/>
                <w:sz w:val="24"/>
                <w:szCs w:val="24"/>
              </w:rPr>
              <w:t>***</w:t>
            </w:r>
          </w:p>
        </w:tc>
        <w:tc>
          <w:tcPr>
            <w:tcW w:w="1530" w:type="dxa"/>
            <w:tcBorders>
              <w:top w:val="nil"/>
              <w:left w:val="nil"/>
              <w:bottom w:val="nil"/>
              <w:right w:val="nil"/>
            </w:tcBorders>
            <w:shd w:val="clear" w:color="auto" w:fill="auto"/>
            <w:noWrap/>
            <w:vAlign w:val="bottom"/>
          </w:tcPr>
          <w:p w14:paraId="55AAC95A" w14:textId="2FBC62BD" w:rsidR="00AB60B7" w:rsidRPr="009164C3" w:rsidRDefault="00AB60B7" w:rsidP="001C3BD5">
            <w:pPr>
              <w:spacing w:after="0" w:line="240" w:lineRule="auto"/>
              <w:jc w:val="center"/>
              <w:rPr>
                <w:rFonts w:ascii="Calibri" w:eastAsia="Times New Roman" w:hAnsi="Calibri" w:cs="Times New Roman"/>
                <w:color w:val="000000"/>
                <w:sz w:val="24"/>
                <w:szCs w:val="24"/>
              </w:rPr>
            </w:pPr>
            <w:r w:rsidRPr="009164C3">
              <w:rPr>
                <w:rFonts w:ascii="Calibri" w:eastAsia="Times New Roman" w:hAnsi="Calibri" w:cs="Times New Roman"/>
                <w:color w:val="000000"/>
                <w:sz w:val="24"/>
                <w:szCs w:val="24"/>
              </w:rPr>
              <w:t>1.82</w:t>
            </w:r>
            <w:r>
              <w:rPr>
                <w:rFonts w:ascii="Calibri" w:eastAsia="Times New Roman" w:hAnsi="Calibri" w:cs="Times New Roman"/>
                <w:color w:val="000000"/>
                <w:sz w:val="24"/>
                <w:szCs w:val="24"/>
              </w:rPr>
              <w:t>*</w:t>
            </w:r>
          </w:p>
        </w:tc>
        <w:tc>
          <w:tcPr>
            <w:tcW w:w="270" w:type="dxa"/>
            <w:tcBorders>
              <w:top w:val="nil"/>
              <w:left w:val="nil"/>
              <w:bottom w:val="nil"/>
              <w:right w:val="nil"/>
            </w:tcBorders>
            <w:shd w:val="clear" w:color="auto" w:fill="auto"/>
            <w:noWrap/>
            <w:vAlign w:val="bottom"/>
          </w:tcPr>
          <w:p w14:paraId="13FB6EDE" w14:textId="77777777" w:rsidR="00AB60B7" w:rsidRPr="009164C3" w:rsidRDefault="00AB60B7" w:rsidP="001C3BD5">
            <w:pPr>
              <w:spacing w:after="0" w:line="240" w:lineRule="auto"/>
              <w:jc w:val="right"/>
              <w:rPr>
                <w:rFonts w:ascii="Calibri" w:eastAsia="Times New Roman" w:hAnsi="Calibri" w:cs="Times New Roman"/>
                <w:color w:val="000000"/>
                <w:sz w:val="24"/>
                <w:szCs w:val="24"/>
              </w:rPr>
            </w:pPr>
          </w:p>
        </w:tc>
        <w:tc>
          <w:tcPr>
            <w:tcW w:w="990" w:type="dxa"/>
            <w:gridSpan w:val="3"/>
            <w:tcBorders>
              <w:top w:val="nil"/>
              <w:left w:val="nil"/>
              <w:bottom w:val="nil"/>
              <w:right w:val="nil"/>
            </w:tcBorders>
            <w:shd w:val="clear" w:color="auto" w:fill="auto"/>
            <w:noWrap/>
            <w:vAlign w:val="bottom"/>
          </w:tcPr>
          <w:p w14:paraId="2FD90714" w14:textId="77777777" w:rsidR="00AB60B7" w:rsidRPr="009164C3" w:rsidRDefault="00AB60B7" w:rsidP="001C3BD5">
            <w:pPr>
              <w:spacing w:after="0" w:line="240" w:lineRule="auto"/>
              <w:jc w:val="right"/>
              <w:rPr>
                <w:rFonts w:ascii="Calibri" w:eastAsia="Times New Roman" w:hAnsi="Calibri" w:cs="Times New Roman"/>
                <w:color w:val="000000"/>
                <w:sz w:val="24"/>
                <w:szCs w:val="24"/>
              </w:rPr>
            </w:pPr>
          </w:p>
        </w:tc>
      </w:tr>
      <w:tr w:rsidR="00AB60B7" w:rsidRPr="009164C3" w14:paraId="7402E4D0" w14:textId="77777777" w:rsidTr="009371EC">
        <w:trPr>
          <w:trHeight w:val="315"/>
        </w:trPr>
        <w:tc>
          <w:tcPr>
            <w:tcW w:w="2265" w:type="dxa"/>
            <w:tcBorders>
              <w:top w:val="nil"/>
              <w:left w:val="nil"/>
              <w:bottom w:val="nil"/>
              <w:right w:val="nil"/>
            </w:tcBorders>
            <w:shd w:val="clear" w:color="auto" w:fill="auto"/>
            <w:noWrap/>
            <w:vAlign w:val="bottom"/>
            <w:hideMark/>
          </w:tcPr>
          <w:p w14:paraId="4A6CE197" w14:textId="77777777" w:rsidR="00AB60B7" w:rsidRPr="009164C3" w:rsidRDefault="00AB60B7" w:rsidP="001C3BD5">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Reserves/</w:t>
            </w:r>
            <w:r w:rsidRPr="009164C3">
              <w:rPr>
                <w:rFonts w:ascii="Calibri" w:eastAsia="Times New Roman" w:hAnsi="Calibri" w:cs="Times New Roman"/>
                <w:color w:val="000000"/>
                <w:sz w:val="24"/>
                <w:szCs w:val="24"/>
              </w:rPr>
              <w:t>GDP</w:t>
            </w:r>
          </w:p>
        </w:tc>
        <w:tc>
          <w:tcPr>
            <w:tcW w:w="1440" w:type="dxa"/>
            <w:tcBorders>
              <w:top w:val="nil"/>
              <w:left w:val="nil"/>
              <w:bottom w:val="nil"/>
              <w:right w:val="nil"/>
            </w:tcBorders>
            <w:shd w:val="clear" w:color="auto" w:fill="auto"/>
            <w:noWrap/>
            <w:vAlign w:val="bottom"/>
            <w:hideMark/>
          </w:tcPr>
          <w:p w14:paraId="4E1735BF" w14:textId="77777777" w:rsidR="00AB60B7" w:rsidRPr="009164C3" w:rsidRDefault="00AB60B7" w:rsidP="001C3BD5">
            <w:pPr>
              <w:spacing w:after="0" w:line="240" w:lineRule="auto"/>
              <w:jc w:val="center"/>
              <w:rPr>
                <w:rFonts w:ascii="Calibri" w:eastAsia="Times New Roman" w:hAnsi="Calibri" w:cs="Times New Roman"/>
                <w:color w:val="000000"/>
                <w:sz w:val="24"/>
                <w:szCs w:val="24"/>
              </w:rPr>
            </w:pPr>
          </w:p>
        </w:tc>
        <w:tc>
          <w:tcPr>
            <w:tcW w:w="1710" w:type="dxa"/>
            <w:tcBorders>
              <w:top w:val="nil"/>
              <w:left w:val="nil"/>
              <w:bottom w:val="nil"/>
              <w:right w:val="nil"/>
            </w:tcBorders>
            <w:shd w:val="clear" w:color="auto" w:fill="auto"/>
            <w:noWrap/>
            <w:vAlign w:val="bottom"/>
            <w:hideMark/>
          </w:tcPr>
          <w:p w14:paraId="6B75BCB2" w14:textId="3B65C224" w:rsidR="00AB60B7" w:rsidRPr="009164C3" w:rsidRDefault="00AB60B7" w:rsidP="001C3BD5">
            <w:pPr>
              <w:spacing w:after="0" w:line="240" w:lineRule="auto"/>
              <w:jc w:val="center"/>
              <w:rPr>
                <w:rFonts w:ascii="Calibri" w:eastAsia="Times New Roman" w:hAnsi="Calibri" w:cs="Times New Roman"/>
                <w:color w:val="000000"/>
                <w:sz w:val="24"/>
                <w:szCs w:val="24"/>
              </w:rPr>
            </w:pPr>
            <w:r w:rsidRPr="009164C3">
              <w:rPr>
                <w:rFonts w:ascii="Calibri" w:eastAsia="Times New Roman" w:hAnsi="Calibri" w:cs="Times New Roman"/>
                <w:color w:val="000000"/>
                <w:sz w:val="24"/>
                <w:szCs w:val="24"/>
              </w:rPr>
              <w:t>-2.86</w:t>
            </w:r>
            <w:r>
              <w:rPr>
                <w:rFonts w:ascii="Calibri" w:eastAsia="Times New Roman" w:hAnsi="Calibri" w:cs="Times New Roman"/>
                <w:color w:val="000000"/>
                <w:sz w:val="24"/>
                <w:szCs w:val="24"/>
              </w:rPr>
              <w:t>***</w:t>
            </w:r>
          </w:p>
        </w:tc>
        <w:tc>
          <w:tcPr>
            <w:tcW w:w="1440" w:type="dxa"/>
            <w:tcBorders>
              <w:top w:val="nil"/>
              <w:left w:val="nil"/>
              <w:bottom w:val="nil"/>
              <w:right w:val="nil"/>
            </w:tcBorders>
            <w:shd w:val="clear" w:color="auto" w:fill="auto"/>
            <w:noWrap/>
            <w:vAlign w:val="bottom"/>
            <w:hideMark/>
          </w:tcPr>
          <w:p w14:paraId="1ED4F07A" w14:textId="0D08F8EB" w:rsidR="00AB60B7" w:rsidRPr="009164C3" w:rsidRDefault="00AB60B7" w:rsidP="001C3BD5">
            <w:pPr>
              <w:spacing w:after="0" w:line="240" w:lineRule="auto"/>
              <w:jc w:val="center"/>
              <w:rPr>
                <w:rFonts w:ascii="Calibri" w:eastAsia="Times New Roman" w:hAnsi="Calibri" w:cs="Times New Roman"/>
                <w:color w:val="000000"/>
                <w:sz w:val="24"/>
                <w:szCs w:val="24"/>
              </w:rPr>
            </w:pPr>
            <w:r w:rsidRPr="009164C3">
              <w:rPr>
                <w:rFonts w:ascii="Calibri" w:eastAsia="Times New Roman" w:hAnsi="Calibri" w:cs="Times New Roman"/>
                <w:color w:val="000000"/>
                <w:sz w:val="24"/>
                <w:szCs w:val="24"/>
              </w:rPr>
              <w:t>-2.6</w:t>
            </w:r>
            <w:r>
              <w:rPr>
                <w:rFonts w:ascii="Calibri" w:eastAsia="Times New Roman" w:hAnsi="Calibri" w:cs="Times New Roman"/>
                <w:color w:val="000000"/>
                <w:sz w:val="24"/>
                <w:szCs w:val="24"/>
              </w:rPr>
              <w:t>***</w:t>
            </w:r>
          </w:p>
        </w:tc>
        <w:tc>
          <w:tcPr>
            <w:tcW w:w="1530" w:type="dxa"/>
            <w:tcBorders>
              <w:top w:val="nil"/>
              <w:left w:val="nil"/>
              <w:bottom w:val="nil"/>
              <w:right w:val="nil"/>
            </w:tcBorders>
            <w:shd w:val="clear" w:color="auto" w:fill="auto"/>
            <w:noWrap/>
            <w:vAlign w:val="bottom"/>
            <w:hideMark/>
          </w:tcPr>
          <w:p w14:paraId="6A1A3CE1" w14:textId="77777777" w:rsidR="00AB60B7" w:rsidRPr="009164C3" w:rsidRDefault="00AB60B7" w:rsidP="001C3BD5">
            <w:pPr>
              <w:spacing w:after="0" w:line="240" w:lineRule="auto"/>
              <w:jc w:val="center"/>
              <w:rPr>
                <w:rFonts w:ascii="Calibri" w:eastAsia="Times New Roman" w:hAnsi="Calibri" w:cs="Times New Roman"/>
                <w:color w:val="000000"/>
                <w:sz w:val="24"/>
                <w:szCs w:val="24"/>
              </w:rPr>
            </w:pPr>
            <w:r w:rsidRPr="009164C3">
              <w:rPr>
                <w:rFonts w:ascii="Calibri" w:eastAsia="Times New Roman" w:hAnsi="Calibri" w:cs="Times New Roman"/>
                <w:color w:val="000000"/>
                <w:sz w:val="24"/>
                <w:szCs w:val="24"/>
              </w:rPr>
              <w:t>1.2</w:t>
            </w:r>
          </w:p>
        </w:tc>
        <w:tc>
          <w:tcPr>
            <w:tcW w:w="270" w:type="dxa"/>
            <w:tcBorders>
              <w:top w:val="nil"/>
              <w:left w:val="nil"/>
              <w:bottom w:val="nil"/>
              <w:right w:val="nil"/>
            </w:tcBorders>
            <w:shd w:val="clear" w:color="auto" w:fill="auto"/>
            <w:noWrap/>
            <w:vAlign w:val="bottom"/>
          </w:tcPr>
          <w:p w14:paraId="0B9E654C" w14:textId="77777777" w:rsidR="00AB60B7" w:rsidRPr="009164C3" w:rsidRDefault="00AB60B7" w:rsidP="001C3BD5">
            <w:pPr>
              <w:spacing w:after="0" w:line="240" w:lineRule="auto"/>
              <w:rPr>
                <w:rFonts w:ascii="Calibri" w:eastAsia="Times New Roman" w:hAnsi="Calibri" w:cs="Times New Roman"/>
                <w:color w:val="000000"/>
                <w:sz w:val="24"/>
                <w:szCs w:val="24"/>
              </w:rPr>
            </w:pPr>
          </w:p>
        </w:tc>
        <w:tc>
          <w:tcPr>
            <w:tcW w:w="990" w:type="dxa"/>
            <w:gridSpan w:val="3"/>
            <w:tcBorders>
              <w:top w:val="nil"/>
              <w:left w:val="nil"/>
              <w:bottom w:val="nil"/>
              <w:right w:val="nil"/>
            </w:tcBorders>
            <w:shd w:val="clear" w:color="auto" w:fill="auto"/>
            <w:noWrap/>
            <w:vAlign w:val="bottom"/>
          </w:tcPr>
          <w:p w14:paraId="56A0DB1E" w14:textId="77777777" w:rsidR="00AB60B7" w:rsidRPr="009164C3" w:rsidRDefault="00AB60B7" w:rsidP="001C3BD5">
            <w:pPr>
              <w:spacing w:after="0" w:line="240" w:lineRule="auto"/>
              <w:jc w:val="right"/>
              <w:rPr>
                <w:rFonts w:ascii="Calibri" w:eastAsia="Times New Roman" w:hAnsi="Calibri" w:cs="Times New Roman"/>
                <w:color w:val="000000"/>
                <w:sz w:val="24"/>
                <w:szCs w:val="24"/>
              </w:rPr>
            </w:pPr>
          </w:p>
        </w:tc>
      </w:tr>
      <w:tr w:rsidR="00AB60B7" w:rsidRPr="009164C3" w14:paraId="1008B854" w14:textId="77777777" w:rsidTr="009371EC">
        <w:trPr>
          <w:trHeight w:val="315"/>
        </w:trPr>
        <w:tc>
          <w:tcPr>
            <w:tcW w:w="2265" w:type="dxa"/>
            <w:tcBorders>
              <w:top w:val="nil"/>
              <w:left w:val="nil"/>
              <w:bottom w:val="nil"/>
              <w:right w:val="nil"/>
            </w:tcBorders>
            <w:shd w:val="clear" w:color="auto" w:fill="auto"/>
            <w:noWrap/>
            <w:vAlign w:val="bottom"/>
            <w:hideMark/>
          </w:tcPr>
          <w:p w14:paraId="2E10F461" w14:textId="77777777" w:rsidR="00AB60B7" w:rsidRPr="009164C3" w:rsidRDefault="00AB60B7" w:rsidP="001C3BD5">
            <w:pPr>
              <w:spacing w:after="0" w:line="240" w:lineRule="auto"/>
              <w:rPr>
                <w:rFonts w:ascii="Calibri" w:eastAsia="Times New Roman" w:hAnsi="Calibri" w:cs="Times New Roman"/>
                <w:color w:val="000000"/>
                <w:sz w:val="24"/>
                <w:szCs w:val="24"/>
              </w:rPr>
            </w:pPr>
            <w:r w:rsidRPr="009164C3">
              <w:rPr>
                <w:rFonts w:ascii="Calibri" w:eastAsia="Times New Roman" w:hAnsi="Calibri" w:cs="Times New Roman"/>
                <w:color w:val="000000"/>
                <w:sz w:val="24"/>
                <w:szCs w:val="24"/>
              </w:rPr>
              <w:t>constant</w:t>
            </w:r>
          </w:p>
        </w:tc>
        <w:tc>
          <w:tcPr>
            <w:tcW w:w="1440" w:type="dxa"/>
            <w:tcBorders>
              <w:top w:val="nil"/>
              <w:left w:val="nil"/>
              <w:bottom w:val="nil"/>
              <w:right w:val="nil"/>
            </w:tcBorders>
            <w:shd w:val="clear" w:color="auto" w:fill="auto"/>
            <w:noWrap/>
            <w:vAlign w:val="bottom"/>
            <w:hideMark/>
          </w:tcPr>
          <w:p w14:paraId="5B7BE79B" w14:textId="6132DC3D" w:rsidR="00AB60B7" w:rsidRPr="009164C3" w:rsidRDefault="00AB60B7" w:rsidP="001C3BD5">
            <w:pPr>
              <w:spacing w:after="0" w:line="240" w:lineRule="auto"/>
              <w:jc w:val="center"/>
              <w:rPr>
                <w:rFonts w:ascii="Calibri" w:eastAsia="Times New Roman" w:hAnsi="Calibri" w:cs="Times New Roman"/>
                <w:color w:val="000000"/>
                <w:sz w:val="24"/>
                <w:szCs w:val="24"/>
              </w:rPr>
            </w:pPr>
            <w:r w:rsidRPr="009164C3">
              <w:rPr>
                <w:rFonts w:ascii="Calibri" w:eastAsia="Times New Roman" w:hAnsi="Calibri" w:cs="Times New Roman"/>
                <w:color w:val="000000"/>
                <w:sz w:val="24"/>
                <w:szCs w:val="24"/>
              </w:rPr>
              <w:t>4.3</w:t>
            </w:r>
            <w:r>
              <w:rPr>
                <w:rFonts w:ascii="Calibri" w:eastAsia="Times New Roman" w:hAnsi="Calibri" w:cs="Times New Roman"/>
                <w:color w:val="000000"/>
                <w:sz w:val="24"/>
                <w:szCs w:val="24"/>
              </w:rPr>
              <w:t>***</w:t>
            </w:r>
          </w:p>
        </w:tc>
        <w:tc>
          <w:tcPr>
            <w:tcW w:w="1710" w:type="dxa"/>
            <w:tcBorders>
              <w:top w:val="nil"/>
              <w:left w:val="nil"/>
              <w:bottom w:val="nil"/>
              <w:right w:val="nil"/>
            </w:tcBorders>
            <w:shd w:val="clear" w:color="auto" w:fill="auto"/>
            <w:noWrap/>
            <w:vAlign w:val="bottom"/>
            <w:hideMark/>
          </w:tcPr>
          <w:p w14:paraId="3B711241" w14:textId="49D5B313" w:rsidR="00AB60B7" w:rsidRPr="009164C3" w:rsidRDefault="00AB60B7" w:rsidP="001C3BD5">
            <w:pPr>
              <w:spacing w:after="0" w:line="240" w:lineRule="auto"/>
              <w:jc w:val="center"/>
              <w:rPr>
                <w:rFonts w:ascii="Calibri" w:eastAsia="Times New Roman" w:hAnsi="Calibri" w:cs="Times New Roman"/>
                <w:color w:val="000000"/>
                <w:sz w:val="24"/>
                <w:szCs w:val="24"/>
              </w:rPr>
            </w:pPr>
            <w:r w:rsidRPr="009164C3">
              <w:rPr>
                <w:rFonts w:ascii="Calibri" w:eastAsia="Times New Roman" w:hAnsi="Calibri" w:cs="Times New Roman"/>
                <w:color w:val="000000"/>
                <w:sz w:val="24"/>
                <w:szCs w:val="24"/>
              </w:rPr>
              <w:t>3.38</w:t>
            </w:r>
            <w:r>
              <w:rPr>
                <w:rFonts w:ascii="Calibri" w:eastAsia="Times New Roman" w:hAnsi="Calibri" w:cs="Times New Roman"/>
                <w:color w:val="000000"/>
                <w:sz w:val="24"/>
                <w:szCs w:val="24"/>
              </w:rPr>
              <w:t>***</w:t>
            </w:r>
          </w:p>
        </w:tc>
        <w:tc>
          <w:tcPr>
            <w:tcW w:w="1440" w:type="dxa"/>
            <w:tcBorders>
              <w:top w:val="nil"/>
              <w:left w:val="nil"/>
              <w:bottom w:val="nil"/>
              <w:right w:val="nil"/>
            </w:tcBorders>
            <w:shd w:val="clear" w:color="auto" w:fill="auto"/>
            <w:noWrap/>
            <w:vAlign w:val="bottom"/>
            <w:hideMark/>
          </w:tcPr>
          <w:p w14:paraId="7BD6257F" w14:textId="2C420060" w:rsidR="00AB60B7" w:rsidRPr="009164C3" w:rsidRDefault="00AB60B7" w:rsidP="001C3BD5">
            <w:pPr>
              <w:spacing w:after="0" w:line="240" w:lineRule="auto"/>
              <w:jc w:val="center"/>
              <w:rPr>
                <w:rFonts w:ascii="Calibri" w:eastAsia="Times New Roman" w:hAnsi="Calibri" w:cs="Times New Roman"/>
                <w:color w:val="000000"/>
                <w:sz w:val="24"/>
                <w:szCs w:val="24"/>
              </w:rPr>
            </w:pPr>
            <w:r w:rsidRPr="009164C3">
              <w:rPr>
                <w:rFonts w:ascii="Calibri" w:eastAsia="Times New Roman" w:hAnsi="Calibri" w:cs="Times New Roman"/>
                <w:color w:val="000000"/>
                <w:sz w:val="24"/>
                <w:szCs w:val="24"/>
              </w:rPr>
              <w:t>3.13</w:t>
            </w:r>
            <w:r>
              <w:rPr>
                <w:rFonts w:ascii="Calibri" w:eastAsia="Times New Roman" w:hAnsi="Calibri" w:cs="Times New Roman"/>
                <w:color w:val="000000"/>
                <w:sz w:val="24"/>
                <w:szCs w:val="24"/>
              </w:rPr>
              <w:t>***</w:t>
            </w:r>
          </w:p>
        </w:tc>
        <w:tc>
          <w:tcPr>
            <w:tcW w:w="1530" w:type="dxa"/>
            <w:tcBorders>
              <w:top w:val="nil"/>
              <w:left w:val="nil"/>
              <w:bottom w:val="nil"/>
              <w:right w:val="nil"/>
            </w:tcBorders>
            <w:shd w:val="clear" w:color="auto" w:fill="auto"/>
            <w:noWrap/>
            <w:vAlign w:val="bottom"/>
          </w:tcPr>
          <w:p w14:paraId="616969D4" w14:textId="77777777" w:rsidR="00AB60B7" w:rsidRPr="009164C3" w:rsidRDefault="00AB60B7" w:rsidP="001C3BD5">
            <w:pPr>
              <w:spacing w:after="0" w:line="240" w:lineRule="auto"/>
              <w:jc w:val="center"/>
              <w:rPr>
                <w:rFonts w:ascii="Calibri" w:eastAsia="Times New Roman" w:hAnsi="Calibri" w:cs="Times New Roman"/>
                <w:color w:val="000000"/>
                <w:sz w:val="24"/>
                <w:szCs w:val="24"/>
              </w:rPr>
            </w:pPr>
            <w:r w:rsidRPr="009164C3">
              <w:rPr>
                <w:rFonts w:ascii="Calibri" w:eastAsia="Times New Roman" w:hAnsi="Calibri" w:cs="Times New Roman"/>
                <w:color w:val="000000"/>
                <w:sz w:val="24"/>
                <w:szCs w:val="24"/>
              </w:rPr>
              <w:t>-0.81</w:t>
            </w:r>
          </w:p>
        </w:tc>
        <w:tc>
          <w:tcPr>
            <w:tcW w:w="270" w:type="dxa"/>
            <w:tcBorders>
              <w:top w:val="nil"/>
              <w:left w:val="nil"/>
              <w:bottom w:val="nil"/>
              <w:right w:val="nil"/>
            </w:tcBorders>
            <w:shd w:val="clear" w:color="auto" w:fill="auto"/>
            <w:noWrap/>
            <w:vAlign w:val="bottom"/>
          </w:tcPr>
          <w:p w14:paraId="240DCB0D" w14:textId="77777777" w:rsidR="00AB60B7" w:rsidRPr="009164C3" w:rsidRDefault="00AB60B7" w:rsidP="001C3BD5">
            <w:pPr>
              <w:spacing w:after="0" w:line="240" w:lineRule="auto"/>
              <w:rPr>
                <w:rFonts w:ascii="Calibri" w:eastAsia="Times New Roman" w:hAnsi="Calibri" w:cs="Times New Roman"/>
                <w:color w:val="000000"/>
                <w:sz w:val="24"/>
                <w:szCs w:val="24"/>
              </w:rPr>
            </w:pPr>
          </w:p>
        </w:tc>
        <w:tc>
          <w:tcPr>
            <w:tcW w:w="990" w:type="dxa"/>
            <w:gridSpan w:val="3"/>
            <w:tcBorders>
              <w:top w:val="nil"/>
              <w:left w:val="nil"/>
              <w:bottom w:val="nil"/>
              <w:right w:val="nil"/>
            </w:tcBorders>
            <w:shd w:val="clear" w:color="auto" w:fill="auto"/>
            <w:noWrap/>
            <w:vAlign w:val="bottom"/>
          </w:tcPr>
          <w:p w14:paraId="40336DD1" w14:textId="77777777" w:rsidR="00AB60B7" w:rsidRPr="009164C3" w:rsidRDefault="00AB60B7" w:rsidP="001C3BD5">
            <w:pPr>
              <w:spacing w:after="0" w:line="240" w:lineRule="auto"/>
              <w:jc w:val="right"/>
              <w:rPr>
                <w:rFonts w:ascii="Calibri" w:eastAsia="Times New Roman" w:hAnsi="Calibri" w:cs="Times New Roman"/>
                <w:color w:val="000000"/>
                <w:sz w:val="24"/>
                <w:szCs w:val="24"/>
              </w:rPr>
            </w:pPr>
          </w:p>
        </w:tc>
      </w:tr>
    </w:tbl>
    <w:p w14:paraId="39943A58" w14:textId="49F30A54" w:rsidR="0042142F" w:rsidRPr="00A84A29" w:rsidRDefault="00A84A29" w:rsidP="00A84A29">
      <w:pPr>
        <w:ind w:left="360"/>
      </w:pPr>
      <w:r>
        <w:rPr>
          <w:rFonts w:ascii="Helvetica" w:hAnsi="Helvetica" w:cs="Helvetica"/>
          <w:color w:val="2C2825"/>
        </w:rPr>
        <w:br/>
      </w:r>
      <w:r>
        <w:t>t-statistic significant at:  * 10 % level  ** 5 % level  *** 1% level</w:t>
      </w:r>
    </w:p>
    <w:p w14:paraId="6B48D31A" w14:textId="0E10B207" w:rsidR="00977DEA" w:rsidRPr="004D196F" w:rsidRDefault="0042142F" w:rsidP="00977DEA">
      <w:pPr>
        <w:rPr>
          <w:rFonts w:eastAsia="Times New Roman" w:cs="Times New Roman"/>
          <w:color w:val="000000"/>
        </w:rPr>
      </w:pPr>
      <w:r w:rsidRPr="004D196F">
        <w:t>Note:   A more complete set of results is reported in an on-line</w:t>
      </w:r>
      <w:hyperlink r:id="rId18" w:history="1">
        <w:r w:rsidRPr="004D196F">
          <w:rPr>
            <w:rStyle w:val="Hyperlink"/>
            <w:rFonts w:cs="Helvetica"/>
            <w:color w:val="215990"/>
            <w:shd w:val="clear" w:color="auto" w:fill="FFFFFF"/>
          </w:rPr>
          <w:t xml:space="preserve"> appendix</w:t>
        </w:r>
      </w:hyperlink>
      <w:r w:rsidRPr="004D196F">
        <w:rPr>
          <w:rStyle w:val="apple-converted-space"/>
          <w:rFonts w:cs="Helvetica"/>
          <w:color w:val="1E1E1E"/>
          <w:shd w:val="clear" w:color="auto" w:fill="FFFFFF"/>
        </w:rPr>
        <w:t> </w:t>
      </w:r>
      <w:r w:rsidRPr="004D196F">
        <w:rPr>
          <w:rFonts w:cs="Helvetica"/>
          <w:color w:val="1E1E1E"/>
          <w:shd w:val="clear" w:color="auto" w:fill="FFFFFF"/>
        </w:rPr>
        <w:t>(</w:t>
      </w:r>
      <w:hyperlink r:id="rId19" w:history="1">
        <w:r w:rsidRPr="004D196F">
          <w:rPr>
            <w:rStyle w:val="Hyperlink"/>
            <w:rFonts w:cs="Helvetica"/>
            <w:color w:val="215990"/>
            <w:shd w:val="clear" w:color="auto" w:fill="FFFFFF"/>
          </w:rPr>
          <w:t>pdf</w:t>
        </w:r>
      </w:hyperlink>
      <w:r w:rsidRPr="004D196F">
        <w:rPr>
          <w:rFonts w:cs="Helvetica"/>
          <w:color w:val="1E1E1E"/>
          <w:shd w:val="clear" w:color="auto" w:fill="FFFFFF"/>
        </w:rPr>
        <w:t>)</w:t>
      </w:r>
      <w:r w:rsidRPr="004D196F">
        <w:rPr>
          <w:rStyle w:val="apple-converted-space"/>
          <w:rFonts w:ascii="Helvetica" w:hAnsi="Helvetica" w:cs="Helvetica"/>
          <w:color w:val="1E1E1E"/>
          <w:shd w:val="clear" w:color="auto" w:fill="FFFFFF"/>
        </w:rPr>
        <w:t>.</w:t>
      </w:r>
      <w:r w:rsidRPr="004D196F">
        <w:t xml:space="preserve">  It includes, for example, tests for evidence that foreign exchange intervention is influenced by inflation relative to an inflation target.  It also allows for three structural breaks, with the dates taken from Frömmel and Midiliç (2016): </w:t>
      </w:r>
      <w:r w:rsidRPr="004D196F">
        <w:rPr>
          <w:rFonts w:eastAsia="Times New Roman" w:cs="Times New Roman"/>
          <w:color w:val="000000"/>
        </w:rPr>
        <w:t>2007m10-2011m7, 2011m8-2013m6, 2013m7-2014m1.</w:t>
      </w:r>
      <w:r w:rsidR="004D196F" w:rsidRPr="004D196F">
        <w:rPr>
          <w:rFonts w:eastAsia="Times New Roman" w:cs="Times New Roman"/>
          <w:color w:val="000000"/>
        </w:rPr>
        <w:t xml:space="preserve">   </w:t>
      </w:r>
      <w:r w:rsidR="004D196F" w:rsidRPr="004D196F">
        <w:t>[More complete tables may be added in a later draft.]</w:t>
      </w:r>
    </w:p>
    <w:p w14:paraId="3A2231C5" w14:textId="285F58FA" w:rsidR="00AB766C" w:rsidRPr="00977DEA" w:rsidRDefault="002B195B" w:rsidP="00977DEA">
      <w:pPr>
        <w:jc w:val="center"/>
        <w:rPr>
          <w:rFonts w:eastAsia="Times New Roman" w:cs="Times New Roman"/>
          <w:color w:val="000000"/>
          <w:sz w:val="20"/>
          <w:szCs w:val="20"/>
        </w:rPr>
      </w:pPr>
      <w:r w:rsidRPr="00977DEA">
        <w:rPr>
          <w:sz w:val="2"/>
          <w:szCs w:val="2"/>
        </w:rPr>
        <w:br/>
      </w:r>
    </w:p>
    <w:p w14:paraId="4CDC2776" w14:textId="77777777" w:rsidR="00D173F6" w:rsidRPr="00D173F6" w:rsidRDefault="00D173F6" w:rsidP="00D173F6">
      <w:pPr>
        <w:ind w:firstLine="720"/>
        <w:rPr>
          <w:sz w:val="24"/>
          <w:szCs w:val="24"/>
        </w:rPr>
      </w:pPr>
      <w:r w:rsidRPr="00D173F6">
        <w:rPr>
          <w:sz w:val="24"/>
          <w:szCs w:val="24"/>
        </w:rPr>
        <w:t>To conclude, we get somewhat different answers when we use intervention data to investigate the reaction function of the Central Bank of the Republic of Turkey from the answers when we use data on reserve changes.   But in both cases we find evidence of a systematic effort to dampen volatility of the exchange rate.</w:t>
      </w:r>
    </w:p>
    <w:p w14:paraId="34E2ABFD" w14:textId="77777777" w:rsidR="002B195B" w:rsidRDefault="002B195B" w:rsidP="00D173F6">
      <w:pPr>
        <w:pStyle w:val="ListParagraph"/>
        <w:ind w:left="360"/>
        <w:rPr>
          <w:sz w:val="24"/>
          <w:szCs w:val="24"/>
        </w:rPr>
      </w:pPr>
    </w:p>
    <w:p w14:paraId="76ECE5BE" w14:textId="77777777" w:rsidR="00FE6187" w:rsidRPr="003C0865" w:rsidRDefault="00FE6187" w:rsidP="000E7009">
      <w:pPr>
        <w:pStyle w:val="ListParagraph"/>
        <w:ind w:left="1440"/>
        <w:rPr>
          <w:sz w:val="24"/>
          <w:szCs w:val="24"/>
        </w:rPr>
      </w:pPr>
    </w:p>
    <w:p w14:paraId="7936AC3F" w14:textId="77777777" w:rsidR="00CF36F4" w:rsidRDefault="00A471BB" w:rsidP="00CF36F4">
      <w:pPr>
        <w:pStyle w:val="ListParagraph"/>
        <w:numPr>
          <w:ilvl w:val="0"/>
          <w:numId w:val="1"/>
        </w:numPr>
        <w:rPr>
          <w:b/>
          <w:sz w:val="24"/>
          <w:szCs w:val="24"/>
        </w:rPr>
      </w:pPr>
      <w:r w:rsidRPr="009B3044">
        <w:rPr>
          <w:b/>
          <w:sz w:val="24"/>
          <w:szCs w:val="24"/>
        </w:rPr>
        <w:t>Effects o</w:t>
      </w:r>
      <w:r w:rsidR="009B3044">
        <w:rPr>
          <w:b/>
          <w:sz w:val="24"/>
          <w:szCs w:val="24"/>
        </w:rPr>
        <w:t xml:space="preserve">f external shocks  </w:t>
      </w:r>
    </w:p>
    <w:p w14:paraId="417AE167" w14:textId="77777777" w:rsidR="009B3044" w:rsidRPr="009B3044" w:rsidRDefault="009B3044" w:rsidP="009B3044">
      <w:pPr>
        <w:spacing w:line="240" w:lineRule="auto"/>
        <w:ind w:left="360" w:firstLine="360"/>
        <w:jc w:val="both"/>
        <w:rPr>
          <w:sz w:val="24"/>
          <w:szCs w:val="24"/>
        </w:rPr>
      </w:pPr>
      <w:r w:rsidRPr="009B3044">
        <w:rPr>
          <w:sz w:val="24"/>
          <w:szCs w:val="24"/>
        </w:rPr>
        <w:t>Do countries that systematically and aggressively manage their floats succeed in dampening fluctuations in the real exchange rate?  Or is the exchange rate regime a mirage, as some claim?</w:t>
      </w:r>
    </w:p>
    <w:p w14:paraId="2225F147" w14:textId="77777777" w:rsidR="009B3044" w:rsidRPr="00FE6187" w:rsidRDefault="009B3044" w:rsidP="009B3044">
      <w:pPr>
        <w:spacing w:line="240" w:lineRule="auto"/>
        <w:ind w:left="360" w:firstLine="360"/>
        <w:jc w:val="both"/>
      </w:pPr>
      <w:r w:rsidRPr="009B3044">
        <w:rPr>
          <w:sz w:val="24"/>
          <w:szCs w:val="24"/>
        </w:rPr>
        <w:t>Of course there is already quite a lot of evidence that exchange rate regimes make a difference, that a regime that allows bigger changes in the nominal exchange rate will thereby allow bigger changes to the real exchange rate.</w:t>
      </w:r>
      <w:r>
        <w:rPr>
          <w:rStyle w:val="FootnoteReference"/>
          <w:sz w:val="24"/>
          <w:szCs w:val="24"/>
        </w:rPr>
        <w:footnoteReference w:id="30"/>
      </w:r>
      <w:r w:rsidRPr="009B3044">
        <w:rPr>
          <w:sz w:val="24"/>
          <w:szCs w:val="24"/>
        </w:rPr>
        <w:t xml:space="preserve">   </w:t>
      </w:r>
    </w:p>
    <w:p w14:paraId="24A607DD" w14:textId="6FC80D3B" w:rsidR="0005364A" w:rsidRDefault="00025B10" w:rsidP="009B3044">
      <w:pPr>
        <w:ind w:left="360" w:firstLine="360"/>
        <w:rPr>
          <w:sz w:val="24"/>
          <w:szCs w:val="24"/>
        </w:rPr>
      </w:pPr>
      <w:r>
        <w:rPr>
          <w:sz w:val="24"/>
          <w:szCs w:val="24"/>
        </w:rPr>
        <w:t>A number of recent papers look</w:t>
      </w:r>
      <w:r w:rsidR="009B3044" w:rsidRPr="009B3044">
        <w:rPr>
          <w:sz w:val="24"/>
          <w:szCs w:val="24"/>
        </w:rPr>
        <w:t xml:space="preserve"> at capital inflows to emerging markets, often gross capital inflows, and study the response of the local monetary authorities, including with respect to exchange rate flexibility.</w:t>
      </w:r>
      <w:r w:rsidR="009B3044">
        <w:rPr>
          <w:rStyle w:val="FootnoteReference"/>
          <w:sz w:val="24"/>
          <w:szCs w:val="24"/>
        </w:rPr>
        <w:footnoteReference w:id="31"/>
      </w:r>
      <w:r w:rsidR="009B3044" w:rsidRPr="009B3044">
        <w:rPr>
          <w:sz w:val="24"/>
          <w:szCs w:val="24"/>
        </w:rPr>
        <w:t xml:space="preserve">  We focus on the overall balance of payments inst</w:t>
      </w:r>
      <w:r w:rsidR="0005364A">
        <w:rPr>
          <w:sz w:val="24"/>
          <w:szCs w:val="24"/>
        </w:rPr>
        <w:t xml:space="preserve">ead of gross capital inflows. </w:t>
      </w:r>
      <w:r w:rsidR="009B3044" w:rsidRPr="009B3044">
        <w:rPr>
          <w:sz w:val="24"/>
          <w:szCs w:val="24"/>
        </w:rPr>
        <w:t xml:space="preserve">For one thing, the distinction between an increase in foreign assets in the domestic country and a decrease in foreign liabilities can be arbitrary, not just in an accounting sense but even conceptually, especially when it comes to banking flows.   </w:t>
      </w:r>
    </w:p>
    <w:p w14:paraId="10885F50" w14:textId="77777777" w:rsidR="009B3044" w:rsidRPr="009B3044" w:rsidRDefault="009B3044" w:rsidP="009B3044">
      <w:pPr>
        <w:ind w:left="360" w:firstLine="360"/>
        <w:rPr>
          <w:sz w:val="24"/>
          <w:szCs w:val="24"/>
        </w:rPr>
      </w:pPr>
      <w:r w:rsidRPr="009B3044">
        <w:rPr>
          <w:sz w:val="24"/>
          <w:szCs w:val="24"/>
        </w:rPr>
        <w:t>The only way to solve the endogeneity problem is to use a truly exogenous variable like US interest rates, the VIX, or dollar commodity prices.  The severely endogenous nature of the capital inflows or overall balance of payments is widely recognized:  If the authorities choose to respond to a positive shock by allowing the currency to appreciate, that may operate to shut off the inflow.   If one has such an exogenous variable, there is a strong case for putting it directly on the right-hand side of an OLS equation.   This is especially clear when the country is a pure floater, as Australia and New Zealand in our sample, in which case the comprehensive aggregate measure of inflows, i.e., the balance of payments, should be zero by definition of floating.</w:t>
      </w:r>
    </w:p>
    <w:p w14:paraId="5ABD321D" w14:textId="77777777" w:rsidR="009B3044" w:rsidRPr="009B3044" w:rsidRDefault="009B3044" w:rsidP="009B3044">
      <w:pPr>
        <w:pStyle w:val="ListParagraph"/>
        <w:rPr>
          <w:b/>
          <w:sz w:val="24"/>
          <w:szCs w:val="24"/>
        </w:rPr>
      </w:pPr>
    </w:p>
    <w:p w14:paraId="27386944" w14:textId="77777777" w:rsidR="009B3044" w:rsidRPr="009B3044" w:rsidRDefault="009B3044" w:rsidP="009B3044">
      <w:pPr>
        <w:pStyle w:val="ListParagraph"/>
        <w:numPr>
          <w:ilvl w:val="1"/>
          <w:numId w:val="1"/>
        </w:numPr>
        <w:rPr>
          <w:b/>
          <w:sz w:val="24"/>
          <w:szCs w:val="24"/>
        </w:rPr>
      </w:pPr>
      <w:r w:rsidRPr="009B3044">
        <w:rPr>
          <w:b/>
          <w:sz w:val="24"/>
          <w:szCs w:val="24"/>
        </w:rPr>
        <w:t xml:space="preserve"> Effects on the real exchange rate</w:t>
      </w:r>
    </w:p>
    <w:p w14:paraId="3A2B0A4E" w14:textId="77777777" w:rsidR="009B3044" w:rsidRPr="009B3044" w:rsidRDefault="009B3044" w:rsidP="009B3044">
      <w:pPr>
        <w:ind w:left="360" w:firstLine="360"/>
        <w:rPr>
          <w:sz w:val="24"/>
          <w:szCs w:val="24"/>
        </w:rPr>
      </w:pPr>
      <w:r w:rsidRPr="009B3044">
        <w:rPr>
          <w:sz w:val="24"/>
          <w:szCs w:val="24"/>
        </w:rPr>
        <w:t xml:space="preserve">The core exercise of the paper is to test the effects of exogenous external shocks on the real exchange rate, using time series for a select set of countries, and then to see if the sensitivity to shocks is different according to the country’s exchange rate regime.  The null </w:t>
      </w:r>
      <w:r w:rsidRPr="009B3044">
        <w:rPr>
          <w:sz w:val="24"/>
          <w:szCs w:val="24"/>
        </w:rPr>
        <w:lastRenderedPageBreak/>
        <w:t>hypothesis is that the regime makes no difference: that a shock will have the same effect on the real exchange rate regardless whether the nominal exchange rate is fixed, in which case it must show up in the price level, or floating, in which case it shows up directly in the nominal exchange rate.   The alternative hypothesis is that shocks have a bigger effect on the real exchange rate under floating than under managed floating and a bigger effect under managed floating than under fixing.</w:t>
      </w:r>
    </w:p>
    <w:p w14:paraId="20371972" w14:textId="60B80DFC" w:rsidR="00957B8F" w:rsidRDefault="009B3044" w:rsidP="009B3044">
      <w:pPr>
        <w:ind w:left="360" w:firstLine="360"/>
        <w:rPr>
          <w:sz w:val="24"/>
          <w:szCs w:val="24"/>
        </w:rPr>
      </w:pPr>
      <w:r w:rsidRPr="009B3044">
        <w:rPr>
          <w:sz w:val="24"/>
          <w:szCs w:val="24"/>
        </w:rPr>
        <w:t>It is crucial for this exercise not just that the measured shocks are truly and credibly exogenous on their face.  We focus on two measures:  dollar commodity prices and the VIX.</w:t>
      </w:r>
      <w:r>
        <w:rPr>
          <w:rStyle w:val="FootnoteReference"/>
          <w:sz w:val="24"/>
          <w:szCs w:val="24"/>
        </w:rPr>
        <w:footnoteReference w:id="32"/>
      </w:r>
      <w:r w:rsidRPr="009B3044">
        <w:rPr>
          <w:sz w:val="24"/>
          <w:szCs w:val="24"/>
        </w:rPr>
        <w:t xml:space="preserve"> </w:t>
      </w:r>
      <w:r w:rsidR="00957B8F">
        <w:rPr>
          <w:sz w:val="24"/>
          <w:szCs w:val="24"/>
        </w:rPr>
        <w:t xml:space="preserve">  The VIX is a measure of market perceptions of near-term volatility extracted from put and call options on the US S&amp;P 200 stock index and traded on the Chicago Board of Exchange.</w:t>
      </w:r>
    </w:p>
    <w:p w14:paraId="7CD7EC59" w14:textId="314441D6" w:rsidR="009B3044" w:rsidRPr="009B3044" w:rsidRDefault="009B3044" w:rsidP="009B3044">
      <w:pPr>
        <w:ind w:left="360" w:firstLine="360"/>
        <w:rPr>
          <w:sz w:val="24"/>
          <w:szCs w:val="24"/>
        </w:rPr>
      </w:pPr>
      <w:r w:rsidRPr="009B3044">
        <w:rPr>
          <w:sz w:val="24"/>
          <w:szCs w:val="24"/>
        </w:rPr>
        <w:t xml:space="preserve"> For the tests where commodity prices are taken to be the main exogenous variable, we restrict the sample to countries where a high percentage of exports is concentrated in a small number of commodities (energy, mineral or agricultural).   For some, particularly oil exporters, that is a single commodity; for others it is several commodities.  We construct a tailor-made monthly price index for each country by computing weights as the average </w:t>
      </w:r>
      <w:r w:rsidR="00025B10">
        <w:rPr>
          <w:sz w:val="24"/>
          <w:szCs w:val="24"/>
        </w:rPr>
        <w:t>commodity</w:t>
      </w:r>
      <w:r w:rsidRPr="009B3044">
        <w:rPr>
          <w:sz w:val="24"/>
          <w:szCs w:val="24"/>
        </w:rPr>
        <w:t xml:space="preserve"> shares </w:t>
      </w:r>
      <w:r w:rsidR="00025B10">
        <w:rPr>
          <w:sz w:val="24"/>
          <w:szCs w:val="24"/>
        </w:rPr>
        <w:t xml:space="preserve">in exports </w:t>
      </w:r>
      <w:r w:rsidRPr="009B3044">
        <w:rPr>
          <w:sz w:val="24"/>
          <w:szCs w:val="24"/>
        </w:rPr>
        <w:t xml:space="preserve">during the sample period and then multiplying them by monthly dollar prices of the corresponding commodities.  (The </w:t>
      </w:r>
      <w:hyperlink r:id="rId20" w:history="1">
        <w:r w:rsidRPr="009B3044">
          <w:rPr>
            <w:rStyle w:val="Hyperlink"/>
            <w:rFonts w:ascii="Arial" w:hAnsi="Arial" w:cs="Arial"/>
            <w:color w:val="215990"/>
            <w:sz w:val="21"/>
            <w:szCs w:val="21"/>
            <w:shd w:val="clear" w:color="auto" w:fill="FFFFFF"/>
          </w:rPr>
          <w:t>data appendix</w:t>
        </w:r>
      </w:hyperlink>
      <w:r w:rsidRPr="009B3044">
        <w:rPr>
          <w:rStyle w:val="apple-converted-space"/>
          <w:rFonts w:ascii="Arial" w:hAnsi="Arial" w:cs="Arial"/>
          <w:color w:val="1E1E1E"/>
          <w:sz w:val="21"/>
          <w:szCs w:val="21"/>
          <w:shd w:val="clear" w:color="auto" w:fill="FFFFFF"/>
        </w:rPr>
        <w:t> </w:t>
      </w:r>
      <w:r w:rsidRPr="009B3044">
        <w:rPr>
          <w:sz w:val="24"/>
          <w:szCs w:val="24"/>
        </w:rPr>
        <w:t>gives details.)</w:t>
      </w:r>
    </w:p>
    <w:p w14:paraId="02930C8B" w14:textId="2F9CDB03" w:rsidR="009B3044" w:rsidRDefault="009B3044" w:rsidP="009B3044">
      <w:pPr>
        <w:ind w:left="360" w:firstLine="360"/>
        <w:rPr>
          <w:sz w:val="24"/>
          <w:szCs w:val="24"/>
        </w:rPr>
      </w:pPr>
      <w:r w:rsidRPr="009B3044">
        <w:rPr>
          <w:sz w:val="24"/>
          <w:szCs w:val="24"/>
        </w:rPr>
        <w:t>We do not want to attempt a comprehensive study of all countries.</w:t>
      </w:r>
      <w:r>
        <w:rPr>
          <w:rStyle w:val="FootnoteReference"/>
          <w:sz w:val="24"/>
          <w:szCs w:val="24"/>
        </w:rPr>
        <w:footnoteReference w:id="33"/>
      </w:r>
      <w:r w:rsidRPr="009B3044">
        <w:rPr>
          <w:sz w:val="24"/>
          <w:szCs w:val="24"/>
        </w:rPr>
        <w:t xml:space="preserve">  For one thing, we seek only those with compelling measures of exogenous external shocks [to be used either as instrumental variables or directly as independent variables In the real exchange rate regressions].   That narrows down the set of countries.  We have good reason to think that commodity prices are important to </w:t>
      </w:r>
      <w:r w:rsidR="0005364A">
        <w:rPr>
          <w:sz w:val="24"/>
          <w:szCs w:val="24"/>
        </w:rPr>
        <w:t>commodity producing</w:t>
      </w:r>
      <w:r w:rsidRPr="009B3044">
        <w:rPr>
          <w:sz w:val="24"/>
          <w:szCs w:val="24"/>
        </w:rPr>
        <w:t xml:space="preserve"> countries.  Beyond the</w:t>
      </w:r>
      <w:r w:rsidR="0005364A">
        <w:rPr>
          <w:sz w:val="24"/>
          <w:szCs w:val="24"/>
        </w:rPr>
        <w:t xml:space="preserve"> </w:t>
      </w:r>
      <w:r w:rsidR="00E35D03">
        <w:rPr>
          <w:sz w:val="24"/>
          <w:szCs w:val="24"/>
        </w:rPr>
        <w:t xml:space="preserve">simple </w:t>
      </w:r>
      <w:r w:rsidR="0005364A">
        <w:rPr>
          <w:sz w:val="24"/>
          <w:szCs w:val="24"/>
        </w:rPr>
        <w:t>evidence of the</w:t>
      </w:r>
      <w:r w:rsidRPr="009B3044">
        <w:rPr>
          <w:sz w:val="24"/>
          <w:szCs w:val="24"/>
        </w:rPr>
        <w:t xml:space="preserve"> share of the commodities in the countries’ output, a number of empirical papers have confirmed that when the currencies of commodity-producing countries are allowed to float, they tend to rise and fall with the global prices of the commodities.</w:t>
      </w:r>
      <w:r>
        <w:rPr>
          <w:rStyle w:val="FootnoteReference"/>
          <w:sz w:val="24"/>
          <w:szCs w:val="24"/>
        </w:rPr>
        <w:footnoteReference w:id="34"/>
      </w:r>
      <w:r w:rsidRPr="009B3044">
        <w:rPr>
          <w:sz w:val="24"/>
          <w:szCs w:val="24"/>
        </w:rPr>
        <w:t xml:space="preserve">   </w:t>
      </w:r>
    </w:p>
    <w:p w14:paraId="5E54EDDC" w14:textId="77777777" w:rsidR="00013708" w:rsidRPr="009B3044" w:rsidRDefault="00013708" w:rsidP="00013708">
      <w:pPr>
        <w:ind w:left="360" w:firstLine="360"/>
        <w:rPr>
          <w:sz w:val="24"/>
          <w:szCs w:val="24"/>
        </w:rPr>
      </w:pPr>
      <w:r w:rsidRPr="009B3044">
        <w:rPr>
          <w:sz w:val="24"/>
          <w:szCs w:val="24"/>
        </w:rPr>
        <w:lastRenderedPageBreak/>
        <w:t>A number of other studies have found that countries that export volatile-price commodities perform better with floating or managed floating exchange rates than with fixed rates,</w:t>
      </w:r>
      <w:r>
        <w:rPr>
          <w:rStyle w:val="FootnoteReference"/>
          <w:sz w:val="24"/>
          <w:szCs w:val="24"/>
        </w:rPr>
        <w:footnoteReference w:id="35"/>
      </w:r>
      <w:r w:rsidRPr="009B3044">
        <w:rPr>
          <w:sz w:val="24"/>
          <w:szCs w:val="24"/>
        </w:rPr>
        <w:t xml:space="preserve"> which leads us to anticipate that the exchange rate regime will indeed make a difference.</w:t>
      </w:r>
    </w:p>
    <w:p w14:paraId="7B36080F" w14:textId="77777777" w:rsidR="009B3044" w:rsidRPr="009B3044" w:rsidRDefault="00013708" w:rsidP="009B3044">
      <w:pPr>
        <w:ind w:left="360" w:firstLine="360"/>
        <w:rPr>
          <w:sz w:val="24"/>
          <w:szCs w:val="24"/>
        </w:rPr>
      </w:pPr>
      <w:r>
        <w:rPr>
          <w:sz w:val="24"/>
          <w:szCs w:val="24"/>
        </w:rPr>
        <w:t>C</w:t>
      </w:r>
      <w:r w:rsidRPr="009B3044">
        <w:rPr>
          <w:sz w:val="24"/>
          <w:szCs w:val="24"/>
        </w:rPr>
        <w:t>ommodities are not as important</w:t>
      </w:r>
      <w:r>
        <w:rPr>
          <w:sz w:val="24"/>
          <w:szCs w:val="24"/>
        </w:rPr>
        <w:t xml:space="preserve"> f</w:t>
      </w:r>
      <w:r w:rsidR="009B3044" w:rsidRPr="009B3044">
        <w:rPr>
          <w:sz w:val="24"/>
          <w:szCs w:val="24"/>
        </w:rPr>
        <w:t xml:space="preserve">or most </w:t>
      </w:r>
      <w:r>
        <w:rPr>
          <w:sz w:val="24"/>
          <w:szCs w:val="24"/>
        </w:rPr>
        <w:t xml:space="preserve">Asian countries </w:t>
      </w:r>
      <w:r w:rsidR="009B3044" w:rsidRPr="009B3044">
        <w:rPr>
          <w:sz w:val="24"/>
          <w:szCs w:val="24"/>
        </w:rPr>
        <w:t xml:space="preserve">as for most in Latin America, Africa or the Middle East. </w:t>
      </w:r>
      <w:r w:rsidR="009B3044" w:rsidRPr="003B3258">
        <w:rPr>
          <w:sz w:val="24"/>
          <w:szCs w:val="24"/>
        </w:rPr>
        <w:t xml:space="preserve"> (Commodities used to be very important in Southeast Asia, but have been </w:t>
      </w:r>
      <w:r w:rsidR="003B3258" w:rsidRPr="003B3258">
        <w:rPr>
          <w:sz w:val="24"/>
          <w:szCs w:val="24"/>
        </w:rPr>
        <w:t>somewhat</w:t>
      </w:r>
      <w:r w:rsidR="009B3044" w:rsidRPr="003B3258">
        <w:rPr>
          <w:sz w:val="24"/>
          <w:szCs w:val="24"/>
        </w:rPr>
        <w:t xml:space="preserve"> displaced by manufactures in most of the region.)  For them we can use the VIX.</w:t>
      </w:r>
      <w:r w:rsidR="009B3044" w:rsidRPr="003B3258">
        <w:rPr>
          <w:rStyle w:val="FootnoteReference"/>
          <w:sz w:val="24"/>
          <w:szCs w:val="24"/>
        </w:rPr>
        <w:t xml:space="preserve"> </w:t>
      </w:r>
      <w:r w:rsidR="009B3044" w:rsidRPr="003B3258">
        <w:rPr>
          <w:sz w:val="24"/>
          <w:szCs w:val="24"/>
        </w:rPr>
        <w:t xml:space="preserve">  Many studies have found that the VIX, reflecting the risk-sensitivity of global investors along the “risk-on” vs. “risk-off” spectrum, is an important determinant of EM capital flows and, especially, of E</w:t>
      </w:r>
      <w:r w:rsidR="00FB2ED2">
        <w:rPr>
          <w:sz w:val="24"/>
          <w:szCs w:val="24"/>
        </w:rPr>
        <w:t xml:space="preserve">merging Market </w:t>
      </w:r>
      <w:r w:rsidR="009B3044" w:rsidRPr="003B3258">
        <w:rPr>
          <w:sz w:val="24"/>
          <w:szCs w:val="24"/>
        </w:rPr>
        <w:t xml:space="preserve">exchange rates and securities prices. </w:t>
      </w:r>
      <w:r w:rsidR="009B3044" w:rsidRPr="003B3258">
        <w:rPr>
          <w:rStyle w:val="FootnoteReference"/>
          <w:sz w:val="24"/>
          <w:szCs w:val="24"/>
        </w:rPr>
        <w:footnoteReference w:id="36"/>
      </w:r>
    </w:p>
    <w:p w14:paraId="62E010F2" w14:textId="77777777" w:rsidR="009B3044" w:rsidRPr="009B3044" w:rsidRDefault="009B3044" w:rsidP="000C2D14">
      <w:pPr>
        <w:ind w:left="360" w:firstLine="360"/>
        <w:rPr>
          <w:sz w:val="24"/>
          <w:szCs w:val="24"/>
        </w:rPr>
      </w:pPr>
      <w:r w:rsidRPr="009B3044">
        <w:rPr>
          <w:sz w:val="24"/>
          <w:szCs w:val="24"/>
        </w:rPr>
        <w:t>Another dimension along which we seek deliberately to narrow down the set of countries is by the clarity of the exchange rate regime and the length of time that the country has maintained it.  We are especially interested in those that have firm pegs and those that are good candidates for either systematically managed floating or free floating.  (</w:t>
      </w:r>
      <w:r w:rsidR="00FB2ED2">
        <w:rPr>
          <w:sz w:val="24"/>
          <w:szCs w:val="24"/>
        </w:rPr>
        <w:t>We recognize that v</w:t>
      </w:r>
      <w:r w:rsidRPr="009B3044">
        <w:rPr>
          <w:sz w:val="24"/>
          <w:szCs w:val="24"/>
        </w:rPr>
        <w:t>ery few fall in the latter category, among developing countries</w:t>
      </w:r>
      <w:r w:rsidR="00FB2ED2">
        <w:rPr>
          <w:sz w:val="24"/>
          <w:szCs w:val="24"/>
        </w:rPr>
        <w:t>.)</w:t>
      </w:r>
      <w:r w:rsidRPr="009B3044">
        <w:rPr>
          <w:sz w:val="24"/>
          <w:szCs w:val="24"/>
        </w:rPr>
        <w:t xml:space="preserve">  To make the first cut -- identifying firm pegs and a group of floaters broadly defined -- we rely on standard classification schemes, particularly the most recent from Ilzetzki, Reinhart and Rogoff (2017).  We deliberately drop those countries that change regimes every couple of years or have no clear regime at all, such as the free-fallers of Reinhart and Rogoff.  Bu</w:t>
      </w:r>
      <w:r w:rsidR="00FB2ED2">
        <w:rPr>
          <w:sz w:val="24"/>
          <w:szCs w:val="24"/>
        </w:rPr>
        <w:t>t we wish to use our own criteria</w:t>
      </w:r>
      <w:r w:rsidRPr="009B3044">
        <w:rPr>
          <w:sz w:val="24"/>
          <w:szCs w:val="24"/>
        </w:rPr>
        <w:t xml:space="preserve"> to distinguish countries that float freely (or virtually freely), such as New Zealand</w:t>
      </w:r>
      <w:r w:rsidR="00FB2ED2">
        <w:rPr>
          <w:sz w:val="24"/>
          <w:szCs w:val="24"/>
        </w:rPr>
        <w:t>,</w:t>
      </w:r>
      <w:r w:rsidRPr="009B3044">
        <w:rPr>
          <w:sz w:val="24"/>
          <w:szCs w:val="24"/>
        </w:rPr>
        <w:t xml:space="preserve"> and those that systematically manage their floats, such as Turkey.  We want to omit those that intervene irre</w:t>
      </w:r>
      <w:r w:rsidR="000C2D14">
        <w:rPr>
          <w:sz w:val="24"/>
          <w:szCs w:val="24"/>
        </w:rPr>
        <w:t xml:space="preserve">gularly and unsystematically.  </w:t>
      </w:r>
      <w:r w:rsidRPr="009B3044">
        <w:rPr>
          <w:b/>
          <w:sz w:val="24"/>
          <w:szCs w:val="24"/>
        </w:rPr>
        <w:br/>
      </w:r>
    </w:p>
    <w:p w14:paraId="48F70A86" w14:textId="77777777" w:rsidR="009B3044" w:rsidRPr="009B3044" w:rsidRDefault="009B3044" w:rsidP="009B3044">
      <w:pPr>
        <w:pStyle w:val="ListParagraph"/>
        <w:numPr>
          <w:ilvl w:val="1"/>
          <w:numId w:val="1"/>
        </w:numPr>
        <w:rPr>
          <w:b/>
          <w:sz w:val="24"/>
          <w:szCs w:val="24"/>
        </w:rPr>
      </w:pPr>
      <w:r>
        <w:rPr>
          <w:b/>
          <w:sz w:val="24"/>
          <w:szCs w:val="24"/>
        </w:rPr>
        <w:t xml:space="preserve"> Estimates for some Asian countries</w:t>
      </w:r>
    </w:p>
    <w:p w14:paraId="485BA520" w14:textId="4007F5F1" w:rsidR="009B3044" w:rsidRDefault="009B3044" w:rsidP="009B3044">
      <w:pPr>
        <w:ind w:firstLine="720"/>
        <w:rPr>
          <w:sz w:val="24"/>
          <w:szCs w:val="24"/>
        </w:rPr>
      </w:pPr>
      <w:r>
        <w:rPr>
          <w:sz w:val="24"/>
          <w:szCs w:val="24"/>
        </w:rPr>
        <w:t xml:space="preserve">We start with a set of eight Asian economies that are not </w:t>
      </w:r>
      <w:r w:rsidR="00E35D03">
        <w:rPr>
          <w:sz w:val="24"/>
          <w:szCs w:val="24"/>
        </w:rPr>
        <w:t xml:space="preserve">primarily commodity- exporters for the period </w:t>
      </w:r>
      <w:r>
        <w:rPr>
          <w:sz w:val="24"/>
          <w:szCs w:val="24"/>
        </w:rPr>
        <w:t xml:space="preserve">January 1997-December 2015.  Regression results are reported in Appendix A.   A </w:t>
      </w:r>
      <w:r w:rsidR="00E35D03">
        <w:rPr>
          <w:sz w:val="24"/>
          <w:szCs w:val="24"/>
        </w:rPr>
        <w:t xml:space="preserve">few </w:t>
      </w:r>
      <w:r>
        <w:rPr>
          <w:sz w:val="24"/>
          <w:szCs w:val="24"/>
        </w:rPr>
        <w:t xml:space="preserve">Asia/Pacific countries that </w:t>
      </w:r>
      <w:r w:rsidRPr="006C43DA">
        <w:rPr>
          <w:i/>
          <w:sz w:val="24"/>
          <w:szCs w:val="24"/>
        </w:rPr>
        <w:t>are</w:t>
      </w:r>
      <w:r>
        <w:rPr>
          <w:sz w:val="24"/>
          <w:szCs w:val="24"/>
        </w:rPr>
        <w:t xml:space="preserve"> commodity producers will be considered </w:t>
      </w:r>
      <w:r>
        <w:rPr>
          <w:sz w:val="24"/>
          <w:szCs w:val="24"/>
        </w:rPr>
        <w:lastRenderedPageBreak/>
        <w:t xml:space="preserve">below, where </w:t>
      </w:r>
      <w:r w:rsidR="000C2D14">
        <w:rPr>
          <w:sz w:val="24"/>
          <w:szCs w:val="24"/>
        </w:rPr>
        <w:t>the sample will also</w:t>
      </w:r>
      <w:r>
        <w:rPr>
          <w:sz w:val="24"/>
          <w:szCs w:val="24"/>
        </w:rPr>
        <w:t xml:space="preserve"> have the advantage of </w:t>
      </w:r>
      <w:r w:rsidR="000C2D14">
        <w:rPr>
          <w:sz w:val="24"/>
          <w:szCs w:val="24"/>
        </w:rPr>
        <w:t>several</w:t>
      </w:r>
      <w:r>
        <w:rPr>
          <w:sz w:val="24"/>
          <w:szCs w:val="24"/>
        </w:rPr>
        <w:t xml:space="preserve"> pure floaters and a number of firm fixers.</w:t>
      </w:r>
    </w:p>
    <w:p w14:paraId="7EDA8C6C" w14:textId="6781AA7A" w:rsidR="005C6AF9" w:rsidRDefault="009B3044" w:rsidP="009B3044">
      <w:pPr>
        <w:ind w:firstLine="720"/>
        <w:rPr>
          <w:sz w:val="24"/>
          <w:szCs w:val="24"/>
        </w:rPr>
      </w:pPr>
      <w:r>
        <w:rPr>
          <w:sz w:val="24"/>
          <w:szCs w:val="24"/>
        </w:rPr>
        <w:t>We start in Table A1 with an OLS regression of the real exchange rate directly against our external shock measure for the non-commodity countries:  log (VIX).  Because of the highly autoregressive nature of the real exchange rate, we include a lagged endogenous variable, without which apparent significant levels would be spuriously high.</w:t>
      </w:r>
      <w:r>
        <w:rPr>
          <w:rStyle w:val="FootnoteReference"/>
          <w:sz w:val="24"/>
          <w:szCs w:val="24"/>
        </w:rPr>
        <w:footnoteReference w:id="37"/>
      </w:r>
      <w:r>
        <w:rPr>
          <w:sz w:val="24"/>
          <w:szCs w:val="24"/>
        </w:rPr>
        <w:t xml:space="preserve">  Even so, the VIX is statistically significant, with the hypothesized negative effect on the real exchange rate, defined here as the value of the local currency:  An adverse shock in global financial market conditions causes a real depreciation.  That is, we get the hypothesized negative effect for these 7 countries, all of which </w:t>
      </w:r>
      <w:r w:rsidR="00E35D03">
        <w:rPr>
          <w:sz w:val="24"/>
          <w:szCs w:val="24"/>
        </w:rPr>
        <w:t xml:space="preserve">can be </w:t>
      </w:r>
      <w:r>
        <w:rPr>
          <w:sz w:val="24"/>
          <w:szCs w:val="24"/>
        </w:rPr>
        <w:t xml:space="preserve">classified as </w:t>
      </w:r>
      <w:r w:rsidR="00E35D03">
        <w:rPr>
          <w:sz w:val="24"/>
          <w:szCs w:val="24"/>
        </w:rPr>
        <w:t xml:space="preserve">systematic </w:t>
      </w:r>
      <w:r>
        <w:rPr>
          <w:sz w:val="24"/>
          <w:szCs w:val="24"/>
        </w:rPr>
        <w:t>manage</w:t>
      </w:r>
      <w:r w:rsidR="00E35D03">
        <w:rPr>
          <w:sz w:val="24"/>
          <w:szCs w:val="24"/>
        </w:rPr>
        <w:t>d floaters</w:t>
      </w:r>
      <w:r>
        <w:rPr>
          <w:sz w:val="24"/>
          <w:szCs w:val="24"/>
        </w:rPr>
        <w:t xml:space="preserve">: India, Korea, Malaysia, Philippines, Singapore, Thailand and Turkey.  (The strongest effects are shown for Korea, followed by the Philippines, Thailand and Turkey.)   </w:t>
      </w:r>
    </w:p>
    <w:p w14:paraId="2149F63C" w14:textId="77777777" w:rsidR="009B3044" w:rsidRDefault="009B3044" w:rsidP="009B3044">
      <w:pPr>
        <w:ind w:firstLine="720"/>
        <w:rPr>
          <w:sz w:val="24"/>
          <w:szCs w:val="24"/>
        </w:rPr>
      </w:pPr>
      <w:r>
        <w:rPr>
          <w:sz w:val="24"/>
          <w:szCs w:val="24"/>
        </w:rPr>
        <w:t>The one economy for which the coefficient is neither negative nor significant is precisely the one economy for which that is the hypothesis</w:t>
      </w:r>
      <w:r w:rsidR="005C6AF9">
        <w:rPr>
          <w:sz w:val="24"/>
          <w:szCs w:val="24"/>
        </w:rPr>
        <w:t xml:space="preserve">. </w:t>
      </w:r>
      <w:r>
        <w:rPr>
          <w:sz w:val="24"/>
          <w:szCs w:val="24"/>
        </w:rPr>
        <w:t xml:space="preserve">Hong Kong, which has a firm peg to the dollar, shows no effect.  To find no effect on the nominal exchange rate would tell us little.  Finding zero effect on the </w:t>
      </w:r>
      <w:r w:rsidRPr="005C6AF9">
        <w:rPr>
          <w:i/>
          <w:sz w:val="24"/>
          <w:szCs w:val="24"/>
        </w:rPr>
        <w:t>real</w:t>
      </w:r>
      <w:r w:rsidR="005C6AF9">
        <w:rPr>
          <w:sz w:val="24"/>
          <w:szCs w:val="24"/>
        </w:rPr>
        <w:t xml:space="preserve"> exchange rate confirm</w:t>
      </w:r>
      <w:r>
        <w:rPr>
          <w:sz w:val="24"/>
          <w:szCs w:val="24"/>
        </w:rPr>
        <w:t>s that regimes do matter for real variables, and that a peg prevents the real depreciation that the seven flexible-rate currencies experience.</w:t>
      </w:r>
    </w:p>
    <w:p w14:paraId="2D781DF6" w14:textId="77777777" w:rsidR="009B3044" w:rsidRPr="009B3044" w:rsidRDefault="009B3044" w:rsidP="009B3044">
      <w:pPr>
        <w:rPr>
          <w:sz w:val="24"/>
          <w:szCs w:val="24"/>
        </w:rPr>
      </w:pPr>
      <w:r>
        <w:rPr>
          <w:sz w:val="24"/>
          <w:szCs w:val="24"/>
        </w:rPr>
        <w:tab/>
        <w:t>Table A2 regresses the Real Exchange Rate for the Asian countries against the balance of payments (measured as the change in foreign exchange reserves) as a ratio to GDP (expressed in common currency units).</w:t>
      </w:r>
      <w:r>
        <w:rPr>
          <w:rStyle w:val="FootnoteReference"/>
          <w:sz w:val="24"/>
          <w:szCs w:val="24"/>
        </w:rPr>
        <w:footnoteReference w:id="38"/>
      </w:r>
      <w:r>
        <w:rPr>
          <w:sz w:val="24"/>
          <w:szCs w:val="24"/>
        </w:rPr>
        <w:t xml:space="preserve">  We still think of log (VIX) as the driving exogenous shock, but now it is the instrumental variable for the balance of payments.  The estimated coefficients are now positive in every case, as they should be: a balance of payments surplus (resulting from a fall in </w:t>
      </w:r>
      <w:r>
        <w:rPr>
          <w:sz w:val="24"/>
          <w:szCs w:val="24"/>
        </w:rPr>
        <w:lastRenderedPageBreak/>
        <w:t xml:space="preserve">the VIX) shows up in part as an appreciation of the local currency.   However most of the coefficients now lose their statistical significance.  Only in Korea and Turkey are the effects on the real exchange rate </w:t>
      </w:r>
      <w:r w:rsidR="005C6AF9">
        <w:rPr>
          <w:sz w:val="24"/>
          <w:szCs w:val="24"/>
        </w:rPr>
        <w:t xml:space="preserve">still </w:t>
      </w:r>
      <w:r>
        <w:rPr>
          <w:sz w:val="24"/>
          <w:szCs w:val="24"/>
        </w:rPr>
        <w:t>highly significant statistically.  The problem may lie in a weak first-stage instrument (especially in cases such as the Philippines and Thailand, judging by first-stage F-statistics.)</w:t>
      </w:r>
    </w:p>
    <w:p w14:paraId="742228C0" w14:textId="77777777" w:rsidR="009B3044" w:rsidRPr="009B3044" w:rsidRDefault="009B3044" w:rsidP="009B3044">
      <w:pPr>
        <w:pStyle w:val="ListParagraph"/>
        <w:rPr>
          <w:b/>
          <w:sz w:val="24"/>
          <w:szCs w:val="24"/>
        </w:rPr>
      </w:pPr>
    </w:p>
    <w:p w14:paraId="5D824B67" w14:textId="77777777" w:rsidR="00D173F6" w:rsidRPr="00D173F6" w:rsidRDefault="009B3044" w:rsidP="00D173F6">
      <w:pPr>
        <w:pStyle w:val="ListParagraph"/>
        <w:numPr>
          <w:ilvl w:val="1"/>
          <w:numId w:val="1"/>
        </w:numPr>
        <w:rPr>
          <w:sz w:val="24"/>
          <w:szCs w:val="24"/>
        </w:rPr>
      </w:pPr>
      <w:r>
        <w:rPr>
          <w:sz w:val="24"/>
          <w:szCs w:val="24"/>
        </w:rPr>
        <w:t xml:space="preserve"> </w:t>
      </w:r>
      <w:r w:rsidRPr="009B3044">
        <w:rPr>
          <w:b/>
          <w:sz w:val="24"/>
          <w:szCs w:val="24"/>
        </w:rPr>
        <w:t>Estimates for commodity-exporting countries</w:t>
      </w:r>
      <w:r w:rsidR="00D173F6">
        <w:rPr>
          <w:b/>
          <w:sz w:val="24"/>
          <w:szCs w:val="24"/>
        </w:rPr>
        <w:t xml:space="preserve"> </w:t>
      </w:r>
    </w:p>
    <w:p w14:paraId="6A939FC8" w14:textId="77777777" w:rsidR="00D173F6" w:rsidRDefault="00D173F6" w:rsidP="00D173F6">
      <w:pPr>
        <w:ind w:firstLine="720"/>
        <w:rPr>
          <w:sz w:val="24"/>
          <w:szCs w:val="24"/>
        </w:rPr>
      </w:pPr>
      <w:r>
        <w:rPr>
          <w:sz w:val="24"/>
          <w:szCs w:val="24"/>
        </w:rPr>
        <w:t>Next we turn to estimates for a set of 21 commodity-exporting countries, reported in Appendix Table B.  We have reason to hope that the exogenous variable will be a stronger instrument here, especially since we compute for each country an index of international commodity prices that is tailor-made to correspond to the commodity composition of its exports.</w:t>
      </w:r>
    </w:p>
    <w:p w14:paraId="3C65B50A" w14:textId="77777777" w:rsidR="005C6AF9" w:rsidRDefault="00D173F6" w:rsidP="00D173F6">
      <w:pPr>
        <w:rPr>
          <w:sz w:val="24"/>
          <w:szCs w:val="24"/>
        </w:rPr>
      </w:pPr>
      <w:r>
        <w:rPr>
          <w:sz w:val="24"/>
          <w:szCs w:val="24"/>
        </w:rPr>
        <w:tab/>
        <w:t xml:space="preserve">Table B1 reports the OLS regressions of the real exchange rate against the individual commodity price indices.  The set of 21 includes three pure floaters: Australia, Canada and New Zealand.   All three show highly significant effects on their real exchange rates, confirming their role as “commodity currencies.”   Chile also floated during much of this period, but not all, which may explain why its coefficient is only of borderline significance.   </w:t>
      </w:r>
    </w:p>
    <w:p w14:paraId="24DF245D" w14:textId="1E9BAB88" w:rsidR="005C6AF9" w:rsidRDefault="00D173F6" w:rsidP="005C6AF9">
      <w:pPr>
        <w:ind w:firstLine="720"/>
        <w:rPr>
          <w:sz w:val="24"/>
          <w:szCs w:val="24"/>
        </w:rPr>
      </w:pPr>
      <w:r>
        <w:rPr>
          <w:sz w:val="24"/>
          <w:szCs w:val="24"/>
        </w:rPr>
        <w:t>Of the countries that show no significant effect, four are firm fixers as one would expect:  Ecuador, the UAE, Bahrain and Qatar (all pegged to the dollar).   But South Africa also show</w:t>
      </w:r>
      <w:r w:rsidR="00FE1F7F">
        <w:rPr>
          <w:sz w:val="24"/>
          <w:szCs w:val="24"/>
        </w:rPr>
        <w:t>s</w:t>
      </w:r>
      <w:r>
        <w:rPr>
          <w:sz w:val="24"/>
          <w:szCs w:val="24"/>
        </w:rPr>
        <w:t xml:space="preserve"> no significant effects here even though </w:t>
      </w:r>
      <w:r w:rsidR="00FE1F7F">
        <w:rPr>
          <w:sz w:val="24"/>
          <w:szCs w:val="24"/>
        </w:rPr>
        <w:t xml:space="preserve">it is a systematic </w:t>
      </w:r>
      <w:r>
        <w:rPr>
          <w:sz w:val="24"/>
          <w:szCs w:val="24"/>
        </w:rPr>
        <w:t>managed floaters</w:t>
      </w:r>
      <w:r w:rsidR="00FE1F7F">
        <w:rPr>
          <w:sz w:val="24"/>
          <w:szCs w:val="24"/>
        </w:rPr>
        <w:t xml:space="preserve"> by our criteria</w:t>
      </w:r>
      <w:r>
        <w:rPr>
          <w:sz w:val="24"/>
          <w:szCs w:val="24"/>
        </w:rPr>
        <w:t>, while Brunei and Saudi Arabia show significant effects even though they are firm peggers (to the Singapore dollar and the US dollar, respectively).</w:t>
      </w:r>
      <w:r w:rsidR="00B813D6">
        <w:rPr>
          <w:rStyle w:val="FootnoteReference"/>
          <w:sz w:val="24"/>
          <w:szCs w:val="24"/>
        </w:rPr>
        <w:footnoteReference w:id="39"/>
      </w:r>
      <w:r>
        <w:rPr>
          <w:sz w:val="24"/>
          <w:szCs w:val="24"/>
        </w:rPr>
        <w:t xml:space="preserve"> </w:t>
      </w:r>
    </w:p>
    <w:p w14:paraId="1F82D48F" w14:textId="15B4F068" w:rsidR="00D173F6" w:rsidRDefault="00D173F6" w:rsidP="005C6AF9">
      <w:pPr>
        <w:ind w:firstLine="720"/>
        <w:rPr>
          <w:sz w:val="24"/>
          <w:szCs w:val="24"/>
        </w:rPr>
      </w:pPr>
      <w:r>
        <w:rPr>
          <w:sz w:val="24"/>
          <w:szCs w:val="24"/>
        </w:rPr>
        <w:t>For Indonesia, Papua New Guinea, Kazakhstan, Mongolia, and the rest of the 8 countries with managed floats or other intermediate regimes, the effect of the commodity price is statistically significa</w:t>
      </w:r>
      <w:r w:rsidR="00FE1F7F">
        <w:rPr>
          <w:sz w:val="24"/>
          <w:szCs w:val="24"/>
        </w:rPr>
        <w:t>nt and positive</w:t>
      </w:r>
      <w:r>
        <w:rPr>
          <w:sz w:val="24"/>
          <w:szCs w:val="24"/>
        </w:rPr>
        <w:t>.</w:t>
      </w:r>
    </w:p>
    <w:p w14:paraId="79214471" w14:textId="526DDC4C" w:rsidR="00D173F6" w:rsidRDefault="00D173F6" w:rsidP="00D173F6">
      <w:pPr>
        <w:rPr>
          <w:sz w:val="24"/>
          <w:szCs w:val="24"/>
        </w:rPr>
      </w:pPr>
      <w:r>
        <w:rPr>
          <w:sz w:val="24"/>
          <w:szCs w:val="24"/>
        </w:rPr>
        <w:tab/>
        <w:t xml:space="preserve">Since many of these countries not only export commodities but also participate in international financial markets and thus qualify as emerging markets, Table B2 adds the VIX as an additional regressor.   The results for the commodity price coefficient are similar.  The VIX shows up with a significant RER effect for a few countries, all of them floaters.   It is (just) significant for Colombia, one of the commodity-exporting </w:t>
      </w:r>
      <w:r w:rsidR="00FE1F7F">
        <w:rPr>
          <w:sz w:val="24"/>
          <w:szCs w:val="24"/>
        </w:rPr>
        <w:t>intermediate-regime countries</w:t>
      </w:r>
      <w:r>
        <w:rPr>
          <w:sz w:val="24"/>
          <w:szCs w:val="24"/>
        </w:rPr>
        <w:t xml:space="preserve"> that did not show a significant responsiveness of the real exchange rate in Table B1.</w:t>
      </w:r>
    </w:p>
    <w:p w14:paraId="0C4BA2BB" w14:textId="669178C9" w:rsidR="00D173F6" w:rsidRDefault="00D173F6" w:rsidP="00D173F6">
      <w:pPr>
        <w:rPr>
          <w:sz w:val="24"/>
          <w:szCs w:val="24"/>
        </w:rPr>
      </w:pPr>
      <w:r>
        <w:rPr>
          <w:sz w:val="24"/>
          <w:szCs w:val="24"/>
        </w:rPr>
        <w:lastRenderedPageBreak/>
        <w:tab/>
        <w:t xml:space="preserve">Next we consider the regressions of the real exchange rate against the balance </w:t>
      </w:r>
      <w:r w:rsidR="00FE1F7F">
        <w:rPr>
          <w:sz w:val="24"/>
          <w:szCs w:val="24"/>
        </w:rPr>
        <w:t>of payments,</w:t>
      </w:r>
      <w:r>
        <w:rPr>
          <w:sz w:val="24"/>
          <w:szCs w:val="24"/>
        </w:rPr>
        <w:t xml:space="preserve"> with both the country-specific commodity price index and the VIX as instrumental variables.   We need a denominator for the balance of payments.  We start with GDP in Table B3, which is perhaps the most obvious scale variable.   But in Tables B4 and B5 we use M1 and the monetary base, respectively, as the denominator for the change in reserves, thereby linking up with the idea of Exchange Market Pressure.</w:t>
      </w:r>
      <w:r>
        <w:rPr>
          <w:rStyle w:val="FootnoteReference"/>
          <w:sz w:val="24"/>
          <w:szCs w:val="24"/>
        </w:rPr>
        <w:footnoteReference w:id="40"/>
      </w:r>
      <w:r>
        <w:rPr>
          <w:sz w:val="24"/>
          <w:szCs w:val="24"/>
        </w:rPr>
        <w:t xml:space="preserve">   </w:t>
      </w:r>
    </w:p>
    <w:p w14:paraId="4CAEA731" w14:textId="63ADBE86" w:rsidR="00D173F6" w:rsidRDefault="00D173F6" w:rsidP="00D173F6">
      <w:pPr>
        <w:rPr>
          <w:sz w:val="24"/>
          <w:szCs w:val="24"/>
        </w:rPr>
      </w:pPr>
      <w:r>
        <w:rPr>
          <w:sz w:val="24"/>
          <w:szCs w:val="24"/>
        </w:rPr>
        <w:tab/>
      </w:r>
      <w:r w:rsidR="005C6AF9">
        <w:rPr>
          <w:sz w:val="24"/>
          <w:szCs w:val="24"/>
        </w:rPr>
        <w:t>We want to distinguish</w:t>
      </w:r>
      <w:r>
        <w:rPr>
          <w:sz w:val="24"/>
          <w:szCs w:val="24"/>
        </w:rPr>
        <w:t xml:space="preserve"> the results for managed floaters as compared to firm fixers.   The three free floaters (Australia, Canada and New Zealand) have been discarded,</w:t>
      </w:r>
      <w:r w:rsidR="005C6AF9">
        <w:rPr>
          <w:sz w:val="24"/>
          <w:szCs w:val="24"/>
        </w:rPr>
        <w:t xml:space="preserve"> since </w:t>
      </w:r>
      <w:r>
        <w:rPr>
          <w:sz w:val="24"/>
          <w:szCs w:val="24"/>
        </w:rPr>
        <w:t xml:space="preserve">floating implies by definition that the balance of payments is zero.   Five managed floaters </w:t>
      </w:r>
      <w:r w:rsidR="005C6AF9">
        <w:rPr>
          <w:sz w:val="24"/>
          <w:szCs w:val="24"/>
        </w:rPr>
        <w:t>show</w:t>
      </w:r>
      <w:r>
        <w:rPr>
          <w:sz w:val="24"/>
          <w:szCs w:val="24"/>
        </w:rPr>
        <w:t xml:space="preserve"> significant effects on the real exchange rate in these three tables: Brazil, Chile, Colombia, Russia and South Africa.   Two firm fixers show insignificant effects, again as hypothesized: Brunei and Ecuador.</w:t>
      </w:r>
    </w:p>
    <w:p w14:paraId="6350D2AC" w14:textId="40F0B473" w:rsidR="00D173F6" w:rsidRDefault="00D173F6" w:rsidP="00D173F6">
      <w:pPr>
        <w:rPr>
          <w:sz w:val="24"/>
          <w:szCs w:val="24"/>
        </w:rPr>
      </w:pPr>
      <w:r>
        <w:rPr>
          <w:sz w:val="24"/>
          <w:szCs w:val="24"/>
        </w:rPr>
        <w:tab/>
        <w:t>Some show the anomalous result of a significant negative coefficient.</w:t>
      </w:r>
      <w:r w:rsidR="00FE1F7F">
        <w:rPr>
          <w:sz w:val="24"/>
          <w:szCs w:val="24"/>
        </w:rPr>
        <w:t xml:space="preserve"> </w:t>
      </w:r>
      <w:r>
        <w:rPr>
          <w:sz w:val="24"/>
          <w:szCs w:val="24"/>
        </w:rPr>
        <w:t xml:space="preserve"> In the case of a </w:t>
      </w:r>
      <w:r w:rsidR="00FE1F7F">
        <w:rPr>
          <w:sz w:val="24"/>
          <w:szCs w:val="24"/>
        </w:rPr>
        <w:t xml:space="preserve">systematic </w:t>
      </w:r>
      <w:r>
        <w:rPr>
          <w:sz w:val="24"/>
          <w:szCs w:val="24"/>
        </w:rPr>
        <w:t xml:space="preserve">managed floater like Peru, the result is indeed anomalous  </w:t>
      </w:r>
    </w:p>
    <w:p w14:paraId="2EAF0274" w14:textId="1FBD9D9E" w:rsidR="00D173F6" w:rsidRPr="00887F4F" w:rsidRDefault="00D173F6" w:rsidP="00D173F6">
      <w:pPr>
        <w:ind w:firstLine="720"/>
        <w:rPr>
          <w:sz w:val="24"/>
          <w:szCs w:val="24"/>
        </w:rPr>
      </w:pPr>
      <w:r>
        <w:rPr>
          <w:sz w:val="24"/>
          <w:szCs w:val="24"/>
        </w:rPr>
        <w:t>An explanation is available why the coefficient estimates are negative for many of the Gulf countries and significantly so in the case of Saudi Arabia.</w:t>
      </w:r>
      <w:r w:rsidR="00FE1F7F" w:rsidRPr="00FE1F7F">
        <w:rPr>
          <w:rStyle w:val="FootnoteReference"/>
          <w:sz w:val="24"/>
          <w:szCs w:val="24"/>
        </w:rPr>
        <w:t xml:space="preserve"> </w:t>
      </w:r>
      <w:r w:rsidR="00FE1F7F">
        <w:rPr>
          <w:rStyle w:val="FootnoteReference"/>
          <w:sz w:val="24"/>
          <w:szCs w:val="24"/>
        </w:rPr>
        <w:footnoteReference w:id="41"/>
      </w:r>
      <w:r>
        <w:rPr>
          <w:sz w:val="24"/>
          <w:szCs w:val="24"/>
        </w:rPr>
        <w:t xml:space="preserve">   For these countries, the export commodity basket index consists simply of the dollar price of o</w:t>
      </w:r>
      <w:r w:rsidR="00FE1F7F">
        <w:rPr>
          <w:sz w:val="24"/>
          <w:szCs w:val="24"/>
        </w:rPr>
        <w:t xml:space="preserve">il (or oil and </w:t>
      </w:r>
      <w:r>
        <w:rPr>
          <w:sz w:val="24"/>
          <w:szCs w:val="24"/>
        </w:rPr>
        <w:t>natural gas).   Even though oil and gas are priced and invoiced in dollars, the dollar price of oil falls quickly after an appreciation of the dollar against the euro, yen and other major currencies – as one would expect since Europe and Japan are major buyers of oil and gas.  Bahrain, Qatar, the UAE and Saudi Arabia are all pegged specifically to the dollar.  When the dollar appreciates against the euro, yen and other currencies, so do the dinar, dirham, and riyal.   The implication is a negative correlation between the trade-weighted exchange rate, which is the one that goes into the regressions, and the dollar price of oil.</w:t>
      </w:r>
      <w:r w:rsidR="009D7872">
        <w:rPr>
          <w:sz w:val="24"/>
          <w:szCs w:val="24"/>
        </w:rPr>
        <w:t xml:space="preserve">  This suggests that the dollar peg does </w:t>
      </w:r>
      <w:r w:rsidR="009D7872" w:rsidRPr="009D7872">
        <w:rPr>
          <w:i/>
          <w:sz w:val="24"/>
          <w:szCs w:val="24"/>
        </w:rPr>
        <w:t>worse</w:t>
      </w:r>
      <w:r w:rsidR="009D7872">
        <w:rPr>
          <w:sz w:val="24"/>
          <w:szCs w:val="24"/>
        </w:rPr>
        <w:t xml:space="preserve"> than fail to accommodate terms of trade shocks; it actually tends to move </w:t>
      </w:r>
      <w:r w:rsidR="00FE1F7F">
        <w:rPr>
          <w:sz w:val="24"/>
          <w:szCs w:val="24"/>
        </w:rPr>
        <w:t xml:space="preserve">in </w:t>
      </w:r>
      <w:r w:rsidR="009D7872">
        <w:rPr>
          <w:sz w:val="24"/>
          <w:szCs w:val="24"/>
        </w:rPr>
        <w:t>the wrong direction.</w:t>
      </w:r>
      <w:r w:rsidRPr="00887F4F">
        <w:rPr>
          <w:rStyle w:val="FootnoteReference"/>
          <w:sz w:val="24"/>
          <w:szCs w:val="24"/>
        </w:rPr>
        <w:t xml:space="preserve"> </w:t>
      </w:r>
      <w:r w:rsidR="009D7872">
        <w:rPr>
          <w:sz w:val="24"/>
          <w:szCs w:val="24"/>
        </w:rPr>
        <w:t>(Th</w:t>
      </w:r>
      <w:r>
        <w:rPr>
          <w:sz w:val="24"/>
          <w:szCs w:val="24"/>
        </w:rPr>
        <w:t>e Gulf countries might be better off pegging to a more sophisticated basket.)</w:t>
      </w:r>
      <w:r w:rsidR="00FE1F7F">
        <w:rPr>
          <w:rStyle w:val="FootnoteReference"/>
          <w:sz w:val="24"/>
          <w:szCs w:val="24"/>
        </w:rPr>
        <w:footnoteReference w:id="42"/>
      </w:r>
    </w:p>
    <w:p w14:paraId="0AFDDA2F" w14:textId="77777777" w:rsidR="00D173F6" w:rsidRPr="00C85C01" w:rsidRDefault="00D173F6" w:rsidP="00C85C01">
      <w:pPr>
        <w:rPr>
          <w:sz w:val="24"/>
          <w:szCs w:val="24"/>
        </w:rPr>
      </w:pPr>
      <w:r>
        <w:rPr>
          <w:sz w:val="24"/>
          <w:szCs w:val="24"/>
        </w:rPr>
        <w:tab/>
        <w:t>Perhaps something like this explanation also applies to Azerbaijan and Kazakhstan, since both are oil exporters.  But these two are neither</w:t>
      </w:r>
      <w:r w:rsidR="00001C12">
        <w:rPr>
          <w:sz w:val="24"/>
          <w:szCs w:val="24"/>
        </w:rPr>
        <w:t xml:space="preserve"> firm fixers nor </w:t>
      </w:r>
      <w:r>
        <w:rPr>
          <w:sz w:val="24"/>
          <w:szCs w:val="24"/>
        </w:rPr>
        <w:t xml:space="preserve">managed floaters.   Both of </w:t>
      </w:r>
      <w:r>
        <w:rPr>
          <w:sz w:val="24"/>
          <w:szCs w:val="24"/>
        </w:rPr>
        <w:lastRenderedPageBreak/>
        <w:t>them have in recent years repeatedly tried to target their exchange rates and then been forced belat</w:t>
      </w:r>
      <w:r w:rsidR="00001C12">
        <w:rPr>
          <w:sz w:val="24"/>
          <w:szCs w:val="24"/>
        </w:rPr>
        <w:t>edly</w:t>
      </w:r>
      <w:r>
        <w:rPr>
          <w:sz w:val="24"/>
          <w:szCs w:val="24"/>
        </w:rPr>
        <w:t xml:space="preserve"> into large devaluations by </w:t>
      </w:r>
      <w:r w:rsidR="00001C12">
        <w:rPr>
          <w:sz w:val="24"/>
          <w:szCs w:val="24"/>
        </w:rPr>
        <w:t>alarming reserve loss</w:t>
      </w:r>
      <w:r>
        <w:rPr>
          <w:sz w:val="24"/>
          <w:szCs w:val="24"/>
        </w:rPr>
        <w:t>es.  In this paper we are concerned with the three special categories of firm fixers, free floaters and systematically-managed floaters.   We have no hypothesis regarding those that fall outside these three categories.</w:t>
      </w:r>
    </w:p>
    <w:p w14:paraId="47A7FFD6" w14:textId="77777777" w:rsidR="00D173F6" w:rsidRDefault="00D173F6" w:rsidP="00D173F6">
      <w:pPr>
        <w:pStyle w:val="ListParagraph"/>
        <w:ind w:left="1530"/>
        <w:rPr>
          <w:sz w:val="24"/>
          <w:szCs w:val="24"/>
        </w:rPr>
      </w:pPr>
      <w:r>
        <w:rPr>
          <w:sz w:val="24"/>
          <w:szCs w:val="24"/>
        </w:rPr>
        <w:t xml:space="preserve"> </w:t>
      </w:r>
    </w:p>
    <w:p w14:paraId="130E8884" w14:textId="77777777" w:rsidR="00D173F6" w:rsidRPr="00C85C01" w:rsidRDefault="00D173F6" w:rsidP="00C85C01">
      <w:pPr>
        <w:pStyle w:val="ListParagraph"/>
        <w:numPr>
          <w:ilvl w:val="1"/>
          <w:numId w:val="1"/>
        </w:numPr>
        <w:rPr>
          <w:b/>
          <w:sz w:val="24"/>
          <w:szCs w:val="24"/>
        </w:rPr>
      </w:pPr>
      <w:r w:rsidRPr="00D173F6">
        <w:rPr>
          <w:b/>
          <w:sz w:val="24"/>
          <w:szCs w:val="24"/>
        </w:rPr>
        <w:t>Summary of conclusions</w:t>
      </w:r>
    </w:p>
    <w:p w14:paraId="2F97E647" w14:textId="77777777" w:rsidR="00A33315" w:rsidRDefault="00A33315" w:rsidP="00A33315">
      <w:pPr>
        <w:ind w:firstLine="720"/>
        <w:rPr>
          <w:sz w:val="24"/>
          <w:szCs w:val="24"/>
        </w:rPr>
      </w:pPr>
      <w:r w:rsidRPr="00A33315">
        <w:rPr>
          <w:sz w:val="24"/>
          <w:szCs w:val="24"/>
        </w:rPr>
        <w:t>A majority of countries follow exchange rate policies that can be designated as “intermediate</w:t>
      </w:r>
      <w:r>
        <w:rPr>
          <w:sz w:val="24"/>
          <w:szCs w:val="24"/>
        </w:rPr>
        <w:t>,</w:t>
      </w:r>
      <w:r w:rsidRPr="00A33315">
        <w:rPr>
          <w:sz w:val="24"/>
          <w:szCs w:val="24"/>
        </w:rPr>
        <w:t>” in that</w:t>
      </w:r>
      <w:r>
        <w:rPr>
          <w:sz w:val="24"/>
          <w:szCs w:val="24"/>
        </w:rPr>
        <w:t xml:space="preserve"> they are neither firm-fixers nor free-floaters.  But this paper proposes the designation “systematically managed floater” only for those countries where the monetary authorities tend consistently to react to exchange market pressure with some </w:t>
      </w:r>
      <w:r w:rsidR="00C85C01">
        <w:rPr>
          <w:sz w:val="24"/>
          <w:szCs w:val="24"/>
        </w:rPr>
        <w:t>proportion</w:t>
      </w:r>
      <w:r>
        <w:rPr>
          <w:sz w:val="24"/>
          <w:szCs w:val="24"/>
        </w:rPr>
        <w:t xml:space="preserve"> of change in the exchange rate and some </w:t>
      </w:r>
      <w:r w:rsidR="00C85C01">
        <w:rPr>
          <w:sz w:val="24"/>
          <w:szCs w:val="24"/>
        </w:rPr>
        <w:t>proportion</w:t>
      </w:r>
      <w:r>
        <w:rPr>
          <w:sz w:val="24"/>
          <w:szCs w:val="24"/>
        </w:rPr>
        <w:t xml:space="preserve"> of change in foreign exchange reserves.  A sub-set of the intermediate regimes can be identified as meeting statistical criteria along the lines of this definition</w:t>
      </w:r>
      <w:r w:rsidR="0093736E">
        <w:rPr>
          <w:sz w:val="24"/>
          <w:szCs w:val="24"/>
        </w:rPr>
        <w:t xml:space="preserve"> (Part 2 of the paper)</w:t>
      </w:r>
      <w:r>
        <w:rPr>
          <w:sz w:val="24"/>
          <w:szCs w:val="24"/>
        </w:rPr>
        <w:t>.</w:t>
      </w:r>
    </w:p>
    <w:p w14:paraId="7169FFB7" w14:textId="751C667D" w:rsidR="00A33315" w:rsidRDefault="0093736E" w:rsidP="00A33315">
      <w:pPr>
        <w:ind w:firstLine="720"/>
        <w:rPr>
          <w:sz w:val="24"/>
          <w:szCs w:val="24"/>
        </w:rPr>
      </w:pPr>
      <w:r>
        <w:rPr>
          <w:sz w:val="24"/>
          <w:szCs w:val="24"/>
        </w:rPr>
        <w:t xml:space="preserve">In some theories, shocks will have the same effect on the real exchange rate regardless of regime, showing up in the exchange rate under floating but showing up in the price level if the exchange rate is fixed.   </w:t>
      </w:r>
      <w:r w:rsidR="00BD4A26">
        <w:rPr>
          <w:sz w:val="24"/>
          <w:szCs w:val="24"/>
        </w:rPr>
        <w:t xml:space="preserve">A </w:t>
      </w:r>
      <w:r>
        <w:rPr>
          <w:sz w:val="24"/>
          <w:szCs w:val="24"/>
        </w:rPr>
        <w:t xml:space="preserve">hypothesis of the paper is that exchange rate regimes do make a difference for the behavior of the real exchange rate.   </w:t>
      </w:r>
      <w:r w:rsidR="00BD4A26">
        <w:rPr>
          <w:sz w:val="24"/>
          <w:szCs w:val="24"/>
        </w:rPr>
        <w:t>S</w:t>
      </w:r>
      <w:r>
        <w:rPr>
          <w:sz w:val="24"/>
          <w:szCs w:val="24"/>
        </w:rPr>
        <w:t xml:space="preserve">pecifically, an exogenous positive shock does not affect the real exchange rate in the short run if the nominal exchange rate is fixed, but will cause a real appreciation under a systematic managed float, with the magnitude of the real appreciation depending on how heavily managed is the float.   </w:t>
      </w:r>
    </w:p>
    <w:p w14:paraId="0A840C17" w14:textId="77777777" w:rsidR="00D173F6" w:rsidRDefault="00C85C01" w:rsidP="00A33315">
      <w:pPr>
        <w:ind w:firstLine="720"/>
        <w:rPr>
          <w:sz w:val="24"/>
          <w:szCs w:val="24"/>
        </w:rPr>
      </w:pPr>
      <w:r>
        <w:rPr>
          <w:sz w:val="24"/>
          <w:szCs w:val="24"/>
        </w:rPr>
        <w:t xml:space="preserve">Our empirical tests focus on two kinds of shocks, measured by the VIX and export commodity prices.  We </w:t>
      </w:r>
      <w:r w:rsidR="00EC3F95">
        <w:rPr>
          <w:sz w:val="24"/>
          <w:szCs w:val="24"/>
        </w:rPr>
        <w:t xml:space="preserve">have not attempted a comprehensive panel study.   </w:t>
      </w:r>
      <w:r w:rsidR="00A33315" w:rsidRPr="00A33315">
        <w:rPr>
          <w:sz w:val="24"/>
          <w:szCs w:val="24"/>
        </w:rPr>
        <w:t>There are many reasons to view the various statistical results</w:t>
      </w:r>
      <w:r w:rsidR="00EC3F95">
        <w:rPr>
          <w:sz w:val="24"/>
          <w:szCs w:val="24"/>
        </w:rPr>
        <w:t xml:space="preserve"> of this paper</w:t>
      </w:r>
      <w:r w:rsidR="00A33315" w:rsidRPr="00A33315">
        <w:rPr>
          <w:sz w:val="24"/>
          <w:szCs w:val="24"/>
        </w:rPr>
        <w:t xml:space="preserve"> as rudimentary, particularly with respect to the familiar problems of causality and non-stationarity.  </w:t>
      </w:r>
    </w:p>
    <w:p w14:paraId="06D08488" w14:textId="77777777" w:rsidR="00EC3F95" w:rsidRDefault="00EC3F95" w:rsidP="00A33315">
      <w:pPr>
        <w:ind w:firstLine="720"/>
        <w:rPr>
          <w:sz w:val="24"/>
          <w:szCs w:val="24"/>
        </w:rPr>
      </w:pPr>
      <w:r>
        <w:rPr>
          <w:sz w:val="24"/>
          <w:szCs w:val="24"/>
        </w:rPr>
        <w:t xml:space="preserve">But some </w:t>
      </w:r>
      <w:r w:rsidR="00FD5943">
        <w:rPr>
          <w:sz w:val="24"/>
          <w:szCs w:val="24"/>
        </w:rPr>
        <w:t xml:space="preserve">of the </w:t>
      </w:r>
      <w:r>
        <w:rPr>
          <w:sz w:val="24"/>
          <w:szCs w:val="24"/>
        </w:rPr>
        <w:t xml:space="preserve">results in Part 3 of the paper </w:t>
      </w:r>
      <w:r w:rsidR="00FD5943">
        <w:rPr>
          <w:sz w:val="24"/>
          <w:szCs w:val="24"/>
        </w:rPr>
        <w:t xml:space="preserve">tend to </w:t>
      </w:r>
      <w:r w:rsidR="00122D56">
        <w:rPr>
          <w:sz w:val="24"/>
          <w:szCs w:val="24"/>
        </w:rPr>
        <w:t>support the hypothesis</w:t>
      </w:r>
      <w:r w:rsidR="001D467D">
        <w:rPr>
          <w:sz w:val="24"/>
          <w:szCs w:val="24"/>
        </w:rPr>
        <w:t>:</w:t>
      </w:r>
    </w:p>
    <w:p w14:paraId="08791566" w14:textId="77777777" w:rsidR="007427F1" w:rsidRPr="003357E6" w:rsidRDefault="001D467D" w:rsidP="003357E6">
      <w:pPr>
        <w:pStyle w:val="ListParagraph"/>
        <w:numPr>
          <w:ilvl w:val="0"/>
          <w:numId w:val="8"/>
        </w:numPr>
        <w:rPr>
          <w:sz w:val="24"/>
          <w:szCs w:val="24"/>
        </w:rPr>
      </w:pPr>
      <w:r>
        <w:rPr>
          <w:sz w:val="24"/>
          <w:szCs w:val="24"/>
        </w:rPr>
        <w:t>Most EM economies with firmly fixed exchange rates do not experience real appreciation during periods of inflow arising from positive external shocks, such as 2003-08 or 2010-11, nor do they experience real depreciation during periods of outflow arising from negative external shocks such as 2008-09 or 2014-15.</w:t>
      </w:r>
      <w:r w:rsidR="003357E6">
        <w:rPr>
          <w:sz w:val="24"/>
          <w:szCs w:val="24"/>
        </w:rPr>
        <w:t xml:space="preserve">  </w:t>
      </w:r>
      <w:r w:rsidR="007427F1" w:rsidRPr="003357E6">
        <w:rPr>
          <w:sz w:val="24"/>
          <w:szCs w:val="24"/>
        </w:rPr>
        <w:t xml:space="preserve">Of the firm-fixers, the case where the </w:t>
      </w:r>
      <w:r w:rsidR="00D97D05" w:rsidRPr="003357E6">
        <w:rPr>
          <w:sz w:val="24"/>
          <w:szCs w:val="24"/>
        </w:rPr>
        <w:t xml:space="preserve">primary </w:t>
      </w:r>
      <w:r w:rsidR="007427F1" w:rsidRPr="003357E6">
        <w:rPr>
          <w:sz w:val="24"/>
          <w:szCs w:val="24"/>
        </w:rPr>
        <w:t>exogenous variable is the VIX</w:t>
      </w:r>
      <w:r w:rsidR="00D97D05" w:rsidRPr="003357E6">
        <w:rPr>
          <w:sz w:val="24"/>
          <w:szCs w:val="24"/>
        </w:rPr>
        <w:t xml:space="preserve"> is Hong Kong</w:t>
      </w:r>
      <w:r w:rsidR="007427F1" w:rsidRPr="003357E6">
        <w:rPr>
          <w:sz w:val="24"/>
          <w:szCs w:val="24"/>
        </w:rPr>
        <w:t>.</w:t>
      </w:r>
      <w:r w:rsidR="00D97D05" w:rsidRPr="003357E6">
        <w:rPr>
          <w:sz w:val="24"/>
          <w:szCs w:val="24"/>
        </w:rPr>
        <w:t xml:space="preserve">  The firm-fixers</w:t>
      </w:r>
      <w:r w:rsidR="007427F1" w:rsidRPr="003357E6">
        <w:rPr>
          <w:sz w:val="24"/>
          <w:szCs w:val="24"/>
        </w:rPr>
        <w:t xml:space="preserve"> where it is the export commodity price</w:t>
      </w:r>
      <w:r w:rsidR="00D97D05" w:rsidRPr="003357E6">
        <w:rPr>
          <w:sz w:val="24"/>
          <w:szCs w:val="24"/>
        </w:rPr>
        <w:t xml:space="preserve"> include </w:t>
      </w:r>
      <w:r w:rsidR="003D2564" w:rsidRPr="003357E6">
        <w:rPr>
          <w:sz w:val="24"/>
          <w:szCs w:val="24"/>
        </w:rPr>
        <w:t xml:space="preserve">Ecuador </w:t>
      </w:r>
      <w:r w:rsidR="00D97D05" w:rsidRPr="003357E6">
        <w:rPr>
          <w:sz w:val="24"/>
          <w:szCs w:val="24"/>
        </w:rPr>
        <w:t>and the Gulf countries</w:t>
      </w:r>
      <w:r w:rsidR="00B813D6">
        <w:rPr>
          <w:sz w:val="24"/>
          <w:szCs w:val="24"/>
        </w:rPr>
        <w:t>.</w:t>
      </w:r>
      <w:r w:rsidR="00D97D05" w:rsidRPr="003357E6">
        <w:rPr>
          <w:sz w:val="24"/>
          <w:szCs w:val="24"/>
        </w:rPr>
        <w:t xml:space="preserve"> </w:t>
      </w:r>
    </w:p>
    <w:p w14:paraId="2836A22E" w14:textId="28CA10B1" w:rsidR="003D2564" w:rsidRDefault="00122D56" w:rsidP="001D467D">
      <w:pPr>
        <w:pStyle w:val="ListParagraph"/>
        <w:numPr>
          <w:ilvl w:val="0"/>
          <w:numId w:val="8"/>
        </w:numPr>
        <w:rPr>
          <w:sz w:val="24"/>
          <w:szCs w:val="24"/>
        </w:rPr>
      </w:pPr>
      <w:r>
        <w:rPr>
          <w:sz w:val="24"/>
          <w:szCs w:val="24"/>
        </w:rPr>
        <w:t xml:space="preserve">For our free-floating commodity exporters – Australia, Canada </w:t>
      </w:r>
      <w:r w:rsidR="001A23FE">
        <w:rPr>
          <w:sz w:val="24"/>
          <w:szCs w:val="24"/>
        </w:rPr>
        <w:t xml:space="preserve">and New Zealand  </w:t>
      </w:r>
      <w:r>
        <w:rPr>
          <w:sz w:val="24"/>
          <w:szCs w:val="24"/>
        </w:rPr>
        <w:t xml:space="preserve">– positive </w:t>
      </w:r>
      <w:r w:rsidR="000F5495">
        <w:rPr>
          <w:sz w:val="24"/>
          <w:szCs w:val="24"/>
        </w:rPr>
        <w:t>shocks i</w:t>
      </w:r>
      <w:r>
        <w:rPr>
          <w:sz w:val="24"/>
          <w:szCs w:val="24"/>
        </w:rPr>
        <w:t>n their country-specific export commodity price index</w:t>
      </w:r>
      <w:r w:rsidR="000F5495">
        <w:rPr>
          <w:sz w:val="24"/>
          <w:szCs w:val="24"/>
        </w:rPr>
        <w:t xml:space="preserve"> cause real appreciation of their currencies.</w:t>
      </w:r>
      <w:r w:rsidR="002F0B8D">
        <w:rPr>
          <w:sz w:val="24"/>
          <w:szCs w:val="24"/>
        </w:rPr>
        <w:t xml:space="preserve"> </w:t>
      </w:r>
    </w:p>
    <w:p w14:paraId="52F8740F" w14:textId="5CAEEE8D" w:rsidR="000F5495" w:rsidRPr="002F0B8D" w:rsidRDefault="001A23FE" w:rsidP="002F0B8D">
      <w:pPr>
        <w:pStyle w:val="ListParagraph"/>
        <w:numPr>
          <w:ilvl w:val="0"/>
          <w:numId w:val="8"/>
        </w:numPr>
        <w:rPr>
          <w:sz w:val="24"/>
          <w:szCs w:val="24"/>
        </w:rPr>
      </w:pPr>
      <w:r>
        <w:rPr>
          <w:sz w:val="24"/>
          <w:szCs w:val="24"/>
        </w:rPr>
        <w:lastRenderedPageBreak/>
        <w:t xml:space="preserve">For </w:t>
      </w:r>
      <w:r w:rsidR="00B375DD">
        <w:rPr>
          <w:sz w:val="24"/>
          <w:szCs w:val="24"/>
        </w:rPr>
        <w:t xml:space="preserve">our systematic </w:t>
      </w:r>
      <w:r w:rsidR="000F5495">
        <w:rPr>
          <w:sz w:val="24"/>
          <w:szCs w:val="24"/>
        </w:rPr>
        <w:t>managed floaters</w:t>
      </w:r>
      <w:r w:rsidR="00B375DD">
        <w:rPr>
          <w:sz w:val="24"/>
          <w:szCs w:val="24"/>
        </w:rPr>
        <w:t xml:space="preserve"> in Asia</w:t>
      </w:r>
      <w:r w:rsidR="000F5495">
        <w:rPr>
          <w:sz w:val="24"/>
          <w:szCs w:val="24"/>
        </w:rPr>
        <w:t xml:space="preserve">, particularly Korea and Turkey, a fall in the VIX leads to real appreciation, regardless of whether observed directly (OLS) or </w:t>
      </w:r>
      <w:r w:rsidR="006830DC">
        <w:rPr>
          <w:sz w:val="24"/>
          <w:szCs w:val="24"/>
        </w:rPr>
        <w:t xml:space="preserve">indirectly </w:t>
      </w:r>
      <w:r w:rsidR="000F5495">
        <w:rPr>
          <w:sz w:val="24"/>
          <w:szCs w:val="24"/>
        </w:rPr>
        <w:t>via the balance of payments surplus (IV).</w:t>
      </w:r>
      <w:r w:rsidR="002269CE">
        <w:rPr>
          <w:sz w:val="24"/>
          <w:szCs w:val="24"/>
        </w:rPr>
        <w:t xml:space="preserve">  For </w:t>
      </w:r>
      <w:r w:rsidR="000F5495">
        <w:rPr>
          <w:sz w:val="24"/>
          <w:szCs w:val="24"/>
        </w:rPr>
        <w:t>the others</w:t>
      </w:r>
      <w:r w:rsidR="00BD4A26">
        <w:rPr>
          <w:sz w:val="24"/>
          <w:szCs w:val="24"/>
        </w:rPr>
        <w:t xml:space="preserve"> </w:t>
      </w:r>
      <w:r w:rsidR="004C7BE5">
        <w:rPr>
          <w:sz w:val="24"/>
          <w:szCs w:val="24"/>
        </w:rPr>
        <w:t>-- India</w:t>
      </w:r>
      <w:r w:rsidR="002F0B8D">
        <w:rPr>
          <w:sz w:val="24"/>
          <w:szCs w:val="24"/>
        </w:rPr>
        <w:t>, Malaysia, the Philippines, Singapore and Thailand --</w:t>
      </w:r>
      <w:r w:rsidR="00BD4A26" w:rsidRPr="002F0B8D">
        <w:rPr>
          <w:sz w:val="24"/>
          <w:szCs w:val="24"/>
        </w:rPr>
        <w:t xml:space="preserve"> --</w:t>
      </w:r>
      <w:r w:rsidR="000F5495" w:rsidRPr="002F0B8D">
        <w:rPr>
          <w:sz w:val="24"/>
          <w:szCs w:val="24"/>
        </w:rPr>
        <w:t xml:space="preserve"> </w:t>
      </w:r>
      <w:r w:rsidR="00517DC5" w:rsidRPr="002F0B8D">
        <w:rPr>
          <w:sz w:val="24"/>
          <w:szCs w:val="24"/>
        </w:rPr>
        <w:t>the effect is statistically significant</w:t>
      </w:r>
      <w:r w:rsidR="000F5495" w:rsidRPr="002F0B8D">
        <w:rPr>
          <w:sz w:val="24"/>
          <w:szCs w:val="24"/>
        </w:rPr>
        <w:t xml:space="preserve"> only when observed directly.</w:t>
      </w:r>
    </w:p>
    <w:p w14:paraId="208949E1" w14:textId="77777777" w:rsidR="000452A7" w:rsidRPr="008341F9" w:rsidRDefault="00784C61" w:rsidP="00D173F6">
      <w:pPr>
        <w:pStyle w:val="ListParagraph"/>
        <w:numPr>
          <w:ilvl w:val="0"/>
          <w:numId w:val="8"/>
        </w:numPr>
        <w:rPr>
          <w:sz w:val="24"/>
          <w:szCs w:val="24"/>
        </w:rPr>
      </w:pPr>
      <w:r>
        <w:rPr>
          <w:sz w:val="24"/>
          <w:szCs w:val="24"/>
        </w:rPr>
        <w:t>For our commodity exporting managed floaters</w:t>
      </w:r>
      <w:r w:rsidR="009A51A0">
        <w:rPr>
          <w:sz w:val="24"/>
          <w:szCs w:val="24"/>
        </w:rPr>
        <w:t>, the effects vary, but are significantly greater than zero more often than among the firm fixers and less often than the free floaters.</w:t>
      </w:r>
    </w:p>
    <w:p w14:paraId="4DE3FBD4" w14:textId="77777777" w:rsidR="00B82868" w:rsidRDefault="008341F9" w:rsidP="008341F9">
      <w:pPr>
        <w:ind w:firstLine="360"/>
      </w:pPr>
      <w:r>
        <w:t>In short, w</w:t>
      </w:r>
      <w:r w:rsidRPr="00FF7318">
        <w:rPr>
          <w:rFonts w:cs="Arial"/>
          <w:color w:val="1E1E1E"/>
          <w:sz w:val="24"/>
          <w:szCs w:val="24"/>
          <w:shd w:val="clear" w:color="auto" w:fill="FFFFFF"/>
        </w:rPr>
        <w:t xml:space="preserve">e reject the view that exchange rate regimes make no difference. </w:t>
      </w:r>
      <w:r>
        <w:rPr>
          <w:rFonts w:cs="Arial"/>
          <w:color w:val="1E1E1E"/>
          <w:sz w:val="24"/>
          <w:szCs w:val="24"/>
          <w:shd w:val="clear" w:color="auto" w:fill="FFFFFF"/>
        </w:rPr>
        <w:t>W</w:t>
      </w:r>
      <w:r w:rsidRPr="00FF7318">
        <w:rPr>
          <w:rFonts w:cs="Arial"/>
          <w:color w:val="1E1E1E"/>
          <w:sz w:val="24"/>
          <w:szCs w:val="24"/>
          <w:shd w:val="clear" w:color="auto" w:fill="FFFFFF"/>
        </w:rPr>
        <w:t xml:space="preserve">e find that positive external shocks tend to cause real appreciation for </w:t>
      </w:r>
      <w:r>
        <w:rPr>
          <w:rFonts w:cs="Arial"/>
          <w:color w:val="1E1E1E"/>
          <w:sz w:val="24"/>
          <w:szCs w:val="24"/>
          <w:shd w:val="clear" w:color="auto" w:fill="FFFFFF"/>
        </w:rPr>
        <w:t xml:space="preserve">most systematic </w:t>
      </w:r>
      <w:r w:rsidRPr="00FF7318">
        <w:rPr>
          <w:rFonts w:cs="Arial"/>
          <w:color w:val="1E1E1E"/>
          <w:sz w:val="24"/>
          <w:szCs w:val="24"/>
          <w:shd w:val="clear" w:color="auto" w:fill="FFFFFF"/>
        </w:rPr>
        <w:t>managed-floaters;</w:t>
      </w:r>
      <w:r>
        <w:rPr>
          <w:rFonts w:cs="Arial"/>
          <w:color w:val="1E1E1E"/>
          <w:sz w:val="24"/>
          <w:szCs w:val="24"/>
          <w:shd w:val="clear" w:color="auto" w:fill="FFFFFF"/>
        </w:rPr>
        <w:t xml:space="preserve"> </w:t>
      </w:r>
      <w:r w:rsidRPr="00FF7318">
        <w:rPr>
          <w:rFonts w:cs="Arial"/>
          <w:color w:val="1E1E1E"/>
          <w:sz w:val="24"/>
          <w:szCs w:val="24"/>
          <w:shd w:val="clear" w:color="auto" w:fill="FFFFFF"/>
        </w:rPr>
        <w:t>more strongly so for pure floaters; and not at all for most firm peggers</w:t>
      </w:r>
      <w:r>
        <w:rPr>
          <w:rFonts w:cs="Arial"/>
          <w:color w:val="1E1E1E"/>
          <w:sz w:val="24"/>
          <w:szCs w:val="24"/>
          <w:shd w:val="clear" w:color="auto" w:fill="FFFFFF"/>
        </w:rPr>
        <w:t>.</w:t>
      </w:r>
    </w:p>
    <w:p w14:paraId="3E40CB9B" w14:textId="77777777" w:rsidR="00B82868" w:rsidRDefault="00B82868">
      <w:r>
        <w:br w:type="page"/>
      </w:r>
    </w:p>
    <w:p w14:paraId="56CFE01C" w14:textId="77777777" w:rsidR="00B82868" w:rsidRPr="009736BA" w:rsidRDefault="00B82868">
      <w:pPr>
        <w:rPr>
          <w:b/>
          <w:sz w:val="24"/>
          <w:szCs w:val="24"/>
          <w:u w:val="single"/>
        </w:rPr>
      </w:pPr>
      <w:r w:rsidRPr="009736BA">
        <w:rPr>
          <w:b/>
          <w:sz w:val="24"/>
          <w:szCs w:val="24"/>
          <w:u w:val="single"/>
        </w:rPr>
        <w:lastRenderedPageBreak/>
        <w:t>References</w:t>
      </w:r>
    </w:p>
    <w:p w14:paraId="7FD57419" w14:textId="77777777" w:rsidR="00FA104F" w:rsidRPr="00FE6187" w:rsidRDefault="00FA104F" w:rsidP="00D567CF">
      <w:pPr>
        <w:rPr>
          <w:sz w:val="18"/>
          <w:szCs w:val="18"/>
        </w:rPr>
      </w:pPr>
      <w:r w:rsidRPr="00FE6187">
        <w:rPr>
          <w:sz w:val="18"/>
          <w:szCs w:val="18"/>
        </w:rPr>
        <w:t xml:space="preserve">Adler, Gustavo, Noemie Lisack and Rui Mano, 2015, "Unveiling the Effects of FX Intervention: A Panel Approach." IMF Working Paper No. 15/130. </w:t>
      </w:r>
    </w:p>
    <w:p w14:paraId="3AD3F2CC" w14:textId="77777777" w:rsidR="000249BD" w:rsidRPr="00FE6187" w:rsidRDefault="00FA104F" w:rsidP="000249BD">
      <w:pPr>
        <w:rPr>
          <w:sz w:val="18"/>
          <w:szCs w:val="18"/>
        </w:rPr>
      </w:pPr>
      <w:r w:rsidRPr="00FE6187">
        <w:rPr>
          <w:sz w:val="18"/>
          <w:szCs w:val="18"/>
        </w:rPr>
        <w:t>Adler, Gustavo and Camilo E. Tovar, 2011, "FX Intervention: A Shield against Appreciation Winds?" IMF Working Paper No. 11/165.</w:t>
      </w:r>
    </w:p>
    <w:p w14:paraId="70163E91" w14:textId="77777777" w:rsidR="000249BD" w:rsidRPr="00FE6187" w:rsidRDefault="000249BD" w:rsidP="000249BD">
      <w:pPr>
        <w:spacing w:line="240" w:lineRule="auto"/>
        <w:rPr>
          <w:rFonts w:cs="Arial"/>
          <w:color w:val="000000" w:themeColor="text1"/>
          <w:sz w:val="18"/>
          <w:szCs w:val="18"/>
          <w:shd w:val="clear" w:color="auto" w:fill="FFFFFF"/>
        </w:rPr>
      </w:pPr>
      <w:r w:rsidRPr="00FE6187">
        <w:rPr>
          <w:rFonts w:cs="Arial"/>
          <w:color w:val="000000" w:themeColor="text1"/>
          <w:sz w:val="18"/>
          <w:szCs w:val="18"/>
          <w:shd w:val="clear" w:color="auto" w:fill="FFFFFF"/>
        </w:rPr>
        <w:t>Aizenman, Joshua, Menzie Chinn, and Hiro Ito. 2010. "The Emerging Global Financial Architecture: Tracing and Evaluating New Patterns of the Trilemma Configuration."</w:t>
      </w:r>
      <w:r w:rsidRPr="00FE6187">
        <w:rPr>
          <w:rStyle w:val="apple-converted-space"/>
          <w:rFonts w:cs="Arial"/>
          <w:color w:val="000000" w:themeColor="text1"/>
          <w:sz w:val="18"/>
          <w:szCs w:val="18"/>
          <w:shd w:val="clear" w:color="auto" w:fill="FFFFFF"/>
        </w:rPr>
        <w:t> </w:t>
      </w:r>
      <w:r w:rsidRPr="00FE6187">
        <w:rPr>
          <w:rFonts w:cs="Arial"/>
          <w:i/>
          <w:iCs/>
          <w:color w:val="000000" w:themeColor="text1"/>
          <w:sz w:val="18"/>
          <w:szCs w:val="18"/>
          <w:shd w:val="clear" w:color="auto" w:fill="FFFFFF"/>
        </w:rPr>
        <w:t>Journal of International Money and Finance</w:t>
      </w:r>
      <w:r w:rsidRPr="00FE6187">
        <w:rPr>
          <w:rStyle w:val="apple-converted-space"/>
          <w:rFonts w:cs="Arial"/>
          <w:color w:val="000000" w:themeColor="text1"/>
          <w:sz w:val="18"/>
          <w:szCs w:val="18"/>
          <w:shd w:val="clear" w:color="auto" w:fill="FFFFFF"/>
        </w:rPr>
        <w:t> </w:t>
      </w:r>
      <w:r w:rsidRPr="00FE6187">
        <w:rPr>
          <w:rFonts w:cs="Arial"/>
          <w:color w:val="000000" w:themeColor="text1"/>
          <w:sz w:val="18"/>
          <w:szCs w:val="18"/>
          <w:shd w:val="clear" w:color="auto" w:fill="FFFFFF"/>
        </w:rPr>
        <w:t>29(4), pp. 615-641.</w:t>
      </w:r>
    </w:p>
    <w:p w14:paraId="206B454D" w14:textId="77777777" w:rsidR="000249BD" w:rsidRPr="00FE6187" w:rsidRDefault="000249BD" w:rsidP="000249BD">
      <w:pPr>
        <w:spacing w:line="240" w:lineRule="auto"/>
        <w:rPr>
          <w:rFonts w:cs="Arial"/>
          <w:color w:val="000000" w:themeColor="text1"/>
          <w:sz w:val="18"/>
          <w:szCs w:val="18"/>
          <w:shd w:val="clear" w:color="auto" w:fill="FFFFFF"/>
        </w:rPr>
      </w:pPr>
      <w:r w:rsidRPr="00FE6187">
        <w:rPr>
          <w:rFonts w:cs="Arial"/>
          <w:color w:val="000000" w:themeColor="text1"/>
          <w:sz w:val="18"/>
          <w:szCs w:val="18"/>
          <w:shd w:val="clear" w:color="auto" w:fill="FFFFFF"/>
        </w:rPr>
        <w:t xml:space="preserve">Aizenman, Joshua, Menzie Chinn, and Hiro Ito. 2011. "Surfing the Waves of Globalization: Asia and Financial Globalization in the Context of the Trilemma," </w:t>
      </w:r>
      <w:r w:rsidRPr="00FE6187">
        <w:rPr>
          <w:rFonts w:cs="Arial"/>
          <w:i/>
          <w:iCs/>
          <w:color w:val="000000" w:themeColor="text1"/>
          <w:sz w:val="18"/>
          <w:szCs w:val="18"/>
          <w:shd w:val="clear" w:color="auto" w:fill="FFFFFF"/>
        </w:rPr>
        <w:t>Journal of the Japanese and International Economies</w:t>
      </w:r>
      <w:r w:rsidRPr="00FE6187">
        <w:rPr>
          <w:rStyle w:val="apple-converted-space"/>
          <w:rFonts w:cs="Arial"/>
          <w:color w:val="000000" w:themeColor="text1"/>
          <w:sz w:val="18"/>
          <w:szCs w:val="18"/>
          <w:shd w:val="clear" w:color="auto" w:fill="FFFFFF"/>
        </w:rPr>
        <w:t> </w:t>
      </w:r>
      <w:r w:rsidRPr="00FE6187">
        <w:rPr>
          <w:rFonts w:cs="Arial"/>
          <w:color w:val="000000" w:themeColor="text1"/>
          <w:sz w:val="18"/>
          <w:szCs w:val="18"/>
          <w:shd w:val="clear" w:color="auto" w:fill="FFFFFF"/>
        </w:rPr>
        <w:t>25(3), pp.</w:t>
      </w:r>
      <w:r w:rsidRPr="00FE6187">
        <w:rPr>
          <w:rFonts w:cs="Arial" w:hint="eastAsia"/>
          <w:color w:val="000000" w:themeColor="text1"/>
          <w:sz w:val="18"/>
          <w:szCs w:val="18"/>
          <w:shd w:val="clear" w:color="auto" w:fill="FFFFFF"/>
          <w:lang w:eastAsia="ko-KR"/>
        </w:rPr>
        <w:t xml:space="preserve"> </w:t>
      </w:r>
      <w:r w:rsidRPr="00FE6187">
        <w:rPr>
          <w:rFonts w:cs="Arial"/>
          <w:color w:val="000000" w:themeColor="text1"/>
          <w:sz w:val="18"/>
          <w:szCs w:val="18"/>
          <w:shd w:val="clear" w:color="auto" w:fill="FFFFFF"/>
        </w:rPr>
        <w:t>290-320.</w:t>
      </w:r>
    </w:p>
    <w:p w14:paraId="4E4E61EE" w14:textId="77777777" w:rsidR="009720AD" w:rsidRDefault="009720AD" w:rsidP="009720AD">
      <w:pPr>
        <w:tabs>
          <w:tab w:val="left" w:pos="-720"/>
        </w:tabs>
        <w:suppressAutoHyphens/>
        <w:spacing w:line="240" w:lineRule="auto"/>
        <w:jc w:val="both"/>
        <w:rPr>
          <w:iCs/>
          <w:sz w:val="18"/>
          <w:szCs w:val="18"/>
        </w:rPr>
      </w:pPr>
      <w:r w:rsidRPr="00FE6187">
        <w:rPr>
          <w:sz w:val="18"/>
          <w:szCs w:val="18"/>
        </w:rPr>
        <w:t>Bahmani-Oskooee, M.</w:t>
      </w:r>
      <w:r w:rsidRPr="00FE6187">
        <w:rPr>
          <w:iCs/>
          <w:sz w:val="18"/>
          <w:szCs w:val="18"/>
        </w:rPr>
        <w:t>, S.Hegerty and A.Kutan, 2008,</w:t>
      </w:r>
      <w:r w:rsidRPr="00FE6187">
        <w:rPr>
          <w:i/>
          <w:iCs/>
          <w:sz w:val="18"/>
          <w:szCs w:val="18"/>
        </w:rPr>
        <w:t xml:space="preserve"> </w:t>
      </w:r>
      <w:r w:rsidRPr="00FE6187">
        <w:rPr>
          <w:iCs/>
          <w:sz w:val="18"/>
          <w:szCs w:val="18"/>
        </w:rPr>
        <w:t>"Do Nominal Devaluations Lead to Real Devaluations? Evidence from 89 Countries"</w:t>
      </w:r>
      <w:r w:rsidRPr="00FE6187">
        <w:rPr>
          <w:b/>
          <w:bCs/>
          <w:iCs/>
          <w:sz w:val="18"/>
          <w:szCs w:val="18"/>
        </w:rPr>
        <w:t xml:space="preserve"> </w:t>
      </w:r>
      <w:r w:rsidRPr="00FE6187">
        <w:rPr>
          <w:bCs/>
          <w:i/>
          <w:iCs/>
          <w:sz w:val="18"/>
          <w:szCs w:val="18"/>
        </w:rPr>
        <w:t>International Review of Economics and Finance</w:t>
      </w:r>
      <w:r w:rsidRPr="00FE6187">
        <w:rPr>
          <w:i/>
          <w:iCs/>
          <w:sz w:val="18"/>
          <w:szCs w:val="18"/>
        </w:rPr>
        <w:t xml:space="preserve"> </w:t>
      </w:r>
      <w:r w:rsidRPr="00FE6187">
        <w:rPr>
          <w:iCs/>
          <w:sz w:val="18"/>
          <w:szCs w:val="18"/>
        </w:rPr>
        <w:t xml:space="preserve">17, 644–70. </w:t>
      </w:r>
    </w:p>
    <w:p w14:paraId="300FC1D3" w14:textId="77777777" w:rsidR="00077A79" w:rsidRPr="00077A79" w:rsidRDefault="00077A79" w:rsidP="00077A79">
      <w:pPr>
        <w:pStyle w:val="BodyText"/>
        <w:jc w:val="both"/>
        <w:rPr>
          <w:rFonts w:asciiTheme="minorHAnsi" w:hAnsiTheme="minorHAnsi"/>
          <w:sz w:val="18"/>
          <w:szCs w:val="18"/>
        </w:rPr>
      </w:pPr>
      <w:r w:rsidRPr="00077A79">
        <w:rPr>
          <w:rFonts w:asciiTheme="minorHAnsi" w:hAnsiTheme="minorHAnsi"/>
          <w:sz w:val="18"/>
          <w:szCs w:val="18"/>
        </w:rPr>
        <w:t xml:space="preserve">Bai, Jushan and Pierre Perron. 2003. "Computation and analysis of multiple structural change models," </w:t>
      </w:r>
      <w:r w:rsidRPr="00077A79">
        <w:rPr>
          <w:rStyle w:val="Italics"/>
          <w:rFonts w:asciiTheme="minorHAnsi" w:hAnsiTheme="minorHAnsi"/>
          <w:sz w:val="18"/>
          <w:szCs w:val="18"/>
        </w:rPr>
        <w:t>Journal of Applied Econometrics</w:t>
      </w:r>
      <w:r w:rsidRPr="00077A79">
        <w:rPr>
          <w:rFonts w:asciiTheme="minorHAnsi" w:hAnsiTheme="minorHAnsi"/>
          <w:sz w:val="18"/>
          <w:szCs w:val="18"/>
        </w:rPr>
        <w:t>, 18(1): 1-22.</w:t>
      </w:r>
    </w:p>
    <w:p w14:paraId="678B97BD" w14:textId="77777777" w:rsidR="004B7131" w:rsidRPr="00FE6187" w:rsidRDefault="004B7131" w:rsidP="004B7131">
      <w:pPr>
        <w:rPr>
          <w:sz w:val="18"/>
          <w:szCs w:val="18"/>
        </w:rPr>
      </w:pPr>
      <w:r w:rsidRPr="00FE6187">
        <w:rPr>
          <w:sz w:val="18"/>
          <w:szCs w:val="18"/>
        </w:rPr>
        <w:t>Baskaya, Yusuf Soner, Julian di Giovanni Sebnem Kalemli-Ozcan Mehmet Fatih Ulu,  2017, “International Spillovers and Local Credit Cycles,” NBER Working Paper 23149, March.</w:t>
      </w:r>
    </w:p>
    <w:p w14:paraId="71491090" w14:textId="77777777" w:rsidR="004B7131" w:rsidRPr="00FE6187" w:rsidRDefault="004B7131" w:rsidP="004B7131">
      <w:pPr>
        <w:rPr>
          <w:sz w:val="18"/>
          <w:szCs w:val="18"/>
        </w:rPr>
      </w:pPr>
      <w:r w:rsidRPr="00FE6187">
        <w:rPr>
          <w:color w:val="000000" w:themeColor="text1"/>
          <w:kern w:val="24"/>
          <w:sz w:val="18"/>
          <w:szCs w:val="18"/>
        </w:rPr>
        <w:t>Basu, Kaushik, and  Aristomene Varoudakis, Policy RWP 6469, World Bank, 2013, “How to Move the Exchange Rate If You Must: The Diverse Practice of Foreign Exchange Intervention by Central Banks and a Proposal for Doing it Better” May.</w:t>
      </w:r>
    </w:p>
    <w:p w14:paraId="1B0D5B87" w14:textId="77777777" w:rsidR="004B7131" w:rsidRPr="00FE6187" w:rsidRDefault="004B7131" w:rsidP="004B7131">
      <w:pPr>
        <w:pStyle w:val="NormalWeb"/>
        <w:shd w:val="clear" w:color="auto" w:fill="FFFFFF"/>
        <w:spacing w:before="0" w:beforeAutospacing="0" w:after="240" w:afterAutospacing="0"/>
        <w:rPr>
          <w:rFonts w:asciiTheme="minorHAnsi" w:hAnsiTheme="minorHAnsi" w:cstheme="minorHAnsi"/>
          <w:color w:val="2C2825"/>
          <w:sz w:val="18"/>
          <w:szCs w:val="18"/>
        </w:rPr>
      </w:pPr>
      <w:r w:rsidRPr="00FE6187">
        <w:rPr>
          <w:rStyle w:val="bio-name"/>
          <w:rFonts w:asciiTheme="minorHAnsi" w:hAnsiTheme="minorHAnsi" w:cstheme="minorHAnsi"/>
          <w:sz w:val="18"/>
          <w:szCs w:val="18"/>
        </w:rPr>
        <w:t>Basu, Suman</w:t>
      </w:r>
      <w:r w:rsidRPr="00FE6187">
        <w:rPr>
          <w:rFonts w:asciiTheme="minorHAnsi" w:hAnsiTheme="minorHAnsi" w:cstheme="minorHAnsi"/>
          <w:color w:val="2C2825"/>
          <w:sz w:val="18"/>
          <w:szCs w:val="18"/>
        </w:rPr>
        <w:t>, Atish R. Ghosh, Jonathan Ostry, and Pablo Winant, 2016 “</w:t>
      </w:r>
      <w:r w:rsidRPr="00FE6187">
        <w:rPr>
          <w:rStyle w:val="Strong"/>
          <w:rFonts w:asciiTheme="minorHAnsi" w:hAnsiTheme="minorHAnsi" w:cstheme="minorHAnsi"/>
          <w:b w:val="0"/>
          <w:bCs w:val="0"/>
          <w:color w:val="2C2825"/>
          <w:sz w:val="18"/>
          <w:szCs w:val="18"/>
        </w:rPr>
        <w:t xml:space="preserve">Managing Capital Outflows: The Role of Foreign Exchange Intervention,” Annual Research Conference, International Monetary Fund, Nov. </w:t>
      </w:r>
    </w:p>
    <w:p w14:paraId="6A7CFD37" w14:textId="77777777" w:rsidR="00077A79" w:rsidRDefault="000D744F" w:rsidP="008E76E8">
      <w:pPr>
        <w:spacing w:after="0" w:line="240" w:lineRule="auto"/>
        <w:jc w:val="both"/>
        <w:rPr>
          <w:sz w:val="18"/>
          <w:szCs w:val="18"/>
        </w:rPr>
      </w:pPr>
      <w:r w:rsidRPr="00FE6187">
        <w:rPr>
          <w:rFonts w:cs="Times New Roman"/>
          <w:noProof/>
          <w:color w:val="000000" w:themeColor="text1"/>
          <w:sz w:val="18"/>
          <w:szCs w:val="18"/>
        </w:rPr>
        <w:t>Beine, Michel, Agnes Bénassy-Quéré, and Christelle Lecourt. 2002,</w:t>
      </w:r>
      <w:r w:rsidRPr="00FE6187">
        <w:rPr>
          <w:rFonts w:ascii="Times New Roman" w:hAnsi="Times New Roman" w:cs="Times New Roman"/>
          <w:noProof/>
          <w:color w:val="000000" w:themeColor="text1"/>
          <w:sz w:val="18"/>
          <w:szCs w:val="18"/>
        </w:rPr>
        <w:t xml:space="preserve"> “</w:t>
      </w:r>
      <w:r w:rsidRPr="00FE6187">
        <w:rPr>
          <w:rFonts w:cs="Times New Roman"/>
          <w:noProof/>
          <w:color w:val="000000" w:themeColor="text1"/>
          <w:sz w:val="18"/>
          <w:szCs w:val="18"/>
        </w:rPr>
        <w:t xml:space="preserve">Central Bank Intervention and Foreign Exchange Rates: New Evidence from FIGARCH Estimation,”. </w:t>
      </w:r>
      <w:r w:rsidRPr="00FE6187">
        <w:rPr>
          <w:rFonts w:cs="Times New Roman"/>
          <w:i/>
          <w:iCs/>
          <w:noProof/>
          <w:color w:val="000000" w:themeColor="text1"/>
          <w:sz w:val="18"/>
          <w:szCs w:val="18"/>
        </w:rPr>
        <w:t xml:space="preserve">Journal of International Money and Finance </w:t>
      </w:r>
      <w:r w:rsidRPr="00FE6187">
        <w:rPr>
          <w:rFonts w:cs="Times New Roman"/>
          <w:iCs/>
          <w:noProof/>
          <w:color w:val="000000" w:themeColor="text1"/>
          <w:sz w:val="18"/>
          <w:szCs w:val="18"/>
        </w:rPr>
        <w:t>21, no. 1</w:t>
      </w:r>
      <w:r w:rsidRPr="00FE6187">
        <w:rPr>
          <w:rFonts w:cs="Times New Roman"/>
          <w:noProof/>
          <w:color w:val="000000" w:themeColor="text1"/>
          <w:sz w:val="18"/>
          <w:szCs w:val="18"/>
        </w:rPr>
        <w:t>: 115–44.</w:t>
      </w:r>
      <w:r w:rsidRPr="00FE6187">
        <w:rPr>
          <w:rFonts w:cs="Times New Roman"/>
          <w:noProof/>
          <w:color w:val="000000" w:themeColor="text1"/>
          <w:sz w:val="18"/>
          <w:szCs w:val="18"/>
        </w:rPr>
        <w:br/>
      </w:r>
    </w:p>
    <w:p w14:paraId="580B2981" w14:textId="77777777" w:rsidR="00077A79" w:rsidRPr="00077A79" w:rsidRDefault="00077A79" w:rsidP="00077A79">
      <w:pPr>
        <w:spacing w:after="240"/>
        <w:rPr>
          <w:snapToGrid w:val="0"/>
          <w:sz w:val="18"/>
          <w:szCs w:val="18"/>
        </w:rPr>
      </w:pPr>
      <w:r w:rsidRPr="00077A79">
        <w:rPr>
          <w:snapToGrid w:val="0"/>
          <w:sz w:val="18"/>
          <w:szCs w:val="18"/>
        </w:rPr>
        <w:t>B</w:t>
      </w:r>
      <w:r w:rsidRPr="00077A79">
        <w:rPr>
          <w:sz w:val="18"/>
          <w:szCs w:val="18"/>
        </w:rPr>
        <w:t>é</w:t>
      </w:r>
      <w:r w:rsidRPr="00077A79">
        <w:rPr>
          <w:snapToGrid w:val="0"/>
          <w:sz w:val="18"/>
          <w:szCs w:val="18"/>
        </w:rPr>
        <w:t>nassy-Qu</w:t>
      </w:r>
      <w:r w:rsidRPr="00077A79">
        <w:rPr>
          <w:sz w:val="18"/>
          <w:szCs w:val="18"/>
        </w:rPr>
        <w:t>é</w:t>
      </w:r>
      <w:r w:rsidRPr="00077A79">
        <w:rPr>
          <w:snapToGrid w:val="0"/>
          <w:sz w:val="18"/>
          <w:szCs w:val="18"/>
        </w:rPr>
        <w:t>r</w:t>
      </w:r>
      <w:r w:rsidRPr="00077A79">
        <w:rPr>
          <w:sz w:val="18"/>
          <w:szCs w:val="18"/>
        </w:rPr>
        <w:t>é</w:t>
      </w:r>
      <w:r w:rsidRPr="00077A79">
        <w:rPr>
          <w:snapToGrid w:val="0"/>
          <w:sz w:val="18"/>
          <w:szCs w:val="18"/>
        </w:rPr>
        <w:t xml:space="preserve">, </w:t>
      </w:r>
      <w:r w:rsidRPr="00077A79">
        <w:rPr>
          <w:sz w:val="18"/>
          <w:szCs w:val="18"/>
        </w:rPr>
        <w:t>A</w:t>
      </w:r>
      <w:r w:rsidRPr="00077A79">
        <w:rPr>
          <w:snapToGrid w:val="0"/>
          <w:color w:val="000000"/>
          <w:sz w:val="18"/>
          <w:szCs w:val="18"/>
        </w:rPr>
        <w:t>gn</w:t>
      </w:r>
      <w:r w:rsidRPr="00077A79">
        <w:rPr>
          <w:sz w:val="18"/>
          <w:szCs w:val="18"/>
        </w:rPr>
        <w:t>è</w:t>
      </w:r>
      <w:r w:rsidRPr="00077A79">
        <w:rPr>
          <w:snapToGrid w:val="0"/>
          <w:color w:val="000000"/>
          <w:sz w:val="18"/>
          <w:szCs w:val="18"/>
        </w:rPr>
        <w:t>s</w:t>
      </w:r>
      <w:r w:rsidRPr="00077A79">
        <w:rPr>
          <w:snapToGrid w:val="0"/>
          <w:sz w:val="18"/>
          <w:szCs w:val="18"/>
        </w:rPr>
        <w:t xml:space="preserve">. 1999. “Exchange Rate Regimes and Policies: An Empirical Analysis.” In </w:t>
      </w:r>
      <w:r w:rsidRPr="00077A79">
        <w:rPr>
          <w:i/>
          <w:iCs/>
          <w:snapToGrid w:val="0"/>
          <w:sz w:val="18"/>
          <w:szCs w:val="18"/>
        </w:rPr>
        <w:t xml:space="preserve">Exchange Rate Policies in Emerging Asian Countries.  </w:t>
      </w:r>
      <w:r w:rsidRPr="00077A79">
        <w:rPr>
          <w:snapToGrid w:val="0"/>
          <w:sz w:val="18"/>
          <w:szCs w:val="18"/>
        </w:rPr>
        <w:t xml:space="preserve">edited by Stefan Collignon, Jean Pisani-Ferry and Yung Chul Park. </w:t>
      </w:r>
      <w:r>
        <w:rPr>
          <w:snapToGrid w:val="0"/>
          <w:sz w:val="18"/>
          <w:szCs w:val="18"/>
        </w:rPr>
        <w:t>(</w:t>
      </w:r>
      <w:r w:rsidRPr="00077A79">
        <w:rPr>
          <w:snapToGrid w:val="0"/>
          <w:sz w:val="18"/>
          <w:szCs w:val="18"/>
        </w:rPr>
        <w:t>London: Routledge</w:t>
      </w:r>
      <w:r>
        <w:rPr>
          <w:snapToGrid w:val="0"/>
          <w:sz w:val="18"/>
          <w:szCs w:val="18"/>
        </w:rPr>
        <w:t>)</w:t>
      </w:r>
      <w:r w:rsidRPr="00077A79">
        <w:rPr>
          <w:snapToGrid w:val="0"/>
          <w:sz w:val="18"/>
          <w:szCs w:val="18"/>
        </w:rPr>
        <w:t>: 40–64.</w:t>
      </w:r>
    </w:p>
    <w:p w14:paraId="3F4423BD" w14:textId="77777777" w:rsidR="008E76E8" w:rsidRPr="00FE6187" w:rsidRDefault="008E76E8" w:rsidP="008E76E8">
      <w:pPr>
        <w:spacing w:after="0" w:line="240" w:lineRule="auto"/>
        <w:jc w:val="both"/>
        <w:rPr>
          <w:sz w:val="18"/>
          <w:szCs w:val="18"/>
        </w:rPr>
      </w:pPr>
      <w:r w:rsidRPr="00FE6187">
        <w:rPr>
          <w:sz w:val="18"/>
          <w:szCs w:val="18"/>
        </w:rPr>
        <w:t>Bénassy-Quéré, A</w:t>
      </w:r>
      <w:r w:rsidRPr="00FE6187">
        <w:rPr>
          <w:snapToGrid w:val="0"/>
          <w:color w:val="000000"/>
          <w:sz w:val="18"/>
          <w:szCs w:val="18"/>
        </w:rPr>
        <w:t>gn</w:t>
      </w:r>
      <w:r w:rsidRPr="00FE6187">
        <w:rPr>
          <w:sz w:val="18"/>
          <w:szCs w:val="18"/>
        </w:rPr>
        <w:t>è</w:t>
      </w:r>
      <w:r w:rsidRPr="00FE6187">
        <w:rPr>
          <w:snapToGrid w:val="0"/>
          <w:color w:val="000000"/>
          <w:sz w:val="18"/>
          <w:szCs w:val="18"/>
        </w:rPr>
        <w:t>s,</w:t>
      </w:r>
      <w:r w:rsidRPr="00FE6187">
        <w:rPr>
          <w:sz w:val="18"/>
          <w:szCs w:val="18"/>
        </w:rPr>
        <w:t xml:space="preserve"> Benoit Coeuré, and Valérie Mignon, 2004, “On the Identification of de facto Currency Pegs,” </w:t>
      </w:r>
      <w:r w:rsidRPr="00FE6187">
        <w:rPr>
          <w:i/>
          <w:iCs/>
          <w:sz w:val="18"/>
          <w:szCs w:val="18"/>
        </w:rPr>
        <w:t xml:space="preserve">Journal of the Japanese and International Economies </w:t>
      </w:r>
      <w:r w:rsidRPr="00FE6187">
        <w:rPr>
          <w:iCs/>
          <w:sz w:val="18"/>
          <w:szCs w:val="18"/>
        </w:rPr>
        <w:t>2</w:t>
      </w:r>
      <w:r w:rsidRPr="00FE6187">
        <w:rPr>
          <w:sz w:val="18"/>
          <w:szCs w:val="18"/>
        </w:rPr>
        <w:t>0(1): 112–27.</w:t>
      </w:r>
    </w:p>
    <w:p w14:paraId="341BD663" w14:textId="77777777" w:rsidR="004B7131" w:rsidRPr="00FE6187" w:rsidRDefault="008E76E8" w:rsidP="00A67933">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br/>
      </w:r>
      <w:r w:rsidR="000D744F" w:rsidRPr="00FE6187">
        <w:rPr>
          <w:rFonts w:cs="Times New Roman"/>
          <w:noProof/>
          <w:color w:val="000000" w:themeColor="text1"/>
          <w:sz w:val="18"/>
          <w:szCs w:val="18"/>
        </w:rPr>
        <w:t>Blanchard, Olivier, Gustavo Adler, and Irineu de Car</w:t>
      </w:r>
      <w:r w:rsidR="007174CC" w:rsidRPr="00FE6187">
        <w:rPr>
          <w:rFonts w:cs="Times New Roman"/>
          <w:noProof/>
          <w:color w:val="000000" w:themeColor="text1"/>
          <w:sz w:val="18"/>
          <w:szCs w:val="18"/>
        </w:rPr>
        <w:t>valho Filho, 2015,</w:t>
      </w:r>
      <w:r w:rsidR="000D744F" w:rsidRPr="00FE6187">
        <w:rPr>
          <w:rFonts w:cs="Times New Roman"/>
          <w:noProof/>
          <w:color w:val="000000" w:themeColor="text1"/>
          <w:sz w:val="18"/>
          <w:szCs w:val="18"/>
        </w:rPr>
        <w:t xml:space="preserve"> </w:t>
      </w:r>
      <w:r w:rsidR="007174CC" w:rsidRPr="00FE6187">
        <w:rPr>
          <w:rFonts w:cs="Times New Roman"/>
          <w:noProof/>
          <w:color w:val="000000" w:themeColor="text1"/>
          <w:sz w:val="18"/>
          <w:szCs w:val="18"/>
        </w:rPr>
        <w:t>“</w:t>
      </w:r>
      <w:r w:rsidR="000D744F" w:rsidRPr="00FE6187">
        <w:rPr>
          <w:rFonts w:cs="Times New Roman"/>
          <w:noProof/>
          <w:color w:val="000000" w:themeColor="text1"/>
          <w:sz w:val="18"/>
          <w:szCs w:val="18"/>
        </w:rPr>
        <w:t>Can Foreign Exchange Intervention Stem Exchange Rate Pressures from Global Capital Flow Shocks?</w:t>
      </w:r>
      <w:r w:rsidR="007174CC" w:rsidRPr="00FE6187">
        <w:rPr>
          <w:rFonts w:cs="Times New Roman"/>
          <w:i/>
          <w:noProof/>
          <w:color w:val="000000" w:themeColor="text1"/>
          <w:sz w:val="18"/>
          <w:szCs w:val="18"/>
        </w:rPr>
        <w:t xml:space="preserve">” </w:t>
      </w:r>
      <w:r w:rsidR="000D744F" w:rsidRPr="00FE6187">
        <w:rPr>
          <w:rFonts w:cs="Times New Roman"/>
          <w:i/>
          <w:noProof/>
          <w:color w:val="000000" w:themeColor="text1"/>
          <w:sz w:val="18"/>
          <w:szCs w:val="18"/>
        </w:rPr>
        <w:t xml:space="preserve"> </w:t>
      </w:r>
      <w:r w:rsidR="007174CC" w:rsidRPr="00FE6187">
        <w:rPr>
          <w:rFonts w:cs="Times New Roman"/>
          <w:iCs/>
          <w:noProof/>
          <w:color w:val="000000" w:themeColor="text1"/>
          <w:sz w:val="18"/>
          <w:szCs w:val="18"/>
        </w:rPr>
        <w:t>IMF Working Paper 15/159</w:t>
      </w:r>
      <w:r w:rsidR="000D744F" w:rsidRPr="00FE6187">
        <w:rPr>
          <w:rFonts w:cs="Times New Roman"/>
          <w:noProof/>
          <w:color w:val="000000" w:themeColor="text1"/>
          <w:sz w:val="18"/>
          <w:szCs w:val="18"/>
        </w:rPr>
        <w:t xml:space="preserve"> (Washington: International Monetary Fund).</w:t>
      </w:r>
      <w:r w:rsidR="007174CC" w:rsidRPr="00FE6187">
        <w:rPr>
          <w:rFonts w:cs="Times New Roman"/>
          <w:noProof/>
          <w:color w:val="000000" w:themeColor="text1"/>
          <w:sz w:val="18"/>
          <w:szCs w:val="18"/>
        </w:rPr>
        <w:br/>
      </w:r>
    </w:p>
    <w:p w14:paraId="2AFC6DCE" w14:textId="77777777" w:rsidR="007174CC" w:rsidRPr="00FE6187" w:rsidRDefault="007174CC" w:rsidP="007174CC">
      <w:pPr>
        <w:rPr>
          <w:sz w:val="18"/>
          <w:szCs w:val="18"/>
          <w:lang w:eastAsia="ko-KR"/>
        </w:rPr>
      </w:pPr>
      <w:r w:rsidRPr="00FE6187">
        <w:rPr>
          <w:rFonts w:cs="Arial"/>
          <w:color w:val="222222"/>
          <w:sz w:val="18"/>
          <w:szCs w:val="18"/>
          <w:shd w:val="clear" w:color="auto" w:fill="FFFFFF"/>
        </w:rPr>
        <w:t>Blanchard, O., Jonathan Ostry, Atish R</w:t>
      </w:r>
      <w:r w:rsidR="005B31D5" w:rsidRPr="00FE6187">
        <w:rPr>
          <w:rFonts w:cs="Arial"/>
          <w:color w:val="222222"/>
          <w:sz w:val="18"/>
          <w:szCs w:val="18"/>
          <w:shd w:val="clear" w:color="auto" w:fill="FFFFFF"/>
        </w:rPr>
        <w:t>. Ghosh, and Marcos Chamon, 2016</w:t>
      </w:r>
      <w:r w:rsidRPr="00FE6187">
        <w:rPr>
          <w:rFonts w:cs="Arial"/>
          <w:color w:val="222222"/>
          <w:sz w:val="18"/>
          <w:szCs w:val="18"/>
          <w:shd w:val="clear" w:color="auto" w:fill="FFFFFF"/>
        </w:rPr>
        <w:t>,</w:t>
      </w:r>
      <w:r w:rsidR="000F317C" w:rsidRPr="00FE6187">
        <w:rPr>
          <w:rFonts w:cs="Arial"/>
          <w:color w:val="222222"/>
          <w:sz w:val="18"/>
          <w:szCs w:val="18"/>
          <w:shd w:val="clear" w:color="auto" w:fill="FFFFFF"/>
        </w:rPr>
        <w:t xml:space="preserve"> “</w:t>
      </w:r>
      <w:r w:rsidRPr="00FE6187">
        <w:rPr>
          <w:rFonts w:cs="Arial"/>
          <w:i/>
          <w:iCs/>
          <w:color w:val="222222"/>
          <w:sz w:val="18"/>
          <w:szCs w:val="18"/>
          <w:shd w:val="clear" w:color="auto" w:fill="FFFFFF"/>
        </w:rPr>
        <w:t>Are capital inflows expansionary or contractionary? Theory, policy implications, and some evidence</w:t>
      </w:r>
      <w:r w:rsidR="000F317C" w:rsidRPr="00FE6187">
        <w:rPr>
          <w:rFonts w:cs="Arial"/>
          <w:i/>
          <w:iCs/>
          <w:color w:val="222222"/>
          <w:sz w:val="18"/>
          <w:szCs w:val="18"/>
          <w:shd w:val="clear" w:color="auto" w:fill="FFFFFF"/>
        </w:rPr>
        <w:t xml:space="preserve">” </w:t>
      </w:r>
      <w:r w:rsidRPr="00FE6187">
        <w:rPr>
          <w:rStyle w:val="apple-converted-space"/>
          <w:rFonts w:cs="Arial"/>
          <w:color w:val="222222"/>
          <w:sz w:val="18"/>
          <w:szCs w:val="18"/>
          <w:shd w:val="clear" w:color="auto" w:fill="FFFFFF"/>
        </w:rPr>
        <w:t> </w:t>
      </w:r>
      <w:r w:rsidRPr="00FE6187">
        <w:rPr>
          <w:rFonts w:cs="Arial"/>
          <w:color w:val="222222"/>
          <w:sz w:val="18"/>
          <w:szCs w:val="18"/>
          <w:shd w:val="clear" w:color="auto" w:fill="FFFFFF"/>
        </w:rPr>
        <w:t>National Bureau of Economic Research WP 21619.</w:t>
      </w:r>
    </w:p>
    <w:p w14:paraId="310D4982" w14:textId="77777777" w:rsidR="00A67933" w:rsidRPr="00FE6187" w:rsidRDefault="00A67933" w:rsidP="00A67933">
      <w:pPr>
        <w:spacing w:line="240" w:lineRule="auto"/>
        <w:jc w:val="both"/>
        <w:rPr>
          <w:sz w:val="18"/>
          <w:szCs w:val="18"/>
        </w:rPr>
      </w:pPr>
      <w:r w:rsidRPr="00FE6187">
        <w:rPr>
          <w:sz w:val="18"/>
          <w:szCs w:val="18"/>
        </w:rPr>
        <w:t xml:space="preserve">Broda, Christian, 2004, "Terms of Trade and Exchange Rate Regimes in Developing Countries," </w:t>
      </w:r>
      <w:r w:rsidRPr="00FE6187">
        <w:rPr>
          <w:i/>
          <w:sz w:val="18"/>
          <w:szCs w:val="18"/>
        </w:rPr>
        <w:t>Journal of International Economics</w:t>
      </w:r>
      <w:r w:rsidRPr="00FE6187">
        <w:rPr>
          <w:sz w:val="18"/>
          <w:szCs w:val="18"/>
        </w:rPr>
        <w:t xml:space="preserve">, 63(1), pp. 31-58.  </w:t>
      </w:r>
    </w:p>
    <w:p w14:paraId="65C9D99D" w14:textId="77777777" w:rsidR="00041FDE" w:rsidRPr="00FE6187" w:rsidRDefault="00041FDE" w:rsidP="00A67933">
      <w:pPr>
        <w:spacing w:line="240" w:lineRule="auto"/>
        <w:jc w:val="both"/>
        <w:rPr>
          <w:sz w:val="18"/>
          <w:szCs w:val="18"/>
        </w:rPr>
      </w:pPr>
      <w:r w:rsidRPr="00FE6187">
        <w:rPr>
          <w:color w:val="333333"/>
          <w:spacing w:val="2"/>
          <w:sz w:val="18"/>
          <w:szCs w:val="18"/>
          <w:shd w:val="clear" w:color="auto" w:fill="FCFCFC"/>
        </w:rPr>
        <w:t>Bubula, A. and I. Ötker-Robe, 2002, “The Evolution of Exchange Rate Regimes since 1990: Evidence from De Facto Policies?” IMF Working Paper 02/155 (Washington, DC: IMF).</w:t>
      </w:r>
    </w:p>
    <w:p w14:paraId="0BAE50A1" w14:textId="77777777" w:rsidR="00A67933" w:rsidRPr="00FE6187" w:rsidRDefault="00A67933" w:rsidP="00A67933">
      <w:pPr>
        <w:spacing w:line="240" w:lineRule="auto"/>
        <w:jc w:val="both"/>
        <w:rPr>
          <w:sz w:val="18"/>
          <w:szCs w:val="18"/>
        </w:rPr>
      </w:pPr>
      <w:r w:rsidRPr="00FE6187">
        <w:rPr>
          <w:sz w:val="18"/>
          <w:szCs w:val="18"/>
        </w:rPr>
        <w:t xml:space="preserve">Calvo, Guillermo, and Carmen Reinhart, 2002, “Fear of Floating,” </w:t>
      </w:r>
      <w:r w:rsidRPr="00FE6187">
        <w:rPr>
          <w:i/>
          <w:iCs/>
          <w:sz w:val="18"/>
          <w:szCs w:val="18"/>
        </w:rPr>
        <w:t>Quarterly Journal of Economics</w:t>
      </w:r>
      <w:r w:rsidRPr="00FE6187">
        <w:rPr>
          <w:sz w:val="18"/>
          <w:szCs w:val="18"/>
        </w:rPr>
        <w:t>, May.</w:t>
      </w:r>
    </w:p>
    <w:p w14:paraId="3957D5E1" w14:textId="77777777" w:rsidR="004B7131" w:rsidRPr="00FE6187" w:rsidRDefault="004B7131" w:rsidP="004B7131">
      <w:pPr>
        <w:rPr>
          <w:sz w:val="18"/>
          <w:szCs w:val="18"/>
        </w:rPr>
      </w:pPr>
      <w:r w:rsidRPr="00FE6187">
        <w:rPr>
          <w:sz w:val="18"/>
          <w:szCs w:val="18"/>
        </w:rPr>
        <w:t xml:space="preserve">Cerutti, Eugenio, Stijn Claessens, and Damien Puy, </w:t>
      </w:r>
      <w:r w:rsidR="00F566D3" w:rsidRPr="00FE6187">
        <w:rPr>
          <w:sz w:val="18"/>
          <w:szCs w:val="18"/>
        </w:rPr>
        <w:t xml:space="preserve">2015, </w:t>
      </w:r>
      <w:r w:rsidRPr="00FE6187">
        <w:rPr>
          <w:sz w:val="18"/>
          <w:szCs w:val="18"/>
        </w:rPr>
        <w:t>“Push Factors and Capital Flows to Emerging Markets: Why Knowing Your Lender Matters More Than Fundamentals</w:t>
      </w:r>
      <w:r w:rsidR="00F566D3" w:rsidRPr="00FE6187">
        <w:rPr>
          <w:sz w:val="18"/>
          <w:szCs w:val="18"/>
        </w:rPr>
        <w:t>,” June,</w:t>
      </w:r>
      <w:r w:rsidRPr="00FE6187">
        <w:rPr>
          <w:sz w:val="18"/>
          <w:szCs w:val="18"/>
        </w:rPr>
        <w:t xml:space="preserve"> IMF Working Paper No. 15-127.  </w:t>
      </w:r>
    </w:p>
    <w:p w14:paraId="79B4E4B6" w14:textId="77777777" w:rsidR="00F566D3" w:rsidRPr="00FE6187" w:rsidRDefault="00F566D3" w:rsidP="00F566D3">
      <w:pPr>
        <w:rPr>
          <w:rFonts w:cs="Arial"/>
          <w:sz w:val="18"/>
          <w:szCs w:val="18"/>
          <w:shd w:val="clear" w:color="auto" w:fill="FFFFFF"/>
        </w:rPr>
      </w:pPr>
      <w:r w:rsidRPr="00FE6187">
        <w:rPr>
          <w:rFonts w:cs="Arial"/>
          <w:sz w:val="18"/>
          <w:szCs w:val="18"/>
          <w:shd w:val="clear" w:color="auto" w:fill="FFFFFF"/>
        </w:rPr>
        <w:t>Cashin, Paul, Luis F. Céspedes, and Ratna Sahay, 2004, "Commodity Currencies and the Real Exchange Rate,"</w:t>
      </w:r>
      <w:r w:rsidRPr="00FE6187">
        <w:rPr>
          <w:rStyle w:val="apple-converted-space"/>
          <w:rFonts w:cs="Arial"/>
          <w:sz w:val="18"/>
          <w:szCs w:val="18"/>
          <w:shd w:val="clear" w:color="auto" w:fill="FFFFFF"/>
        </w:rPr>
        <w:t> </w:t>
      </w:r>
      <w:r w:rsidRPr="00FE6187">
        <w:rPr>
          <w:rFonts w:cs="Arial"/>
          <w:i/>
          <w:iCs/>
          <w:sz w:val="18"/>
          <w:szCs w:val="18"/>
          <w:shd w:val="clear" w:color="auto" w:fill="FFFFFF"/>
        </w:rPr>
        <w:t>Journal of Development Economics</w:t>
      </w:r>
      <w:r w:rsidRPr="00FE6187">
        <w:rPr>
          <w:rStyle w:val="apple-converted-space"/>
          <w:rFonts w:cs="Arial"/>
          <w:sz w:val="18"/>
          <w:szCs w:val="18"/>
          <w:shd w:val="clear" w:color="auto" w:fill="FFFFFF"/>
        </w:rPr>
        <w:t> </w:t>
      </w:r>
      <w:r w:rsidRPr="00FE6187">
        <w:rPr>
          <w:rFonts w:cs="Arial"/>
          <w:sz w:val="18"/>
          <w:szCs w:val="18"/>
          <w:shd w:val="clear" w:color="auto" w:fill="FFFFFF"/>
        </w:rPr>
        <w:t xml:space="preserve">75, no.1: 239-268.     </w:t>
      </w:r>
    </w:p>
    <w:p w14:paraId="2BB7215D" w14:textId="77777777" w:rsidR="00F566D3" w:rsidRDefault="00F566D3" w:rsidP="00F566D3">
      <w:pPr>
        <w:rPr>
          <w:rFonts w:cs="Arial"/>
          <w:sz w:val="18"/>
          <w:szCs w:val="18"/>
          <w:shd w:val="clear" w:color="auto" w:fill="FFFFFF"/>
        </w:rPr>
      </w:pPr>
      <w:r w:rsidRPr="00FE6187">
        <w:rPr>
          <w:rFonts w:cs="Arial"/>
          <w:sz w:val="18"/>
          <w:szCs w:val="18"/>
          <w:shd w:val="clear" w:color="auto" w:fill="FFFFFF"/>
        </w:rPr>
        <w:lastRenderedPageBreak/>
        <w:t>Céspedes, Luis Felipe, and Andrés Velasco, 2012,"Macroeconomic Performance during Commodity Price Booms and Busts,"</w:t>
      </w:r>
      <w:r w:rsidRPr="00FE6187">
        <w:rPr>
          <w:rStyle w:val="apple-converted-space"/>
          <w:rFonts w:cs="Arial"/>
          <w:sz w:val="18"/>
          <w:szCs w:val="18"/>
          <w:shd w:val="clear" w:color="auto" w:fill="FFFFFF"/>
        </w:rPr>
        <w:t> </w:t>
      </w:r>
      <w:r w:rsidRPr="00FE6187">
        <w:rPr>
          <w:rFonts w:cs="Arial"/>
          <w:i/>
          <w:iCs/>
          <w:sz w:val="18"/>
          <w:szCs w:val="18"/>
          <w:shd w:val="clear" w:color="auto" w:fill="FFFFFF"/>
        </w:rPr>
        <w:t>IMF Economic Review</w:t>
      </w:r>
      <w:r w:rsidRPr="00FE6187">
        <w:rPr>
          <w:rStyle w:val="apple-converted-space"/>
          <w:rFonts w:cs="Arial"/>
          <w:sz w:val="18"/>
          <w:szCs w:val="18"/>
          <w:shd w:val="clear" w:color="auto" w:fill="FFFFFF"/>
        </w:rPr>
        <w:t> </w:t>
      </w:r>
      <w:r w:rsidRPr="00FE6187">
        <w:rPr>
          <w:rFonts w:cs="Arial"/>
          <w:sz w:val="18"/>
          <w:szCs w:val="18"/>
          <w:shd w:val="clear" w:color="auto" w:fill="FFFFFF"/>
        </w:rPr>
        <w:t>60, no.4: 570-599.</w:t>
      </w:r>
    </w:p>
    <w:p w14:paraId="2B87C161" w14:textId="77777777" w:rsidR="00C33D23" w:rsidRPr="00C33D23" w:rsidRDefault="00C33D23" w:rsidP="00F566D3">
      <w:pPr>
        <w:rPr>
          <w:rFonts w:cs="Times New Roman"/>
          <w:sz w:val="18"/>
          <w:szCs w:val="18"/>
        </w:rPr>
      </w:pPr>
      <w:r w:rsidRPr="00C33D23">
        <w:rPr>
          <w:rFonts w:cs="Arial"/>
          <w:color w:val="222222"/>
          <w:sz w:val="18"/>
          <w:szCs w:val="18"/>
          <w:shd w:val="clear" w:color="auto" w:fill="FFFFFF"/>
        </w:rPr>
        <w:t>Chari, Anusha, Karlye Dilts Stedman, and Christian Lundblad, 2016,. "Taper tantrums: QE, its aftermath and emerging market capital flows."   University of North Carolina, Chapel Hill.</w:t>
      </w:r>
    </w:p>
    <w:p w14:paraId="121282DA" w14:textId="77777777" w:rsidR="00A67933" w:rsidRPr="00FE6187" w:rsidRDefault="00F566D3" w:rsidP="005228E0">
      <w:pPr>
        <w:rPr>
          <w:rFonts w:cs="Arial"/>
          <w:sz w:val="18"/>
          <w:szCs w:val="18"/>
          <w:shd w:val="clear" w:color="auto" w:fill="FFFFFF"/>
        </w:rPr>
      </w:pPr>
      <w:r w:rsidRPr="00FE6187">
        <w:rPr>
          <w:rFonts w:cs="Arial"/>
          <w:sz w:val="18"/>
          <w:szCs w:val="18"/>
          <w:shd w:val="clear" w:color="auto" w:fill="FFFFFF"/>
        </w:rPr>
        <w:t>Chen, Yu-chin, and Kenneth Rogoff, 2003, "Commodity Currencies,"</w:t>
      </w:r>
      <w:r w:rsidRPr="00FE6187">
        <w:rPr>
          <w:rStyle w:val="apple-converted-space"/>
          <w:rFonts w:cs="Arial"/>
          <w:sz w:val="18"/>
          <w:szCs w:val="18"/>
          <w:shd w:val="clear" w:color="auto" w:fill="FFFFFF"/>
        </w:rPr>
        <w:t> </w:t>
      </w:r>
      <w:r w:rsidRPr="00FE6187">
        <w:rPr>
          <w:rFonts w:cs="Arial"/>
          <w:i/>
          <w:iCs/>
          <w:sz w:val="18"/>
          <w:szCs w:val="18"/>
          <w:shd w:val="clear" w:color="auto" w:fill="FFFFFF"/>
        </w:rPr>
        <w:t>Journal of International Economics</w:t>
      </w:r>
      <w:r w:rsidRPr="00FE6187">
        <w:rPr>
          <w:rStyle w:val="apple-converted-space"/>
          <w:rFonts w:cs="Arial"/>
          <w:sz w:val="18"/>
          <w:szCs w:val="18"/>
          <w:shd w:val="clear" w:color="auto" w:fill="FFFFFF"/>
        </w:rPr>
        <w:t> </w:t>
      </w:r>
      <w:r w:rsidRPr="00FE6187">
        <w:rPr>
          <w:rFonts w:cs="Arial"/>
          <w:sz w:val="18"/>
          <w:szCs w:val="18"/>
          <w:shd w:val="clear" w:color="auto" w:fill="FFFFFF"/>
        </w:rPr>
        <w:t>60, no.1: 133-160.</w:t>
      </w:r>
    </w:p>
    <w:p w14:paraId="6B32AC26" w14:textId="77777777" w:rsidR="00A67933" w:rsidRPr="00FE6187" w:rsidRDefault="00A67933" w:rsidP="00F566D3">
      <w:pPr>
        <w:spacing w:line="240" w:lineRule="auto"/>
        <w:jc w:val="both"/>
        <w:rPr>
          <w:sz w:val="18"/>
          <w:szCs w:val="18"/>
        </w:rPr>
      </w:pPr>
      <w:r w:rsidRPr="00FE6187">
        <w:rPr>
          <w:sz w:val="18"/>
          <w:szCs w:val="18"/>
        </w:rPr>
        <w:t xml:space="preserve">Council on Foreign Relations, 1999, </w:t>
      </w:r>
      <w:r w:rsidRPr="00FE6187">
        <w:rPr>
          <w:i/>
          <w:sz w:val="18"/>
          <w:szCs w:val="18"/>
        </w:rPr>
        <w:t>Safeguarding Prosperity in a Global Financial System: The Future International Financial Architecture</w:t>
      </w:r>
      <w:r w:rsidRPr="00FE6187">
        <w:rPr>
          <w:sz w:val="18"/>
          <w:szCs w:val="18"/>
        </w:rPr>
        <w:t>. Washington, DC: Institute for International Economics.</w:t>
      </w:r>
    </w:p>
    <w:p w14:paraId="12032E89" w14:textId="77777777" w:rsidR="00A67933" w:rsidRPr="00FE6187" w:rsidRDefault="00697E2D" w:rsidP="00F566D3">
      <w:pPr>
        <w:tabs>
          <w:tab w:val="left" w:pos="0"/>
          <w:tab w:val="left" w:pos="720"/>
          <w:tab w:val="left" w:pos="1440"/>
          <w:tab w:val="left" w:pos="2160"/>
          <w:tab w:val="left" w:pos="2880"/>
          <w:tab w:val="left" w:pos="3600"/>
          <w:tab w:val="left" w:pos="4320"/>
        </w:tabs>
        <w:jc w:val="both"/>
        <w:rPr>
          <w:sz w:val="18"/>
          <w:szCs w:val="18"/>
        </w:rPr>
      </w:pPr>
      <w:r w:rsidRPr="00FE6187">
        <w:rPr>
          <w:sz w:val="18"/>
          <w:szCs w:val="18"/>
        </w:rPr>
        <w:t xml:space="preserve">Crockett, Andrew. 1994. “Monetary Policy Implications of Increased Capital Flows. In </w:t>
      </w:r>
      <w:r w:rsidRPr="00FE6187">
        <w:rPr>
          <w:i/>
          <w:sz w:val="18"/>
          <w:szCs w:val="18"/>
        </w:rPr>
        <w:t>Changing Capital Markets: Implications for Monetary Policy</w:t>
      </w:r>
      <w:r w:rsidRPr="00FE6187">
        <w:rPr>
          <w:sz w:val="18"/>
          <w:szCs w:val="18"/>
        </w:rPr>
        <w:t>,” symposium sponsored by Federal Reserve Bank of Kansas City, Jackson Hole, August 1993.</w:t>
      </w:r>
    </w:p>
    <w:p w14:paraId="1F1CF3A5" w14:textId="77777777" w:rsidR="00766585" w:rsidRPr="00FE6187" w:rsidRDefault="00FA104F" w:rsidP="005E2990">
      <w:pPr>
        <w:rPr>
          <w:sz w:val="18"/>
          <w:szCs w:val="18"/>
        </w:rPr>
      </w:pPr>
      <w:r w:rsidRPr="00FE6187">
        <w:rPr>
          <w:sz w:val="18"/>
          <w:szCs w:val="18"/>
        </w:rPr>
        <w:t>Daude, Christian, Eduardo Levy</w:t>
      </w:r>
      <w:r w:rsidR="00376974" w:rsidRPr="00FE6187">
        <w:rPr>
          <w:sz w:val="18"/>
          <w:szCs w:val="18"/>
        </w:rPr>
        <w:t>-</w:t>
      </w:r>
      <w:r w:rsidRPr="00FE6187">
        <w:rPr>
          <w:sz w:val="18"/>
          <w:szCs w:val="18"/>
        </w:rPr>
        <w:t>Yeyati and Arne Nagengast. 2014. "On the Effectiveness of Exchange Rate Intervention in Emerging Markets." OECD Development Centre Working Paper No. 324.</w:t>
      </w:r>
    </w:p>
    <w:p w14:paraId="34BBCB6C" w14:textId="77777777" w:rsidR="00B77B2A" w:rsidRPr="00FE6187" w:rsidRDefault="00B77B2A" w:rsidP="00B77B2A">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t xml:space="preserve">Devereux, Michael, and Charles Engel, 2002, “Exchange Rate Pass-Through, Exchange Rate Volatility, and Exchange Rate Disconnect,”. </w:t>
      </w:r>
      <w:r w:rsidRPr="00FE6187">
        <w:rPr>
          <w:rFonts w:cs="Times New Roman"/>
          <w:i/>
          <w:iCs/>
          <w:noProof/>
          <w:color w:val="000000" w:themeColor="text1"/>
          <w:sz w:val="18"/>
          <w:szCs w:val="18"/>
        </w:rPr>
        <w:t xml:space="preserve">Journal of Monetary Economics </w:t>
      </w:r>
      <w:r w:rsidRPr="00FE6187">
        <w:rPr>
          <w:rFonts w:cs="Times New Roman"/>
          <w:iCs/>
          <w:noProof/>
          <w:color w:val="000000" w:themeColor="text1"/>
          <w:sz w:val="18"/>
          <w:szCs w:val="18"/>
        </w:rPr>
        <w:t>49, no. 5</w:t>
      </w:r>
      <w:r w:rsidRPr="00FE6187">
        <w:rPr>
          <w:rFonts w:cs="Times New Roman"/>
          <w:noProof/>
          <w:color w:val="000000" w:themeColor="text1"/>
          <w:sz w:val="18"/>
          <w:szCs w:val="18"/>
        </w:rPr>
        <w:t>: 913–40.</w:t>
      </w:r>
      <w:r w:rsidRPr="00FE6187">
        <w:rPr>
          <w:rFonts w:cs="Times New Roman"/>
          <w:noProof/>
          <w:color w:val="000000" w:themeColor="text1"/>
          <w:sz w:val="18"/>
          <w:szCs w:val="18"/>
        </w:rPr>
        <w:br/>
      </w:r>
    </w:p>
    <w:p w14:paraId="2377B6D8" w14:textId="77777777" w:rsidR="00766585" w:rsidRPr="00FE6187" w:rsidRDefault="00766585" w:rsidP="00766585">
      <w:pPr>
        <w:spacing w:line="240" w:lineRule="auto"/>
        <w:rPr>
          <w:rFonts w:eastAsia="Times New Roman" w:cstheme="majorBidi"/>
          <w:color w:val="000000" w:themeColor="text1"/>
          <w:sz w:val="18"/>
          <w:szCs w:val="18"/>
        </w:rPr>
      </w:pPr>
      <w:r w:rsidRPr="00FE6187">
        <w:rPr>
          <w:rFonts w:eastAsia="Times New Roman" w:cstheme="majorBidi"/>
          <w:color w:val="000000" w:themeColor="text1"/>
          <w:sz w:val="18"/>
          <w:szCs w:val="18"/>
        </w:rPr>
        <w:t>Devereux, Michael, and James Yetman. 201</w:t>
      </w:r>
      <w:r w:rsidRPr="00FE6187">
        <w:rPr>
          <w:rFonts w:cstheme="majorBidi" w:hint="eastAsia"/>
          <w:color w:val="000000" w:themeColor="text1"/>
          <w:sz w:val="18"/>
          <w:szCs w:val="18"/>
          <w:lang w:eastAsia="ko-KR"/>
        </w:rPr>
        <w:t>4</w:t>
      </w:r>
      <w:r w:rsidRPr="00FE6187">
        <w:rPr>
          <w:rFonts w:eastAsia="Times New Roman" w:cstheme="majorBidi"/>
          <w:color w:val="000000" w:themeColor="text1"/>
          <w:sz w:val="18"/>
          <w:szCs w:val="18"/>
        </w:rPr>
        <w:t>. “</w:t>
      </w:r>
      <w:hyperlink r:id="rId21" w:history="1">
        <w:r w:rsidRPr="00FE6187">
          <w:rPr>
            <w:rFonts w:eastAsia="Times New Roman" w:cstheme="majorBidi"/>
            <w:color w:val="000000" w:themeColor="text1"/>
            <w:sz w:val="18"/>
            <w:szCs w:val="18"/>
          </w:rPr>
          <w:t>Capital Controls, Global Liquidity Traps and the </w:t>
        </w:r>
        <w:r w:rsidRPr="00FE6187">
          <w:rPr>
            <w:rFonts w:eastAsia="Times New Roman" w:cstheme="majorBidi"/>
            <w:bCs/>
            <w:color w:val="000000" w:themeColor="text1"/>
            <w:sz w:val="18"/>
            <w:szCs w:val="18"/>
          </w:rPr>
          <w:t>International</w:t>
        </w:r>
        <w:r w:rsidRPr="00FE6187">
          <w:rPr>
            <w:rFonts w:eastAsia="Times New Roman" w:cstheme="majorBidi"/>
            <w:color w:val="000000" w:themeColor="text1"/>
            <w:sz w:val="18"/>
            <w:szCs w:val="18"/>
          </w:rPr>
          <w:t> Policy Trilemma</w:t>
        </w:r>
      </w:hyperlink>
      <w:r w:rsidRPr="00FE6187">
        <w:rPr>
          <w:rFonts w:eastAsia="Times New Roman" w:cstheme="majorBidi"/>
          <w:color w:val="000000" w:themeColor="text1"/>
          <w:sz w:val="18"/>
          <w:szCs w:val="18"/>
        </w:rPr>
        <w:t xml:space="preserve">,” </w:t>
      </w:r>
      <w:r w:rsidRPr="00FE6187">
        <w:rPr>
          <w:rFonts w:cs="Arial"/>
          <w:i/>
          <w:iCs/>
          <w:color w:val="222222"/>
          <w:sz w:val="18"/>
          <w:szCs w:val="18"/>
          <w:shd w:val="clear" w:color="auto" w:fill="FFFFFF"/>
        </w:rPr>
        <w:t>The Scandinavian Journal of Economics</w:t>
      </w:r>
      <w:r w:rsidRPr="00FE6187">
        <w:rPr>
          <w:rStyle w:val="apple-converted-space"/>
          <w:rFonts w:cs="Arial"/>
          <w:color w:val="222222"/>
          <w:sz w:val="18"/>
          <w:szCs w:val="18"/>
          <w:shd w:val="clear" w:color="auto" w:fill="FFFFFF"/>
        </w:rPr>
        <w:t> </w:t>
      </w:r>
      <w:r w:rsidRPr="00FE6187">
        <w:rPr>
          <w:rFonts w:cs="Arial"/>
          <w:color w:val="222222"/>
          <w:sz w:val="18"/>
          <w:szCs w:val="18"/>
          <w:shd w:val="clear" w:color="auto" w:fill="FFFFFF"/>
        </w:rPr>
        <w:t>116</w:t>
      </w:r>
      <w:r w:rsidRPr="00FE6187">
        <w:rPr>
          <w:rFonts w:cs="Arial" w:hint="eastAsia"/>
          <w:color w:val="222222"/>
          <w:sz w:val="18"/>
          <w:szCs w:val="18"/>
          <w:shd w:val="clear" w:color="auto" w:fill="FFFFFF"/>
          <w:lang w:eastAsia="ko-KR"/>
        </w:rPr>
        <w:t xml:space="preserve"> (</w:t>
      </w:r>
      <w:r w:rsidRPr="00FE6187">
        <w:rPr>
          <w:rFonts w:cs="Arial"/>
          <w:color w:val="222222"/>
          <w:sz w:val="18"/>
          <w:szCs w:val="18"/>
          <w:shd w:val="clear" w:color="auto" w:fill="FFFFFF"/>
        </w:rPr>
        <w:t>1</w:t>
      </w:r>
      <w:r w:rsidRPr="00FE6187">
        <w:rPr>
          <w:rFonts w:cs="Arial" w:hint="eastAsia"/>
          <w:color w:val="222222"/>
          <w:sz w:val="18"/>
          <w:szCs w:val="18"/>
          <w:shd w:val="clear" w:color="auto" w:fill="FFFFFF"/>
          <w:lang w:eastAsia="ko-KR"/>
        </w:rPr>
        <w:t>), pp.</w:t>
      </w:r>
      <w:r w:rsidRPr="00FE6187">
        <w:rPr>
          <w:rFonts w:cs="Arial"/>
          <w:color w:val="222222"/>
          <w:sz w:val="18"/>
          <w:szCs w:val="18"/>
          <w:shd w:val="clear" w:color="auto" w:fill="FFFFFF"/>
        </w:rPr>
        <w:t>158-189.</w:t>
      </w:r>
    </w:p>
    <w:p w14:paraId="42AE3052" w14:textId="77777777" w:rsidR="00B77B2A" w:rsidRPr="00FE6187" w:rsidRDefault="00766585" w:rsidP="00B77B2A">
      <w:pPr>
        <w:spacing w:line="240" w:lineRule="auto"/>
        <w:rPr>
          <w:color w:val="000000" w:themeColor="text1"/>
          <w:sz w:val="18"/>
          <w:szCs w:val="18"/>
        </w:rPr>
      </w:pPr>
      <w:r w:rsidRPr="00FE6187">
        <w:rPr>
          <w:rFonts w:cs="Arial"/>
          <w:color w:val="000000" w:themeColor="text1"/>
          <w:sz w:val="18"/>
          <w:szCs w:val="18"/>
        </w:rPr>
        <w:t>Di Giovanni, Julian</w:t>
      </w:r>
      <w:r w:rsidR="00CE0CA3" w:rsidRPr="00FE6187">
        <w:rPr>
          <w:rFonts w:cs="Arial"/>
          <w:color w:val="000000" w:themeColor="text1"/>
          <w:sz w:val="18"/>
          <w:szCs w:val="18"/>
        </w:rPr>
        <w:t>,</w:t>
      </w:r>
      <w:r w:rsidRPr="00FE6187">
        <w:rPr>
          <w:rFonts w:cs="Arial"/>
          <w:color w:val="000000" w:themeColor="text1"/>
          <w:sz w:val="18"/>
          <w:szCs w:val="18"/>
        </w:rPr>
        <w:t xml:space="preserve"> and Jay Shambaugh</w:t>
      </w:r>
      <w:r w:rsidR="00CE0CA3" w:rsidRPr="00FE6187">
        <w:rPr>
          <w:rFonts w:cs="Arial"/>
          <w:color w:val="000000" w:themeColor="text1"/>
          <w:sz w:val="18"/>
          <w:szCs w:val="18"/>
        </w:rPr>
        <w:t>,</w:t>
      </w:r>
      <w:r w:rsidRPr="00FE6187">
        <w:rPr>
          <w:rFonts w:cs="Arial"/>
          <w:color w:val="000000" w:themeColor="text1"/>
          <w:sz w:val="18"/>
          <w:szCs w:val="18"/>
        </w:rPr>
        <w:t xml:space="preserve"> 2008</w:t>
      </w:r>
      <w:r w:rsidR="00CE0CA3" w:rsidRPr="00FE6187">
        <w:rPr>
          <w:rFonts w:cs="Arial"/>
          <w:color w:val="000000" w:themeColor="text1"/>
          <w:sz w:val="18"/>
          <w:szCs w:val="18"/>
        </w:rPr>
        <w:t>,</w:t>
      </w:r>
      <w:r w:rsidRPr="00FE6187">
        <w:rPr>
          <w:rFonts w:cs="Arial"/>
          <w:color w:val="000000" w:themeColor="text1"/>
          <w:sz w:val="18"/>
          <w:szCs w:val="18"/>
        </w:rPr>
        <w:t xml:space="preserve"> "The Impact of Foreign Interest Rates on the Economy: The Role of the Exchange Rate Regime," </w:t>
      </w:r>
      <w:r w:rsidRPr="00FE6187">
        <w:rPr>
          <w:rFonts w:cs="Arial"/>
          <w:i/>
          <w:iCs/>
          <w:color w:val="000000" w:themeColor="text1"/>
          <w:sz w:val="18"/>
          <w:szCs w:val="18"/>
        </w:rPr>
        <w:t>Journal of International Economics</w:t>
      </w:r>
      <w:r w:rsidRPr="00FE6187">
        <w:rPr>
          <w:color w:val="000000" w:themeColor="text1"/>
          <w:sz w:val="18"/>
          <w:szCs w:val="18"/>
        </w:rPr>
        <w:t xml:space="preserve"> 74, pp. 341–361.</w:t>
      </w:r>
    </w:p>
    <w:p w14:paraId="2F8087F1" w14:textId="77777777" w:rsidR="00B77B2A" w:rsidRPr="00FE6187" w:rsidRDefault="00B77B2A" w:rsidP="00E324E9">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t xml:space="preserve">Disyatat, Piti, and Gabriele Galati, 2007, “The Effectiveness of Foreign Exchange Intervention in Emerging Market Countries: Evidence from the Czech Koruna,”. </w:t>
      </w:r>
      <w:r w:rsidRPr="00FE6187">
        <w:rPr>
          <w:rFonts w:cs="Times New Roman"/>
          <w:i/>
          <w:iCs/>
          <w:noProof/>
          <w:color w:val="000000" w:themeColor="text1"/>
          <w:sz w:val="18"/>
          <w:szCs w:val="18"/>
        </w:rPr>
        <w:t xml:space="preserve">Journal of International Money and Finance </w:t>
      </w:r>
      <w:r w:rsidRPr="00FE6187">
        <w:rPr>
          <w:rFonts w:cs="Times New Roman"/>
          <w:iCs/>
          <w:noProof/>
          <w:color w:val="000000" w:themeColor="text1"/>
          <w:sz w:val="18"/>
          <w:szCs w:val="18"/>
        </w:rPr>
        <w:t>26, no. 3</w:t>
      </w:r>
      <w:r w:rsidRPr="00FE6187">
        <w:rPr>
          <w:rFonts w:cs="Times New Roman"/>
          <w:noProof/>
          <w:color w:val="000000" w:themeColor="text1"/>
          <w:sz w:val="18"/>
          <w:szCs w:val="18"/>
        </w:rPr>
        <w:t>: 383–402.</w:t>
      </w:r>
      <w:r w:rsidR="00E324E9" w:rsidRPr="00FE6187">
        <w:rPr>
          <w:rFonts w:cs="Times New Roman"/>
          <w:noProof/>
          <w:color w:val="000000" w:themeColor="text1"/>
          <w:sz w:val="18"/>
          <w:szCs w:val="18"/>
        </w:rPr>
        <w:br/>
      </w:r>
    </w:p>
    <w:p w14:paraId="70EBED55" w14:textId="77777777" w:rsidR="00B77B2A" w:rsidRPr="00FE6187" w:rsidRDefault="00B77B2A" w:rsidP="00B77B2A">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t xml:space="preserve">Dominguez, Kathryn. 2006. “When Do Central Bank Interventions Influence Intra-Daily and Longer-Term Exchange Rate Movements?” </w:t>
      </w:r>
      <w:r w:rsidRPr="00FE6187">
        <w:rPr>
          <w:rFonts w:cs="Times New Roman"/>
          <w:i/>
          <w:iCs/>
          <w:noProof/>
          <w:color w:val="000000" w:themeColor="text1"/>
          <w:sz w:val="18"/>
          <w:szCs w:val="18"/>
        </w:rPr>
        <w:t xml:space="preserve">Journal of International Money and Finance </w:t>
      </w:r>
      <w:r w:rsidRPr="00FE6187">
        <w:rPr>
          <w:rFonts w:cs="Times New Roman"/>
          <w:iCs/>
          <w:noProof/>
          <w:color w:val="000000" w:themeColor="text1"/>
          <w:sz w:val="18"/>
          <w:szCs w:val="18"/>
        </w:rPr>
        <w:t>25</w:t>
      </w:r>
      <w:r w:rsidRPr="00FE6187">
        <w:rPr>
          <w:rFonts w:cs="Times New Roman"/>
          <w:noProof/>
          <w:color w:val="000000" w:themeColor="text1"/>
          <w:sz w:val="18"/>
          <w:szCs w:val="18"/>
        </w:rPr>
        <w:t>: 1051–71.</w:t>
      </w:r>
    </w:p>
    <w:p w14:paraId="25FCCC58" w14:textId="77777777" w:rsidR="00B77B2A" w:rsidRPr="00FE6187" w:rsidRDefault="00B77B2A" w:rsidP="00B77B2A">
      <w:pPr>
        <w:spacing w:before="80" w:after="0" w:line="240" w:lineRule="auto"/>
        <w:rPr>
          <w:rFonts w:cs="Times New Roman"/>
          <w:color w:val="000000" w:themeColor="text1"/>
          <w:sz w:val="18"/>
          <w:szCs w:val="18"/>
        </w:rPr>
      </w:pPr>
      <w:r w:rsidRPr="00FE6187">
        <w:rPr>
          <w:rFonts w:cs="Times New Roman"/>
          <w:color w:val="000000" w:themeColor="text1"/>
          <w:sz w:val="18"/>
          <w:szCs w:val="18"/>
          <w:shd w:val="clear" w:color="auto" w:fill="FFFFFF"/>
        </w:rPr>
        <w:t>Dominguez, Kathryn, Rasmus Fatum, and Pavel Vacek, 2013, “Do Sales of Foreign Exchange Reserves Lead to Currency Appreciation?”</w:t>
      </w:r>
      <w:r w:rsidR="00F566D3" w:rsidRPr="00FE6187">
        <w:rPr>
          <w:rFonts w:cs="Times New Roman"/>
          <w:color w:val="000000" w:themeColor="text1"/>
          <w:sz w:val="18"/>
          <w:szCs w:val="18"/>
          <w:shd w:val="clear" w:color="auto" w:fill="FFFFFF"/>
        </w:rPr>
        <w:t xml:space="preserve"> </w:t>
      </w:r>
      <w:r w:rsidRPr="00FE6187">
        <w:rPr>
          <w:rFonts w:cs="Times New Roman"/>
          <w:i/>
          <w:iCs/>
          <w:color w:val="000000" w:themeColor="text1"/>
          <w:sz w:val="18"/>
          <w:szCs w:val="18"/>
          <w:shd w:val="clear" w:color="auto" w:fill="FFFFFF"/>
        </w:rPr>
        <w:t>Journal of Money, Credit and Banking</w:t>
      </w:r>
      <w:r w:rsidRPr="00FE6187">
        <w:rPr>
          <w:rStyle w:val="apple-converted-space"/>
          <w:rFonts w:cs="Times New Roman"/>
          <w:color w:val="000000" w:themeColor="text1"/>
          <w:sz w:val="18"/>
          <w:szCs w:val="18"/>
          <w:shd w:val="clear" w:color="auto" w:fill="FFFFFF"/>
        </w:rPr>
        <w:t> </w:t>
      </w:r>
      <w:r w:rsidRPr="00FE6187">
        <w:rPr>
          <w:rFonts w:cs="Times New Roman"/>
          <w:color w:val="000000" w:themeColor="text1"/>
          <w:sz w:val="18"/>
          <w:szCs w:val="18"/>
          <w:shd w:val="clear" w:color="auto" w:fill="FFFFFF"/>
        </w:rPr>
        <w:t>45, no. 5: 867–90.</w:t>
      </w:r>
    </w:p>
    <w:p w14:paraId="6E38062F" w14:textId="77777777" w:rsidR="00BE6226" w:rsidRPr="00FE6187" w:rsidRDefault="00B77B2A" w:rsidP="00BE6226">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t xml:space="preserve">Dominguez, Kathryn, and Jeffrey Frankel, 1993a, “Does Foreign Exchange Intervention Matter? The Portfolio Effect,” </w:t>
      </w:r>
      <w:r w:rsidRPr="00FE6187">
        <w:rPr>
          <w:rFonts w:cs="Times New Roman"/>
          <w:i/>
          <w:iCs/>
          <w:noProof/>
          <w:color w:val="000000" w:themeColor="text1"/>
          <w:sz w:val="18"/>
          <w:szCs w:val="18"/>
        </w:rPr>
        <w:t xml:space="preserve">American Economic Review </w:t>
      </w:r>
      <w:r w:rsidRPr="00FE6187">
        <w:rPr>
          <w:rFonts w:cs="Times New Roman"/>
          <w:iCs/>
          <w:noProof/>
          <w:color w:val="000000" w:themeColor="text1"/>
          <w:sz w:val="18"/>
          <w:szCs w:val="18"/>
        </w:rPr>
        <w:t>83, no. 5</w:t>
      </w:r>
      <w:r w:rsidRPr="00FE6187">
        <w:rPr>
          <w:rFonts w:cs="Times New Roman"/>
          <w:noProof/>
          <w:color w:val="000000" w:themeColor="text1"/>
          <w:sz w:val="18"/>
          <w:szCs w:val="18"/>
        </w:rPr>
        <w:t>: 1356–369.</w:t>
      </w:r>
      <w:r w:rsidR="00BE6226" w:rsidRPr="00FE6187">
        <w:rPr>
          <w:rFonts w:cs="Times New Roman"/>
          <w:noProof/>
          <w:color w:val="000000" w:themeColor="text1"/>
          <w:sz w:val="18"/>
          <w:szCs w:val="18"/>
        </w:rPr>
        <w:br/>
      </w:r>
    </w:p>
    <w:p w14:paraId="76523E72" w14:textId="77777777" w:rsidR="006E029E" w:rsidRPr="00FE6187" w:rsidRDefault="00B77B2A" w:rsidP="00F566D3">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t xml:space="preserve">Dominguez, Kathryn, and Jeffrey Frankel, 1993b, </w:t>
      </w:r>
      <w:r w:rsidRPr="00FE6187">
        <w:rPr>
          <w:rFonts w:cs="Times New Roman"/>
          <w:i/>
          <w:noProof/>
          <w:color w:val="000000" w:themeColor="text1"/>
          <w:sz w:val="18"/>
          <w:szCs w:val="18"/>
        </w:rPr>
        <w:t>Does Foreign Exchange Intervention Work?</w:t>
      </w:r>
      <w:r w:rsidRPr="00FE6187">
        <w:rPr>
          <w:rFonts w:cs="Times New Roman"/>
          <w:noProof/>
          <w:color w:val="000000" w:themeColor="text1"/>
          <w:sz w:val="18"/>
          <w:szCs w:val="18"/>
        </w:rPr>
        <w:t xml:space="preserve"> Washington: </w:t>
      </w:r>
      <w:r w:rsidRPr="00FE6187">
        <w:rPr>
          <w:rFonts w:cs="Times New Roman"/>
          <w:iCs/>
          <w:noProof/>
          <w:color w:val="000000" w:themeColor="text1"/>
          <w:sz w:val="18"/>
          <w:szCs w:val="18"/>
        </w:rPr>
        <w:t>Institute for International Economics</w:t>
      </w:r>
      <w:r w:rsidRPr="00FE6187">
        <w:rPr>
          <w:rFonts w:cs="Times New Roman"/>
          <w:noProof/>
          <w:color w:val="000000" w:themeColor="text1"/>
          <w:sz w:val="18"/>
          <w:szCs w:val="18"/>
        </w:rPr>
        <w:t>.</w:t>
      </w:r>
      <w:r w:rsidR="00F566D3" w:rsidRPr="00FE6187">
        <w:rPr>
          <w:rFonts w:cs="Times New Roman"/>
          <w:noProof/>
          <w:color w:val="000000" w:themeColor="text1"/>
          <w:sz w:val="18"/>
          <w:szCs w:val="18"/>
        </w:rPr>
        <w:br/>
      </w:r>
    </w:p>
    <w:p w14:paraId="4C32818A" w14:textId="77777777" w:rsidR="006E029E" w:rsidRPr="00FE6187" w:rsidRDefault="006E029E" w:rsidP="006E029E">
      <w:pPr>
        <w:rPr>
          <w:sz w:val="18"/>
          <w:szCs w:val="18"/>
        </w:rPr>
      </w:pPr>
      <w:r w:rsidRPr="00FE6187">
        <w:rPr>
          <w:sz w:val="18"/>
          <w:szCs w:val="18"/>
        </w:rPr>
        <w:t>Edison, Hali, 1993. "The Effectiveness of Central-Bank Intervention: A Survey of the Literature after 1982." Special Papers in International Economics No. 18 (Princeton University Press: Princeton, NJ).</w:t>
      </w:r>
    </w:p>
    <w:p w14:paraId="48A07B27" w14:textId="77777777" w:rsidR="00766585" w:rsidRPr="00FE6187" w:rsidRDefault="00766585" w:rsidP="00766585">
      <w:pPr>
        <w:spacing w:line="240" w:lineRule="auto"/>
        <w:rPr>
          <w:sz w:val="18"/>
          <w:szCs w:val="18"/>
        </w:rPr>
      </w:pPr>
      <w:r w:rsidRPr="00FE6187">
        <w:rPr>
          <w:sz w:val="18"/>
          <w:szCs w:val="18"/>
        </w:rPr>
        <w:t xml:space="preserve">Edwards, Sebastian. 2015. “Monetary Policy Independence under Flexible Exchange Rates: An Illusion?”  </w:t>
      </w:r>
      <w:r w:rsidRPr="00FE6187">
        <w:rPr>
          <w:i/>
          <w:sz w:val="18"/>
          <w:szCs w:val="18"/>
        </w:rPr>
        <w:t>The World Economy</w:t>
      </w:r>
      <w:r w:rsidRPr="00FE6187">
        <w:rPr>
          <w:sz w:val="18"/>
          <w:szCs w:val="18"/>
        </w:rPr>
        <w:t xml:space="preserve"> </w:t>
      </w:r>
      <w:hyperlink r:id="rId22" w:history="1">
        <w:r w:rsidRPr="00FE6187">
          <w:rPr>
            <w:rStyle w:val="Hyperlink"/>
            <w:rFonts w:ascii="Arial" w:hAnsi="Arial" w:cs="Arial"/>
            <w:bCs/>
            <w:sz w:val="18"/>
            <w:szCs w:val="18"/>
            <w:bdr w:val="none" w:sz="0" w:space="0" w:color="auto" w:frame="1"/>
          </w:rPr>
          <w:t>38</w:t>
        </w:r>
        <w:r w:rsidRPr="00FE6187">
          <w:rPr>
            <w:rStyle w:val="Hyperlink"/>
            <w:rFonts w:ascii="Arial" w:hAnsi="Arial" w:cs="Arial" w:hint="eastAsia"/>
            <w:bCs/>
            <w:sz w:val="18"/>
            <w:szCs w:val="18"/>
            <w:bdr w:val="none" w:sz="0" w:space="0" w:color="auto" w:frame="1"/>
            <w:lang w:eastAsia="ko-KR"/>
          </w:rPr>
          <w:t xml:space="preserve"> (</w:t>
        </w:r>
        <w:r w:rsidRPr="00FE6187">
          <w:rPr>
            <w:rStyle w:val="Hyperlink"/>
            <w:rFonts w:ascii="Arial" w:hAnsi="Arial" w:cs="Arial"/>
            <w:bCs/>
            <w:sz w:val="18"/>
            <w:szCs w:val="18"/>
            <w:bdr w:val="none" w:sz="0" w:space="0" w:color="auto" w:frame="1"/>
          </w:rPr>
          <w:t>5</w:t>
        </w:r>
        <w:r w:rsidRPr="00FE6187">
          <w:rPr>
            <w:rStyle w:val="Hyperlink"/>
            <w:rFonts w:ascii="Arial" w:hAnsi="Arial" w:cs="Arial" w:hint="eastAsia"/>
            <w:bCs/>
            <w:sz w:val="18"/>
            <w:szCs w:val="18"/>
            <w:bdr w:val="none" w:sz="0" w:space="0" w:color="auto" w:frame="1"/>
            <w:lang w:eastAsia="ko-KR"/>
          </w:rPr>
          <w:t>)</w:t>
        </w:r>
        <w:r w:rsidRPr="00FE6187">
          <w:rPr>
            <w:rStyle w:val="Hyperlink"/>
            <w:rFonts w:ascii="Arial" w:hAnsi="Arial" w:cs="Arial"/>
            <w:sz w:val="18"/>
            <w:szCs w:val="18"/>
            <w:bdr w:val="none" w:sz="0" w:space="0" w:color="auto" w:frame="1"/>
            <w:shd w:val="clear" w:color="auto" w:fill="FFFFFF"/>
          </w:rPr>
          <w:t>,</w:t>
        </w:r>
      </w:hyperlink>
      <w:r w:rsidRPr="00FE6187">
        <w:rPr>
          <w:rStyle w:val="apple-converted-space"/>
          <w:rFonts w:ascii="Arial" w:hAnsi="Arial" w:cs="Arial"/>
          <w:sz w:val="18"/>
          <w:szCs w:val="18"/>
          <w:shd w:val="clear" w:color="auto" w:fill="FFFFFF"/>
        </w:rPr>
        <w:t> </w:t>
      </w:r>
      <w:r w:rsidRPr="00FE6187">
        <w:rPr>
          <w:rFonts w:cs="Arial"/>
          <w:bCs/>
          <w:sz w:val="18"/>
          <w:szCs w:val="18"/>
          <w:bdr w:val="none" w:sz="0" w:space="0" w:color="auto" w:frame="1"/>
          <w:shd w:val="clear" w:color="auto" w:fill="FFFFFF"/>
        </w:rPr>
        <w:t>May, pp.773-787</w:t>
      </w:r>
      <w:r w:rsidRPr="00FE6187">
        <w:rPr>
          <w:rFonts w:ascii="Arial" w:hAnsi="Arial" w:cs="Arial"/>
          <w:bCs/>
          <w:sz w:val="18"/>
          <w:szCs w:val="18"/>
          <w:bdr w:val="none" w:sz="0" w:space="0" w:color="auto" w:frame="1"/>
          <w:shd w:val="clear" w:color="auto" w:fill="FFFFFF"/>
        </w:rPr>
        <w:t>.</w:t>
      </w:r>
      <w:r w:rsidRPr="00FE6187">
        <w:rPr>
          <w:sz w:val="18"/>
          <w:szCs w:val="18"/>
        </w:rPr>
        <w:t xml:space="preserve">  NBER Working Paper 20893.</w:t>
      </w:r>
    </w:p>
    <w:p w14:paraId="4FA14FD9" w14:textId="77777777" w:rsidR="00483AE6" w:rsidRPr="00FE6187" w:rsidRDefault="006E029E" w:rsidP="00074534">
      <w:pPr>
        <w:spacing w:line="240" w:lineRule="auto"/>
        <w:rPr>
          <w:sz w:val="18"/>
          <w:szCs w:val="18"/>
        </w:rPr>
      </w:pPr>
      <w:r w:rsidRPr="00FE6187">
        <w:rPr>
          <w:sz w:val="18"/>
          <w:szCs w:val="18"/>
        </w:rPr>
        <w:t xml:space="preserve">Edwards, Sebastian, and Eduardo Levy Yeyati, 2005,  “Flexible Exchange Rates as Shock Absorbers,”   </w:t>
      </w:r>
      <w:r w:rsidRPr="00FE6187">
        <w:rPr>
          <w:i/>
          <w:sz w:val="18"/>
          <w:szCs w:val="18"/>
        </w:rPr>
        <w:t>European Economic Review</w:t>
      </w:r>
      <w:r w:rsidRPr="00FE6187">
        <w:rPr>
          <w:sz w:val="18"/>
          <w:szCs w:val="18"/>
        </w:rPr>
        <w:t xml:space="preserve">, Vol. 49, Issue 8, November, pp. 2079-005.  </w:t>
      </w:r>
    </w:p>
    <w:p w14:paraId="7A811903" w14:textId="77777777" w:rsidR="00483AE6" w:rsidRPr="00FE6187" w:rsidRDefault="00483AE6" w:rsidP="00483AE6">
      <w:pPr>
        <w:jc w:val="both"/>
        <w:rPr>
          <w:sz w:val="18"/>
          <w:szCs w:val="18"/>
        </w:rPr>
      </w:pPr>
      <w:r w:rsidRPr="00FE6187">
        <w:rPr>
          <w:sz w:val="18"/>
          <w:szCs w:val="18"/>
        </w:rPr>
        <w:t>Eichengreen, Barry</w:t>
      </w:r>
      <w:r w:rsidR="00074534" w:rsidRPr="00FE6187">
        <w:rPr>
          <w:sz w:val="18"/>
          <w:szCs w:val="18"/>
        </w:rPr>
        <w:t>,</w:t>
      </w:r>
      <w:r w:rsidRPr="00FE6187">
        <w:rPr>
          <w:sz w:val="18"/>
          <w:szCs w:val="18"/>
        </w:rPr>
        <w:t xml:space="preserve"> 1994</w:t>
      </w:r>
      <w:r w:rsidR="00074534" w:rsidRPr="00FE6187">
        <w:rPr>
          <w:sz w:val="18"/>
          <w:szCs w:val="18"/>
        </w:rPr>
        <w:t>,</w:t>
      </w:r>
      <w:r w:rsidRPr="00FE6187">
        <w:rPr>
          <w:sz w:val="18"/>
          <w:szCs w:val="18"/>
        </w:rPr>
        <w:t xml:space="preserve"> </w:t>
      </w:r>
      <w:r w:rsidRPr="00FE6187">
        <w:rPr>
          <w:i/>
          <w:sz w:val="18"/>
          <w:szCs w:val="18"/>
        </w:rPr>
        <w:t>International Monetary Arrangements for the 21st Century</w:t>
      </w:r>
      <w:r w:rsidRPr="00FE6187">
        <w:rPr>
          <w:sz w:val="18"/>
          <w:szCs w:val="18"/>
        </w:rPr>
        <w:t xml:space="preserve"> </w:t>
      </w:r>
      <w:r w:rsidR="00074534" w:rsidRPr="00FE6187">
        <w:rPr>
          <w:sz w:val="18"/>
          <w:szCs w:val="18"/>
        </w:rPr>
        <w:t>(</w:t>
      </w:r>
      <w:r w:rsidRPr="00FE6187">
        <w:rPr>
          <w:sz w:val="18"/>
          <w:szCs w:val="18"/>
        </w:rPr>
        <w:t>Washington, DC: Brookings Institution</w:t>
      </w:r>
      <w:r w:rsidR="00074534" w:rsidRPr="00FE6187">
        <w:rPr>
          <w:sz w:val="18"/>
          <w:szCs w:val="18"/>
        </w:rPr>
        <w:t>)</w:t>
      </w:r>
      <w:r w:rsidRPr="00FE6187">
        <w:rPr>
          <w:sz w:val="18"/>
          <w:szCs w:val="18"/>
        </w:rPr>
        <w:t xml:space="preserve">. </w:t>
      </w:r>
    </w:p>
    <w:p w14:paraId="45A9787B" w14:textId="77777777" w:rsidR="00D55552" w:rsidRPr="00FE6187" w:rsidRDefault="00D55552" w:rsidP="00483AE6">
      <w:pPr>
        <w:jc w:val="both"/>
        <w:rPr>
          <w:sz w:val="18"/>
          <w:szCs w:val="18"/>
        </w:rPr>
      </w:pPr>
      <w:r w:rsidRPr="00FE6187">
        <w:rPr>
          <w:rFonts w:cs="Arial"/>
          <w:color w:val="222222"/>
          <w:sz w:val="18"/>
          <w:szCs w:val="18"/>
          <w:shd w:val="clear" w:color="auto" w:fill="FFFFFF"/>
        </w:rPr>
        <w:t>Eichengreen, Barry, and Raul Razo</w:t>
      </w:r>
      <w:r w:rsidRPr="00FE6187">
        <w:rPr>
          <w:rFonts w:cs="Cambria Math"/>
          <w:color w:val="222222"/>
          <w:sz w:val="18"/>
          <w:szCs w:val="18"/>
          <w:shd w:val="clear" w:color="auto" w:fill="FFFFFF"/>
        </w:rPr>
        <w:t>‐</w:t>
      </w:r>
      <w:r w:rsidRPr="00FE6187">
        <w:rPr>
          <w:rFonts w:cs="Arial"/>
          <w:color w:val="222222"/>
          <w:sz w:val="18"/>
          <w:szCs w:val="18"/>
          <w:shd w:val="clear" w:color="auto" w:fill="FFFFFF"/>
        </w:rPr>
        <w:t>Garcia, 2013, "How reliable are de facto exchange rate regime classifications?."</w:t>
      </w:r>
      <w:r w:rsidRPr="00FE6187">
        <w:rPr>
          <w:rStyle w:val="apple-converted-space"/>
          <w:rFonts w:cs="Arial"/>
          <w:color w:val="222222"/>
          <w:sz w:val="18"/>
          <w:szCs w:val="18"/>
          <w:shd w:val="clear" w:color="auto" w:fill="FFFFFF"/>
        </w:rPr>
        <w:t> </w:t>
      </w:r>
      <w:r w:rsidRPr="00FE6187">
        <w:rPr>
          <w:rFonts w:cs="Arial"/>
          <w:i/>
          <w:iCs/>
          <w:color w:val="222222"/>
          <w:sz w:val="18"/>
          <w:szCs w:val="18"/>
          <w:shd w:val="clear" w:color="auto" w:fill="FFFFFF"/>
        </w:rPr>
        <w:t>International Journal of Finance &amp; Economics</w:t>
      </w:r>
      <w:r w:rsidRPr="00FE6187">
        <w:rPr>
          <w:rStyle w:val="apple-converted-space"/>
          <w:rFonts w:cs="Arial"/>
          <w:color w:val="222222"/>
          <w:sz w:val="18"/>
          <w:szCs w:val="18"/>
          <w:shd w:val="clear" w:color="auto" w:fill="FFFFFF"/>
        </w:rPr>
        <w:t> </w:t>
      </w:r>
      <w:r w:rsidRPr="00FE6187">
        <w:rPr>
          <w:rFonts w:cs="Arial"/>
          <w:color w:val="222222"/>
          <w:sz w:val="18"/>
          <w:szCs w:val="18"/>
          <w:shd w:val="clear" w:color="auto" w:fill="FFFFFF"/>
        </w:rPr>
        <w:t>18.3, pp. 216-239.</w:t>
      </w:r>
    </w:p>
    <w:p w14:paraId="117FF235" w14:textId="77777777" w:rsidR="00011F62" w:rsidRPr="00FE6187" w:rsidRDefault="00766585" w:rsidP="00766585">
      <w:pPr>
        <w:spacing w:line="240" w:lineRule="auto"/>
        <w:rPr>
          <w:rFonts w:cs="Arial"/>
          <w:iCs/>
          <w:color w:val="000000"/>
          <w:sz w:val="18"/>
          <w:szCs w:val="18"/>
          <w:shd w:val="clear" w:color="auto" w:fill="FFFFFF"/>
        </w:rPr>
      </w:pPr>
      <w:r w:rsidRPr="00FE6187">
        <w:rPr>
          <w:rFonts w:cs="Arial"/>
          <w:color w:val="000000" w:themeColor="text1"/>
          <w:sz w:val="18"/>
          <w:szCs w:val="18"/>
        </w:rPr>
        <w:t>Fa</w:t>
      </w:r>
      <w:r w:rsidR="00011F62" w:rsidRPr="00FE6187">
        <w:rPr>
          <w:rFonts w:cs="Arial"/>
          <w:color w:val="000000" w:themeColor="text1"/>
          <w:sz w:val="18"/>
          <w:szCs w:val="18"/>
        </w:rPr>
        <w:t xml:space="preserve">rhi, Emmanuel and Ivan Werning, </w:t>
      </w:r>
      <w:r w:rsidRPr="00FE6187">
        <w:rPr>
          <w:rFonts w:cs="Arial"/>
          <w:color w:val="000000" w:themeColor="text1"/>
          <w:sz w:val="18"/>
          <w:szCs w:val="18"/>
        </w:rPr>
        <w:t>2014</w:t>
      </w:r>
      <w:r w:rsidR="00011F62" w:rsidRPr="00FE6187">
        <w:rPr>
          <w:rFonts w:cs="Arial"/>
          <w:color w:val="000000" w:themeColor="text1"/>
          <w:sz w:val="18"/>
          <w:szCs w:val="18"/>
        </w:rPr>
        <w:t>,</w:t>
      </w:r>
      <w:r w:rsidRPr="00FE6187">
        <w:rPr>
          <w:rFonts w:cs="Arial"/>
          <w:color w:val="000000" w:themeColor="text1"/>
          <w:sz w:val="18"/>
          <w:szCs w:val="18"/>
        </w:rPr>
        <w:t xml:space="preserve"> “</w:t>
      </w:r>
      <w:r w:rsidRPr="00FE6187">
        <w:rPr>
          <w:sz w:val="18"/>
          <w:szCs w:val="18"/>
        </w:rPr>
        <w:t xml:space="preserve">Dilemma not Trilemma? Capital Controls and Exchange Rates with Volatile Capital Flows,” </w:t>
      </w:r>
      <w:r w:rsidRPr="00FE6187">
        <w:rPr>
          <w:color w:val="000000" w:themeColor="text1"/>
          <w:sz w:val="18"/>
          <w:szCs w:val="18"/>
        </w:rPr>
        <w:t xml:space="preserve"> </w:t>
      </w:r>
      <w:r w:rsidRPr="00FE6187">
        <w:rPr>
          <w:rFonts w:cs="Arial"/>
          <w:i/>
          <w:iCs/>
          <w:color w:val="000000"/>
          <w:sz w:val="18"/>
          <w:szCs w:val="18"/>
          <w:shd w:val="clear" w:color="auto" w:fill="FFFFFF"/>
        </w:rPr>
        <w:t xml:space="preserve">IMF Economic Review, </w:t>
      </w:r>
      <w:r w:rsidRPr="00FE6187">
        <w:rPr>
          <w:rFonts w:cs="Arial"/>
          <w:iCs/>
          <w:color w:val="000000"/>
          <w:sz w:val="18"/>
          <w:szCs w:val="18"/>
          <w:shd w:val="clear" w:color="auto" w:fill="FFFFFF"/>
        </w:rPr>
        <w:t>62</w:t>
      </w:r>
      <w:r w:rsidRPr="00FE6187">
        <w:rPr>
          <w:rFonts w:cs="Arial"/>
          <w:iCs/>
          <w:color w:val="000000"/>
          <w:sz w:val="18"/>
          <w:szCs w:val="18"/>
          <w:shd w:val="clear" w:color="auto" w:fill="FFFFFF"/>
          <w:lang w:eastAsia="ko-KR"/>
        </w:rPr>
        <w:t xml:space="preserve"> (</w:t>
      </w:r>
      <w:r w:rsidRPr="00FE6187">
        <w:rPr>
          <w:rFonts w:cs="Arial"/>
          <w:iCs/>
          <w:color w:val="000000"/>
          <w:sz w:val="18"/>
          <w:szCs w:val="18"/>
          <w:shd w:val="clear" w:color="auto" w:fill="FFFFFF"/>
        </w:rPr>
        <w:t>4</w:t>
      </w:r>
      <w:r w:rsidRPr="00FE6187">
        <w:rPr>
          <w:rFonts w:cs="Arial"/>
          <w:iCs/>
          <w:color w:val="000000"/>
          <w:sz w:val="18"/>
          <w:szCs w:val="18"/>
          <w:shd w:val="clear" w:color="auto" w:fill="FFFFFF"/>
          <w:lang w:eastAsia="ko-KR"/>
        </w:rPr>
        <w:t>)</w:t>
      </w:r>
      <w:r w:rsidRPr="00FE6187">
        <w:rPr>
          <w:rFonts w:cs="Arial"/>
          <w:iCs/>
          <w:color w:val="000000"/>
          <w:sz w:val="18"/>
          <w:szCs w:val="18"/>
          <w:shd w:val="clear" w:color="auto" w:fill="FFFFFF"/>
        </w:rPr>
        <w:t>, pp. 569-605.</w:t>
      </w:r>
      <w:r w:rsidR="00011F62" w:rsidRPr="00FE6187">
        <w:rPr>
          <w:rFonts w:cs="Arial"/>
          <w:iCs/>
          <w:color w:val="000000"/>
          <w:sz w:val="18"/>
          <w:szCs w:val="18"/>
          <w:shd w:val="clear" w:color="auto" w:fill="FFFFFF"/>
        </w:rPr>
        <w:t xml:space="preserve"> </w:t>
      </w:r>
      <w:r w:rsidR="00011F62" w:rsidRPr="00FE6187">
        <w:rPr>
          <w:rFonts w:eastAsia="Times New Roman" w:cs="Tahoma"/>
          <w:sz w:val="18"/>
          <w:szCs w:val="18"/>
        </w:rPr>
        <w:t xml:space="preserve"> NBER WP No. 19854.</w:t>
      </w:r>
    </w:p>
    <w:p w14:paraId="747BA7D4" w14:textId="77777777" w:rsidR="000249BD" w:rsidRPr="00FE6187" w:rsidRDefault="000249BD" w:rsidP="005E2990">
      <w:pPr>
        <w:rPr>
          <w:sz w:val="18"/>
          <w:szCs w:val="18"/>
        </w:rPr>
      </w:pPr>
      <w:r w:rsidRPr="00FE6187">
        <w:rPr>
          <w:sz w:val="18"/>
          <w:szCs w:val="18"/>
        </w:rPr>
        <w:lastRenderedPageBreak/>
        <w:t>Fatum, Rasmus. 2015. "FX Intervention When Interest Rates Are Zero: Does the Portfolio Balance Channel Matter after All?" Journal of International Money and Finance, 57(C), 185-199.</w:t>
      </w:r>
    </w:p>
    <w:p w14:paraId="46E26248" w14:textId="77777777" w:rsidR="005F5EAF" w:rsidRPr="00FE6187" w:rsidRDefault="00913712" w:rsidP="005E2990">
      <w:pPr>
        <w:rPr>
          <w:sz w:val="18"/>
          <w:szCs w:val="18"/>
        </w:rPr>
      </w:pPr>
      <w:r w:rsidRPr="00FE6187">
        <w:rPr>
          <w:sz w:val="18"/>
          <w:szCs w:val="18"/>
        </w:rPr>
        <w:t xml:space="preserve">Fatum, Rasmus and Michael M. Hutchison. 2003. "Is Sterilized FX Intervention Effective after All? An Event Study Approach." Economic Journal, 113(487), 390-411. </w:t>
      </w:r>
    </w:p>
    <w:p w14:paraId="75E13E24" w14:textId="77777777" w:rsidR="005F5EAF" w:rsidRPr="00FE6187" w:rsidRDefault="00913712" w:rsidP="005E2990">
      <w:pPr>
        <w:rPr>
          <w:sz w:val="18"/>
          <w:szCs w:val="18"/>
        </w:rPr>
      </w:pPr>
      <w:r w:rsidRPr="00FE6187">
        <w:rPr>
          <w:sz w:val="18"/>
          <w:szCs w:val="18"/>
        </w:rPr>
        <w:t>Fatum, Rasmus and Michael M. Hutchison. 2010. "Evaluating FX Market Intervention: Selfselection, Counterfactuals and Average Treatment Effects." Journal of International Money and Finance, 29(3), 570-584.</w:t>
      </w:r>
    </w:p>
    <w:p w14:paraId="5D19F10C" w14:textId="77777777" w:rsidR="006E029E" w:rsidRPr="00FE6187" w:rsidRDefault="006E029E" w:rsidP="006E029E">
      <w:pPr>
        <w:spacing w:line="240" w:lineRule="auto"/>
        <w:jc w:val="both"/>
        <w:rPr>
          <w:sz w:val="18"/>
          <w:szCs w:val="18"/>
        </w:rPr>
      </w:pPr>
      <w:r w:rsidRPr="00FE6187">
        <w:rPr>
          <w:sz w:val="18"/>
          <w:szCs w:val="18"/>
        </w:rPr>
        <w:t xml:space="preserve">Fischer, Stanley, 2001, “Exchange Rate Regimes: Is the Bipolar View Correct?” </w:t>
      </w:r>
      <w:r w:rsidRPr="00FE6187">
        <w:rPr>
          <w:i/>
          <w:sz w:val="18"/>
          <w:szCs w:val="18"/>
        </w:rPr>
        <w:t>Journal of Economic Perspectives</w:t>
      </w:r>
      <w:r w:rsidRPr="00FE6187">
        <w:rPr>
          <w:sz w:val="18"/>
          <w:szCs w:val="18"/>
        </w:rPr>
        <w:t xml:space="preserve"> 15(2): 3-24.</w:t>
      </w:r>
    </w:p>
    <w:p w14:paraId="474150DF" w14:textId="77777777" w:rsidR="008E22F7" w:rsidRPr="00FE6187" w:rsidRDefault="008E22F7" w:rsidP="006E029E">
      <w:pPr>
        <w:spacing w:line="240" w:lineRule="auto"/>
        <w:jc w:val="both"/>
        <w:rPr>
          <w:sz w:val="18"/>
          <w:szCs w:val="18"/>
        </w:rPr>
      </w:pPr>
      <w:r w:rsidRPr="00FE6187">
        <w:rPr>
          <w:rFonts w:cs="Arial"/>
          <w:color w:val="222222"/>
          <w:sz w:val="18"/>
          <w:szCs w:val="18"/>
          <w:shd w:val="clear" w:color="auto" w:fill="FFFFFF"/>
        </w:rPr>
        <w:t>Flood, Robert, and Andrew Rose, 1999, "Understanding exchange rate volatility without the contrivance of macroeconomics."</w:t>
      </w:r>
      <w:r w:rsidRPr="00FE6187">
        <w:rPr>
          <w:rStyle w:val="apple-converted-space"/>
          <w:rFonts w:cs="Arial"/>
          <w:color w:val="222222"/>
          <w:sz w:val="18"/>
          <w:szCs w:val="18"/>
          <w:shd w:val="clear" w:color="auto" w:fill="FFFFFF"/>
        </w:rPr>
        <w:t> </w:t>
      </w:r>
      <w:r w:rsidRPr="00FE6187">
        <w:rPr>
          <w:rFonts w:cs="Arial"/>
          <w:i/>
          <w:iCs/>
          <w:color w:val="222222"/>
          <w:sz w:val="18"/>
          <w:szCs w:val="18"/>
          <w:shd w:val="clear" w:color="auto" w:fill="FFFFFF"/>
        </w:rPr>
        <w:t>The Economic Journal</w:t>
      </w:r>
      <w:r w:rsidRPr="00FE6187">
        <w:rPr>
          <w:rStyle w:val="apple-converted-space"/>
          <w:rFonts w:cs="Arial"/>
          <w:color w:val="222222"/>
          <w:sz w:val="18"/>
          <w:szCs w:val="18"/>
          <w:shd w:val="clear" w:color="auto" w:fill="FFFFFF"/>
        </w:rPr>
        <w:t xml:space="preserve">  </w:t>
      </w:r>
      <w:r w:rsidRPr="00FE6187">
        <w:rPr>
          <w:rFonts w:cs="Arial"/>
          <w:color w:val="222222"/>
          <w:sz w:val="18"/>
          <w:szCs w:val="18"/>
          <w:shd w:val="clear" w:color="auto" w:fill="FFFFFF"/>
        </w:rPr>
        <w:t>109, no. 459, Nov: 660-672.</w:t>
      </w:r>
    </w:p>
    <w:p w14:paraId="2FC849FD" w14:textId="77777777" w:rsidR="000E6BE4" w:rsidRPr="00FE6187" w:rsidRDefault="000E6BE4" w:rsidP="00074534">
      <w:pPr>
        <w:spacing w:line="240" w:lineRule="auto"/>
        <w:rPr>
          <w:sz w:val="18"/>
          <w:szCs w:val="18"/>
        </w:rPr>
      </w:pPr>
      <w:r w:rsidRPr="00FE6187">
        <w:rPr>
          <w:sz w:val="18"/>
          <w:szCs w:val="18"/>
        </w:rPr>
        <w:t xml:space="preserve">Forbes, Kristin, and Francis Warnock, 2012, “Capital Flow Waves: Surges Stops, Flight, and Retrenchment,” </w:t>
      </w:r>
      <w:r w:rsidRPr="00FE6187">
        <w:rPr>
          <w:i/>
          <w:sz w:val="18"/>
          <w:szCs w:val="18"/>
        </w:rPr>
        <w:t>Journal of International Economics</w:t>
      </w:r>
      <w:r w:rsidRPr="00FE6187">
        <w:rPr>
          <w:sz w:val="18"/>
          <w:szCs w:val="18"/>
        </w:rPr>
        <w:t>, 2012, 88 (2),</w:t>
      </w:r>
      <w:r w:rsidR="00766585" w:rsidRPr="00FE6187">
        <w:rPr>
          <w:sz w:val="18"/>
          <w:szCs w:val="18"/>
        </w:rPr>
        <w:t xml:space="preserve"> </w:t>
      </w:r>
      <w:r w:rsidRPr="00FE6187">
        <w:rPr>
          <w:sz w:val="18"/>
          <w:szCs w:val="18"/>
        </w:rPr>
        <w:t xml:space="preserve">pp. 235–251. </w:t>
      </w:r>
    </w:p>
    <w:p w14:paraId="31CB339F" w14:textId="77777777" w:rsidR="006E029E" w:rsidRDefault="006E029E" w:rsidP="00074534">
      <w:pPr>
        <w:spacing w:line="240" w:lineRule="auto"/>
        <w:jc w:val="both"/>
        <w:rPr>
          <w:b/>
          <w:bCs/>
          <w:sz w:val="18"/>
          <w:szCs w:val="18"/>
        </w:rPr>
      </w:pPr>
      <w:r w:rsidRPr="00FE6187">
        <w:rPr>
          <w:sz w:val="18"/>
          <w:szCs w:val="18"/>
        </w:rPr>
        <w:t xml:space="preserve">Frankel, Jeffrey, 2003, “Experience of and Lessons from Exchange Rate Regimes in Emerging Economies,” </w:t>
      </w:r>
      <w:r w:rsidRPr="00FE6187">
        <w:rPr>
          <w:i/>
          <w:iCs/>
          <w:sz w:val="18"/>
          <w:szCs w:val="18"/>
        </w:rPr>
        <w:t>Monetary and Financial Cooperation in East Asia</w:t>
      </w:r>
      <w:r w:rsidRPr="00FE6187">
        <w:rPr>
          <w:sz w:val="18"/>
          <w:szCs w:val="18"/>
        </w:rPr>
        <w:t>, Asian Development Bank (Macmillan)</w:t>
      </w:r>
      <w:r w:rsidRPr="00FE6187">
        <w:rPr>
          <w:b/>
          <w:bCs/>
          <w:sz w:val="18"/>
          <w:szCs w:val="18"/>
        </w:rPr>
        <w:t>.</w:t>
      </w:r>
    </w:p>
    <w:p w14:paraId="5B8823E4" w14:textId="77777777" w:rsidR="00A2071D" w:rsidRPr="00A2071D" w:rsidRDefault="00A2071D" w:rsidP="00074534">
      <w:pPr>
        <w:spacing w:line="240" w:lineRule="auto"/>
        <w:jc w:val="both"/>
        <w:rPr>
          <w:bCs/>
          <w:spacing w:val="-3"/>
          <w:sz w:val="18"/>
          <w:szCs w:val="18"/>
        </w:rPr>
      </w:pPr>
      <w:r w:rsidRPr="00A2071D">
        <w:rPr>
          <w:rFonts w:cs="Arial"/>
          <w:color w:val="1E1E1E"/>
          <w:sz w:val="18"/>
          <w:szCs w:val="18"/>
          <w:shd w:val="clear" w:color="auto" w:fill="FFFFFF"/>
        </w:rPr>
        <w:t>Frankel, Jeffrey, 2009, “</w:t>
      </w:r>
      <w:r w:rsidRPr="00A2071D">
        <w:rPr>
          <w:rFonts w:cs="Arial"/>
          <w:sz w:val="18"/>
          <w:szCs w:val="18"/>
          <w:shd w:val="clear" w:color="auto" w:fill="FFFFFF"/>
        </w:rPr>
        <w:t>New Estimation of China’s Exchange Rate Regime</w:t>
      </w:r>
      <w:r w:rsidRPr="00A2071D">
        <w:rPr>
          <w:rFonts w:cs="Arial"/>
          <w:color w:val="1E1E1E"/>
          <w:sz w:val="18"/>
          <w:szCs w:val="18"/>
          <w:shd w:val="clear" w:color="auto" w:fill="FFFFFF"/>
        </w:rPr>
        <w:t>"  in </w:t>
      </w:r>
      <w:r w:rsidRPr="00A2071D">
        <w:rPr>
          <w:rStyle w:val="Emphasis"/>
          <w:rFonts w:cs="Arial"/>
          <w:color w:val="1E1E1E"/>
          <w:sz w:val="18"/>
          <w:szCs w:val="18"/>
          <w:shd w:val="clear" w:color="auto" w:fill="FFFFFF"/>
        </w:rPr>
        <w:t>Pacific Economic Review</w:t>
      </w:r>
      <w:r w:rsidRPr="00A2071D">
        <w:rPr>
          <w:rFonts w:cs="Arial"/>
          <w:color w:val="1E1E1E"/>
          <w:sz w:val="18"/>
          <w:szCs w:val="18"/>
          <w:shd w:val="clear" w:color="auto" w:fill="FFFFFF"/>
        </w:rPr>
        <w:t>, vol. 13, no. 3, pp. 346-360.</w:t>
      </w:r>
    </w:p>
    <w:p w14:paraId="10D5C676" w14:textId="77777777" w:rsidR="0072751F" w:rsidRPr="00FE6187" w:rsidRDefault="008E32AD" w:rsidP="0072751F">
      <w:pPr>
        <w:spacing w:line="240" w:lineRule="auto"/>
        <w:rPr>
          <w:color w:val="000000"/>
          <w:sz w:val="18"/>
          <w:szCs w:val="18"/>
        </w:rPr>
      </w:pPr>
      <w:r w:rsidRPr="00FE6187">
        <w:rPr>
          <w:color w:val="000000"/>
          <w:sz w:val="18"/>
          <w:szCs w:val="18"/>
        </w:rPr>
        <w:t>Frankel, Jeffrey, 2016, “</w:t>
      </w:r>
      <w:r w:rsidRPr="00FE6187">
        <w:rPr>
          <w:sz w:val="18"/>
          <w:szCs w:val="18"/>
        </w:rPr>
        <w:t>The Plaza Accord, 30 Years Later</w:t>
      </w:r>
      <w:r w:rsidRPr="00FE6187">
        <w:rPr>
          <w:color w:val="000000"/>
          <w:sz w:val="18"/>
          <w:szCs w:val="18"/>
        </w:rPr>
        <w:t>,”</w:t>
      </w:r>
      <w:r w:rsidRPr="00FE6187">
        <w:rPr>
          <w:rStyle w:val="apple-converted-space"/>
          <w:color w:val="000000"/>
          <w:sz w:val="18"/>
          <w:szCs w:val="18"/>
        </w:rPr>
        <w:t> in</w:t>
      </w:r>
      <w:r w:rsidRPr="00FE6187">
        <w:rPr>
          <w:i/>
          <w:iCs/>
          <w:color w:val="000000"/>
          <w:sz w:val="18"/>
          <w:szCs w:val="18"/>
        </w:rPr>
        <w:t xml:space="preserve"> Currency Policy Then and Now: 30th Anniversary of the Plaza Accord</w:t>
      </w:r>
      <w:r w:rsidRPr="00FE6187">
        <w:rPr>
          <w:color w:val="000000"/>
          <w:sz w:val="18"/>
          <w:szCs w:val="18"/>
        </w:rPr>
        <w:t>, edited by C.F. Bergsten and Russell Green (Peterson Institute for International Economics: Washington DC).</w:t>
      </w:r>
    </w:p>
    <w:p w14:paraId="742B4E2B" w14:textId="77777777" w:rsidR="0072751F" w:rsidRPr="00FE6187" w:rsidRDefault="0072751F" w:rsidP="0072751F">
      <w:pPr>
        <w:spacing w:line="240" w:lineRule="auto"/>
        <w:rPr>
          <w:color w:val="000000"/>
          <w:sz w:val="18"/>
          <w:szCs w:val="18"/>
        </w:rPr>
      </w:pPr>
      <w:r w:rsidRPr="00FE6187">
        <w:rPr>
          <w:color w:val="000000"/>
          <w:sz w:val="18"/>
          <w:szCs w:val="18"/>
        </w:rPr>
        <w:t xml:space="preserve">Frankel, Jeffrey, 2017,  </w:t>
      </w:r>
      <w:r w:rsidR="00F566D3" w:rsidRPr="00FE6187">
        <w:rPr>
          <w:color w:val="000000"/>
          <w:sz w:val="18"/>
          <w:szCs w:val="18"/>
        </w:rPr>
        <w:t>“</w:t>
      </w:r>
      <w:r w:rsidRPr="00FE6187">
        <w:rPr>
          <w:sz w:val="18"/>
          <w:szCs w:val="18"/>
        </w:rPr>
        <w:t>The Currency-Plus-Commodity Basket:  A Proposal for Exchange Rates in Oil-Exporting Countries to Accommodate Trade Shocks Automatically</w:t>
      </w:r>
      <w:r w:rsidRPr="00FE6187">
        <w:rPr>
          <w:b/>
          <w:sz w:val="18"/>
          <w:szCs w:val="18"/>
        </w:rPr>
        <w:t xml:space="preserve">,” </w:t>
      </w:r>
      <w:r w:rsidRPr="00FE6187">
        <w:rPr>
          <w:sz w:val="18"/>
          <w:szCs w:val="18"/>
        </w:rPr>
        <w:t xml:space="preserve">forthcoming, </w:t>
      </w:r>
      <w:r w:rsidRPr="00FE6187">
        <w:rPr>
          <w:i/>
          <w:sz w:val="18"/>
          <w:szCs w:val="18"/>
        </w:rPr>
        <w:t>Macroeconomic Institutions and Management in Resource-Rich Arab Economies</w:t>
      </w:r>
      <w:r w:rsidRPr="00FE6187">
        <w:rPr>
          <w:sz w:val="18"/>
          <w:szCs w:val="18"/>
        </w:rPr>
        <w:t xml:space="preserve"> (Oxford University Press).</w:t>
      </w:r>
      <w:r w:rsidR="00F566D3" w:rsidRPr="00FE6187">
        <w:rPr>
          <w:sz w:val="18"/>
          <w:szCs w:val="18"/>
        </w:rPr>
        <w:t xml:space="preserve">  </w:t>
      </w:r>
      <w:r w:rsidR="00F566D3" w:rsidRPr="00FE6187">
        <w:rPr>
          <w:rFonts w:cs="Arial"/>
          <w:sz w:val="18"/>
          <w:szCs w:val="18"/>
          <w:shd w:val="clear" w:color="auto" w:fill="FFFFFF"/>
        </w:rPr>
        <w:t>CID WP no.333</w:t>
      </w:r>
      <w:r w:rsidR="00F566D3" w:rsidRPr="00FE6187">
        <w:rPr>
          <w:rFonts w:cs="Arial"/>
          <w:color w:val="1E1E1E"/>
          <w:sz w:val="18"/>
          <w:szCs w:val="18"/>
          <w:shd w:val="clear" w:color="auto" w:fill="FFFFFF"/>
        </w:rPr>
        <w:t>, Harvard University, March.</w:t>
      </w:r>
    </w:p>
    <w:p w14:paraId="3C62B564" w14:textId="77777777" w:rsidR="00CE0CA3" w:rsidRPr="00C33D23" w:rsidRDefault="00CE0CA3" w:rsidP="006E029E">
      <w:pPr>
        <w:spacing w:after="240" w:line="240" w:lineRule="auto"/>
        <w:rPr>
          <w:sz w:val="18"/>
          <w:szCs w:val="18"/>
        </w:rPr>
      </w:pPr>
      <w:r w:rsidRPr="00C33D23">
        <w:rPr>
          <w:rFonts w:cs="Arial"/>
          <w:color w:val="222222"/>
          <w:sz w:val="18"/>
          <w:szCs w:val="18"/>
          <w:shd w:val="clear" w:color="auto" w:fill="FFFFFF"/>
        </w:rPr>
        <w:t>Frankel, Jeffrey. Eduardo Fajnzylber, Sergio Schmukler, and Luis Servén, 2001, "Verifying exchange rate regimes,"</w:t>
      </w:r>
      <w:r w:rsidRPr="00C33D23">
        <w:rPr>
          <w:rStyle w:val="apple-converted-space"/>
          <w:rFonts w:cs="Arial"/>
          <w:color w:val="222222"/>
          <w:sz w:val="18"/>
          <w:szCs w:val="18"/>
          <w:shd w:val="clear" w:color="auto" w:fill="FFFFFF"/>
        </w:rPr>
        <w:t> </w:t>
      </w:r>
      <w:r w:rsidRPr="00C33D23">
        <w:rPr>
          <w:rFonts w:cs="Arial"/>
          <w:i/>
          <w:iCs/>
          <w:color w:val="222222"/>
          <w:sz w:val="18"/>
          <w:szCs w:val="18"/>
          <w:shd w:val="clear" w:color="auto" w:fill="FFFFFF"/>
        </w:rPr>
        <w:t>Journal of Development Economics</w:t>
      </w:r>
      <w:r w:rsidRPr="00C33D23">
        <w:rPr>
          <w:rStyle w:val="apple-converted-space"/>
          <w:rFonts w:cs="Arial"/>
          <w:color w:val="222222"/>
          <w:sz w:val="18"/>
          <w:szCs w:val="18"/>
          <w:shd w:val="clear" w:color="auto" w:fill="FFFFFF"/>
        </w:rPr>
        <w:t> </w:t>
      </w:r>
      <w:r w:rsidRPr="00C33D23">
        <w:rPr>
          <w:rFonts w:cs="Arial"/>
          <w:color w:val="222222"/>
          <w:sz w:val="18"/>
          <w:szCs w:val="18"/>
          <w:shd w:val="clear" w:color="auto" w:fill="FFFFFF"/>
        </w:rPr>
        <w:t>66, no. 2, Dec., pp. 351-386.</w:t>
      </w:r>
    </w:p>
    <w:p w14:paraId="31D59B37" w14:textId="77777777" w:rsidR="00CE0CA3" w:rsidRPr="00FE6187" w:rsidRDefault="00CE0CA3" w:rsidP="000F317C">
      <w:pPr>
        <w:spacing w:after="240" w:line="240" w:lineRule="auto"/>
        <w:rPr>
          <w:b/>
          <w:color w:val="000000"/>
          <w:sz w:val="18"/>
          <w:szCs w:val="18"/>
        </w:rPr>
      </w:pPr>
      <w:r w:rsidRPr="00FE6187">
        <w:rPr>
          <w:sz w:val="18"/>
          <w:szCs w:val="18"/>
        </w:rPr>
        <w:t>Frankel, Jeffrey,</w:t>
      </w:r>
      <w:r w:rsidRPr="00FE6187">
        <w:rPr>
          <w:color w:val="000000"/>
          <w:sz w:val="18"/>
          <w:szCs w:val="18"/>
        </w:rPr>
        <w:t xml:space="preserve"> Sergio Schmukler and Luis Servén, 2004, “Global Transmission of Interest Rates: Monetary Independence and the Currency Regime,” </w:t>
      </w:r>
      <w:r w:rsidRPr="00FE6187">
        <w:rPr>
          <w:i/>
          <w:color w:val="000000"/>
          <w:sz w:val="18"/>
          <w:szCs w:val="18"/>
        </w:rPr>
        <w:t>Journal of International Money and Finance</w:t>
      </w:r>
      <w:r w:rsidRPr="00FE6187">
        <w:rPr>
          <w:color w:val="000000"/>
          <w:sz w:val="18"/>
          <w:szCs w:val="18"/>
        </w:rPr>
        <w:t xml:space="preserve">, 23, no. 5, September, 701-734.   </w:t>
      </w:r>
    </w:p>
    <w:p w14:paraId="6AB0574F" w14:textId="77777777" w:rsidR="00697E2D" w:rsidRDefault="00697E2D" w:rsidP="00155D83">
      <w:pPr>
        <w:jc w:val="both"/>
        <w:rPr>
          <w:sz w:val="18"/>
          <w:szCs w:val="18"/>
        </w:rPr>
      </w:pPr>
      <w:r w:rsidRPr="00FE6187">
        <w:rPr>
          <w:sz w:val="18"/>
          <w:szCs w:val="18"/>
        </w:rPr>
        <w:t>Frankel, Jeffrey, and Shang-Jin Wei. 1994. “Yen Bloc or Dollar Bloc? Exchange Rate Policies of the East Asian Economies,” In</w:t>
      </w:r>
      <w:r w:rsidRPr="00FE6187">
        <w:rPr>
          <w:i/>
          <w:sz w:val="18"/>
          <w:szCs w:val="18"/>
        </w:rPr>
        <w:t xml:space="preserve"> Macroeconomic Linkages: Savings, Exchange Rates, and Capital Flows</w:t>
      </w:r>
      <w:r w:rsidRPr="00FE6187">
        <w:rPr>
          <w:sz w:val="18"/>
          <w:szCs w:val="18"/>
        </w:rPr>
        <w:t xml:space="preserve">, </w:t>
      </w:r>
      <w:r w:rsidRPr="00FE6187">
        <w:rPr>
          <w:i/>
          <w:sz w:val="18"/>
          <w:szCs w:val="18"/>
        </w:rPr>
        <w:t>NBER - East A</w:t>
      </w:r>
      <w:r w:rsidR="00155D83" w:rsidRPr="00FE6187">
        <w:rPr>
          <w:i/>
          <w:sz w:val="18"/>
          <w:szCs w:val="18"/>
        </w:rPr>
        <w:t>sia Seminar on Economics, Vol.</w:t>
      </w:r>
      <w:r w:rsidRPr="00FE6187">
        <w:rPr>
          <w:i/>
          <w:sz w:val="18"/>
          <w:szCs w:val="18"/>
        </w:rPr>
        <w:t xml:space="preserve"> 3</w:t>
      </w:r>
      <w:r w:rsidR="00155D83" w:rsidRPr="00FE6187">
        <w:rPr>
          <w:sz w:val="18"/>
          <w:szCs w:val="18"/>
        </w:rPr>
        <w:t xml:space="preserve">, </w:t>
      </w:r>
      <w:r w:rsidRPr="00FE6187">
        <w:rPr>
          <w:sz w:val="18"/>
          <w:szCs w:val="18"/>
        </w:rPr>
        <w:t>Takatoshi Ito and Anne Krueger</w:t>
      </w:r>
      <w:r w:rsidR="00155D83" w:rsidRPr="00FE6187">
        <w:rPr>
          <w:sz w:val="18"/>
          <w:szCs w:val="18"/>
        </w:rPr>
        <w:t>, eds.</w:t>
      </w:r>
      <w:r w:rsidRPr="00FE6187">
        <w:rPr>
          <w:sz w:val="18"/>
          <w:szCs w:val="18"/>
        </w:rPr>
        <w:t xml:space="preserve"> (University of Chicago Press).</w:t>
      </w:r>
    </w:p>
    <w:p w14:paraId="0A1252BC" w14:textId="77777777" w:rsidR="002922E6" w:rsidRPr="00FE6187" w:rsidRDefault="002C0EF1" w:rsidP="00155D83">
      <w:pPr>
        <w:jc w:val="both"/>
        <w:rPr>
          <w:sz w:val="18"/>
          <w:szCs w:val="18"/>
        </w:rPr>
      </w:pPr>
      <w:r w:rsidRPr="002C0EF1">
        <w:rPr>
          <w:sz w:val="18"/>
          <w:szCs w:val="18"/>
        </w:rPr>
        <w:t xml:space="preserve">Frankel, </w:t>
      </w:r>
      <w:r w:rsidR="00E874BF">
        <w:rPr>
          <w:sz w:val="18"/>
          <w:szCs w:val="18"/>
        </w:rPr>
        <w:t xml:space="preserve">Jeffrey, </w:t>
      </w:r>
      <w:r w:rsidRPr="002C0EF1">
        <w:rPr>
          <w:sz w:val="18"/>
          <w:szCs w:val="18"/>
        </w:rPr>
        <w:t>and Shang-Jin Wei, 2008, “Estimation of De Facto Exchan</w:t>
      </w:r>
      <w:r w:rsidR="00E874BF">
        <w:rPr>
          <w:sz w:val="18"/>
          <w:szCs w:val="18"/>
        </w:rPr>
        <w:t>ge Rate Regimes:  Synthesis of t</w:t>
      </w:r>
      <w:r w:rsidRPr="002C0EF1">
        <w:rPr>
          <w:sz w:val="18"/>
          <w:szCs w:val="18"/>
        </w:rPr>
        <w:t xml:space="preserve">he Techniques for Inferring Flexibility and Basket Weights,”  </w:t>
      </w:r>
      <w:r w:rsidRPr="002C0EF1">
        <w:rPr>
          <w:i/>
          <w:iCs/>
          <w:sz w:val="18"/>
          <w:szCs w:val="18"/>
        </w:rPr>
        <w:t>IMF Staff Papers</w:t>
      </w:r>
      <w:r w:rsidRPr="002C0EF1">
        <w:rPr>
          <w:sz w:val="18"/>
          <w:szCs w:val="18"/>
        </w:rPr>
        <w:t>.</w:t>
      </w:r>
    </w:p>
    <w:p w14:paraId="7BFCB263" w14:textId="77777777" w:rsidR="006E029E" w:rsidRDefault="006E029E" w:rsidP="00155D83">
      <w:pPr>
        <w:spacing w:line="240" w:lineRule="auto"/>
        <w:jc w:val="both"/>
        <w:rPr>
          <w:sz w:val="18"/>
          <w:szCs w:val="18"/>
        </w:rPr>
      </w:pPr>
      <w:r w:rsidRPr="00FE6187">
        <w:rPr>
          <w:sz w:val="18"/>
          <w:szCs w:val="18"/>
        </w:rPr>
        <w:t xml:space="preserve">Frankel, Jeffrey, and Daniel Xie, 2010, “Estimation of De Facto Flexibility Parameter and Basket Weights in Evolving Exchange Rate Regimes,” </w:t>
      </w:r>
      <w:r w:rsidRPr="00FE6187">
        <w:rPr>
          <w:i/>
          <w:iCs/>
          <w:sz w:val="18"/>
          <w:szCs w:val="18"/>
        </w:rPr>
        <w:t xml:space="preserve">American Economic Review </w:t>
      </w:r>
      <w:r w:rsidRPr="00FE6187">
        <w:rPr>
          <w:sz w:val="18"/>
          <w:szCs w:val="18"/>
        </w:rPr>
        <w:t xml:space="preserve">100, May. </w:t>
      </w:r>
    </w:p>
    <w:p w14:paraId="285473BB" w14:textId="77777777" w:rsidR="004C2731" w:rsidRPr="004C2731" w:rsidRDefault="004C2731" w:rsidP="004C2731">
      <w:pPr>
        <w:rPr>
          <w:b/>
          <w:sz w:val="32"/>
        </w:rPr>
      </w:pPr>
      <w:r w:rsidRPr="00FE6187">
        <w:rPr>
          <w:sz w:val="18"/>
          <w:szCs w:val="18"/>
        </w:rPr>
        <w:t>Frankel, Jeffrey, and Dan</w:t>
      </w:r>
      <w:r>
        <w:rPr>
          <w:sz w:val="18"/>
          <w:szCs w:val="18"/>
        </w:rPr>
        <w:t>xia</w:t>
      </w:r>
      <w:r w:rsidRPr="00FE6187">
        <w:rPr>
          <w:sz w:val="18"/>
          <w:szCs w:val="18"/>
        </w:rPr>
        <w:t xml:space="preserve"> Xie, </w:t>
      </w:r>
      <w:r>
        <w:rPr>
          <w:sz w:val="18"/>
          <w:szCs w:val="18"/>
        </w:rPr>
        <w:t>2017, “</w:t>
      </w:r>
      <w:r w:rsidRPr="004C2731">
        <w:rPr>
          <w:sz w:val="18"/>
          <w:szCs w:val="18"/>
        </w:rPr>
        <w:t>Estimating Exchange Rate Regimes with Sequential Nonlinear and Non-constant Inferences</w:t>
      </w:r>
      <w:r>
        <w:rPr>
          <w:sz w:val="18"/>
          <w:szCs w:val="18"/>
        </w:rPr>
        <w:t>,” in progress.</w:t>
      </w:r>
    </w:p>
    <w:p w14:paraId="4AE898D6" w14:textId="77777777" w:rsidR="009215ED" w:rsidRPr="00FE6187" w:rsidRDefault="000E6BE4" w:rsidP="005E2990">
      <w:pPr>
        <w:rPr>
          <w:sz w:val="18"/>
          <w:szCs w:val="18"/>
        </w:rPr>
      </w:pPr>
      <w:r w:rsidRPr="00FE6187">
        <w:rPr>
          <w:sz w:val="18"/>
          <w:szCs w:val="18"/>
        </w:rPr>
        <w:t xml:space="preserve">Fratzscher, Marcel, 2012, “Capital Flows, Push versus Pull Factors and the Global Financial Crisis,” </w:t>
      </w:r>
      <w:r w:rsidRPr="00FE6187">
        <w:rPr>
          <w:rFonts w:cs="Arial"/>
          <w:i/>
          <w:iCs/>
          <w:color w:val="222222"/>
          <w:sz w:val="18"/>
          <w:szCs w:val="18"/>
          <w:shd w:val="clear" w:color="auto" w:fill="FFFFFF"/>
        </w:rPr>
        <w:t>Journal of International Economics</w:t>
      </w:r>
      <w:r w:rsidRPr="00FE6187">
        <w:rPr>
          <w:rStyle w:val="apple-converted-space"/>
          <w:rFonts w:cs="Arial"/>
          <w:color w:val="222222"/>
          <w:sz w:val="18"/>
          <w:szCs w:val="18"/>
          <w:shd w:val="clear" w:color="auto" w:fill="FFFFFF"/>
        </w:rPr>
        <w:t> </w:t>
      </w:r>
      <w:r w:rsidRPr="00FE6187">
        <w:rPr>
          <w:rFonts w:cs="Arial"/>
          <w:color w:val="222222"/>
          <w:sz w:val="18"/>
          <w:szCs w:val="18"/>
          <w:shd w:val="clear" w:color="auto" w:fill="FFFFFF"/>
        </w:rPr>
        <w:t>88, pp.341-356.</w:t>
      </w:r>
      <w:r w:rsidRPr="00FE6187">
        <w:rPr>
          <w:sz w:val="18"/>
          <w:szCs w:val="18"/>
        </w:rPr>
        <w:t xml:space="preserve">  NBER Working Paper No. 17357. </w:t>
      </w:r>
    </w:p>
    <w:p w14:paraId="583C23A8" w14:textId="77777777" w:rsidR="009215ED" w:rsidRDefault="009215ED" w:rsidP="005E2990">
      <w:pPr>
        <w:rPr>
          <w:sz w:val="18"/>
          <w:szCs w:val="18"/>
        </w:rPr>
      </w:pPr>
      <w:r w:rsidRPr="00FE6187">
        <w:rPr>
          <w:rFonts w:cs="Arial"/>
          <w:color w:val="222222"/>
          <w:sz w:val="18"/>
          <w:szCs w:val="18"/>
          <w:shd w:val="clear" w:color="auto" w:fill="FFFFFF"/>
        </w:rPr>
        <w:t>Fratzscher, Marcel, Oliver Gloede, Lukas Menkhoff, Lucio Sarno, and Tobias Stöhr, 2016,</w:t>
      </w:r>
      <w:r w:rsidR="004474C5" w:rsidRPr="00FE6187">
        <w:rPr>
          <w:rFonts w:cs="Arial"/>
          <w:color w:val="222222"/>
          <w:sz w:val="18"/>
          <w:szCs w:val="18"/>
          <w:shd w:val="clear" w:color="auto" w:fill="FFFFFF"/>
        </w:rPr>
        <w:t xml:space="preserve"> "When is F</w:t>
      </w:r>
      <w:r w:rsidRPr="00FE6187">
        <w:rPr>
          <w:rFonts w:cs="Arial"/>
          <w:color w:val="222222"/>
          <w:sz w:val="18"/>
          <w:szCs w:val="18"/>
          <w:shd w:val="clear" w:color="auto" w:fill="FFFFFF"/>
        </w:rPr>
        <w:t xml:space="preserve">oreign </w:t>
      </w:r>
      <w:r w:rsidR="004474C5" w:rsidRPr="00FE6187">
        <w:rPr>
          <w:rFonts w:cs="Arial"/>
          <w:color w:val="222222"/>
          <w:sz w:val="18"/>
          <w:szCs w:val="18"/>
          <w:shd w:val="clear" w:color="auto" w:fill="FFFFFF"/>
        </w:rPr>
        <w:t>E</w:t>
      </w:r>
      <w:r w:rsidRPr="00FE6187">
        <w:rPr>
          <w:rFonts w:cs="Arial"/>
          <w:color w:val="222222"/>
          <w:sz w:val="18"/>
          <w:szCs w:val="18"/>
          <w:shd w:val="clear" w:color="auto" w:fill="FFFFFF"/>
        </w:rPr>
        <w:t xml:space="preserve">xchange </w:t>
      </w:r>
      <w:r w:rsidR="004474C5" w:rsidRPr="00FE6187">
        <w:rPr>
          <w:rFonts w:cs="Arial"/>
          <w:color w:val="222222"/>
          <w:sz w:val="18"/>
          <w:szCs w:val="18"/>
          <w:shd w:val="clear" w:color="auto" w:fill="FFFFFF"/>
        </w:rPr>
        <w:t>Intervention E</w:t>
      </w:r>
      <w:r w:rsidRPr="00FE6187">
        <w:rPr>
          <w:rFonts w:cs="Arial"/>
          <w:color w:val="222222"/>
          <w:sz w:val="18"/>
          <w:szCs w:val="18"/>
          <w:shd w:val="clear" w:color="auto" w:fill="FFFFFF"/>
        </w:rPr>
        <w:t>ffective? Evi</w:t>
      </w:r>
      <w:r w:rsidR="004474C5" w:rsidRPr="00FE6187">
        <w:rPr>
          <w:rFonts w:cs="Arial"/>
          <w:color w:val="222222"/>
          <w:sz w:val="18"/>
          <w:szCs w:val="18"/>
          <w:shd w:val="clear" w:color="auto" w:fill="FFFFFF"/>
        </w:rPr>
        <w:t>dence from 33 C</w:t>
      </w:r>
      <w:r w:rsidR="000C54FF" w:rsidRPr="00FE6187">
        <w:rPr>
          <w:rFonts w:cs="Arial"/>
          <w:color w:val="222222"/>
          <w:sz w:val="18"/>
          <w:szCs w:val="18"/>
          <w:shd w:val="clear" w:color="auto" w:fill="FFFFFF"/>
        </w:rPr>
        <w:t>ountries."</w:t>
      </w:r>
      <w:r w:rsidRPr="00FE6187">
        <w:rPr>
          <w:rFonts w:cs="Arial"/>
          <w:color w:val="222222"/>
          <w:sz w:val="18"/>
          <w:szCs w:val="18"/>
          <w:shd w:val="clear" w:color="auto" w:fill="FFFFFF"/>
        </w:rPr>
        <w:t xml:space="preserve">  </w:t>
      </w:r>
      <w:hyperlink r:id="rId23" w:history="1">
        <w:r w:rsidR="00CA2F81" w:rsidRPr="00FE6187">
          <w:rPr>
            <w:rStyle w:val="Hyperlink"/>
            <w:color w:val="auto"/>
            <w:sz w:val="18"/>
            <w:szCs w:val="18"/>
          </w:rPr>
          <w:t>Discussion Papers of DIW Berlin</w:t>
        </w:r>
      </w:hyperlink>
      <w:r w:rsidR="00CA2F81" w:rsidRPr="00FE6187">
        <w:rPr>
          <w:rStyle w:val="apple-converted-space"/>
          <w:sz w:val="18"/>
          <w:szCs w:val="18"/>
          <w:shd w:val="clear" w:color="auto" w:fill="EFF3F8"/>
        </w:rPr>
        <w:t> </w:t>
      </w:r>
      <w:r w:rsidR="00CA2F81" w:rsidRPr="00FE6187">
        <w:rPr>
          <w:color w:val="333333"/>
          <w:sz w:val="18"/>
          <w:szCs w:val="18"/>
          <w:shd w:val="clear" w:color="auto" w:fill="EFF3F8"/>
        </w:rPr>
        <w:t xml:space="preserve">1518, DIW Berlin, German Institute for Economic Research, Novembe.  </w:t>
      </w:r>
      <w:r w:rsidR="00CA2F81" w:rsidRPr="00FE6187">
        <w:rPr>
          <w:color w:val="505050"/>
          <w:sz w:val="18"/>
          <w:szCs w:val="18"/>
          <w:shd w:val="clear" w:color="auto" w:fill="FFFFFF"/>
        </w:rPr>
        <w:t>Available at SSRN:</w:t>
      </w:r>
      <w:r w:rsidR="00CA2F81" w:rsidRPr="00FE6187">
        <w:rPr>
          <w:rStyle w:val="apple-converted-space"/>
          <w:color w:val="505050"/>
          <w:sz w:val="18"/>
          <w:szCs w:val="18"/>
          <w:shd w:val="clear" w:color="auto" w:fill="FFFFFF"/>
        </w:rPr>
        <w:t> </w:t>
      </w:r>
      <w:hyperlink r:id="rId24" w:tgtFrame="_blank" w:history="1">
        <w:r w:rsidR="00CA2F81" w:rsidRPr="00FE6187">
          <w:rPr>
            <w:rStyle w:val="Hyperlink"/>
            <w:color w:val="505050"/>
            <w:sz w:val="18"/>
            <w:szCs w:val="18"/>
            <w:shd w:val="clear" w:color="auto" w:fill="FFFFFF"/>
          </w:rPr>
          <w:t>https://ssrn.com/abstract=2686434</w:t>
        </w:r>
      </w:hyperlink>
      <w:r w:rsidR="00CA2F81" w:rsidRPr="00FE6187">
        <w:rPr>
          <w:rStyle w:val="apple-converted-space"/>
          <w:color w:val="505050"/>
          <w:sz w:val="18"/>
          <w:szCs w:val="18"/>
          <w:shd w:val="clear" w:color="auto" w:fill="FFFFFF"/>
        </w:rPr>
        <w:t> </w:t>
      </w:r>
      <w:r w:rsidR="00CA2F81" w:rsidRPr="00FE6187">
        <w:rPr>
          <w:sz w:val="18"/>
          <w:szCs w:val="18"/>
        </w:rPr>
        <w:t xml:space="preserve"> </w:t>
      </w:r>
      <w:r w:rsidR="00CA2F81" w:rsidRPr="00FE6187">
        <w:rPr>
          <w:rFonts w:cs="Times New Roman"/>
          <w:noProof/>
          <w:color w:val="000000" w:themeColor="text1"/>
          <w:sz w:val="18"/>
          <w:szCs w:val="18"/>
        </w:rPr>
        <w:t xml:space="preserve"> </w:t>
      </w:r>
      <w:r w:rsidR="00CA2F81" w:rsidRPr="00FE6187">
        <w:rPr>
          <w:sz w:val="18"/>
          <w:szCs w:val="18"/>
        </w:rPr>
        <w:t xml:space="preserve"> </w:t>
      </w:r>
      <w:r w:rsidR="002C0EF1">
        <w:rPr>
          <w:sz w:val="18"/>
          <w:szCs w:val="18"/>
        </w:rPr>
        <w:t>.</w:t>
      </w:r>
    </w:p>
    <w:p w14:paraId="1630BCAD" w14:textId="77777777" w:rsidR="002C0EF1" w:rsidRPr="00FE6187" w:rsidRDefault="002C0EF1" w:rsidP="005E2990">
      <w:pPr>
        <w:rPr>
          <w:sz w:val="18"/>
          <w:szCs w:val="18"/>
        </w:rPr>
      </w:pPr>
      <w:r w:rsidRPr="002C0EF1">
        <w:rPr>
          <w:sz w:val="18"/>
          <w:szCs w:val="18"/>
        </w:rPr>
        <w:t xml:space="preserve">Friedman, Milton, 1953, “The Case for Flexible Exchange Rates,” in </w:t>
      </w:r>
      <w:r w:rsidRPr="002C0EF1">
        <w:rPr>
          <w:i/>
          <w:iCs/>
          <w:sz w:val="18"/>
          <w:szCs w:val="18"/>
        </w:rPr>
        <w:t>Essays in Positive Economics</w:t>
      </w:r>
      <w:r w:rsidRPr="002C0EF1">
        <w:rPr>
          <w:sz w:val="18"/>
          <w:szCs w:val="18"/>
        </w:rPr>
        <w:t xml:space="preserve">. </w:t>
      </w:r>
    </w:p>
    <w:p w14:paraId="66C2E7C0" w14:textId="7ABC96AF" w:rsidR="00EC684C" w:rsidRPr="00FE6187" w:rsidRDefault="004C7BE5" w:rsidP="00EC684C">
      <w:pPr>
        <w:rPr>
          <w:sz w:val="18"/>
          <w:szCs w:val="18"/>
        </w:rPr>
      </w:pPr>
      <w:r w:rsidRPr="00FE6187">
        <w:rPr>
          <w:sz w:val="18"/>
          <w:szCs w:val="18"/>
        </w:rPr>
        <w:lastRenderedPageBreak/>
        <w:t>Fr</w:t>
      </w:r>
      <w:r w:rsidRPr="008F4CFB">
        <w:rPr>
          <w:sz w:val="18"/>
          <w:szCs w:val="18"/>
        </w:rPr>
        <w:t>ö</w:t>
      </w:r>
      <w:r w:rsidRPr="00FE6187">
        <w:rPr>
          <w:sz w:val="18"/>
          <w:szCs w:val="18"/>
        </w:rPr>
        <w:t>mmel, Michael, and Murat Midiliç, 2016, “"Daily Currency Interventions in Emerging Markets: Incorporating Reserve Accumulation." </w:t>
      </w:r>
      <w:r w:rsidR="003353FC" w:rsidRPr="00FE6187">
        <w:rPr>
          <w:i/>
          <w:iCs/>
          <w:sz w:val="18"/>
          <w:szCs w:val="18"/>
        </w:rPr>
        <w:t>Proceedings of 25</w:t>
      </w:r>
      <w:r w:rsidR="003353FC" w:rsidRPr="00FE6187">
        <w:rPr>
          <w:i/>
          <w:iCs/>
          <w:sz w:val="18"/>
          <w:szCs w:val="18"/>
          <w:vertAlign w:val="superscript"/>
        </w:rPr>
        <w:t>th</w:t>
      </w:r>
      <w:r w:rsidR="003353FC" w:rsidRPr="00FE6187">
        <w:rPr>
          <w:i/>
          <w:iCs/>
          <w:sz w:val="18"/>
          <w:szCs w:val="18"/>
        </w:rPr>
        <w:t xml:space="preserve"> International Academic Conference</w:t>
      </w:r>
      <w:r w:rsidR="003353FC" w:rsidRPr="00FE6187">
        <w:rPr>
          <w:sz w:val="18"/>
          <w:szCs w:val="18"/>
        </w:rPr>
        <w:t xml:space="preserve">, OECD Headquarters.    </w:t>
      </w:r>
      <w:r w:rsidR="00CA2F81" w:rsidRPr="00FE6187">
        <w:rPr>
          <w:sz w:val="18"/>
          <w:szCs w:val="18"/>
        </w:rPr>
        <w:t>No. 4106590,</w:t>
      </w:r>
      <w:r w:rsidR="003353FC" w:rsidRPr="00FE6187">
        <w:rPr>
          <w:sz w:val="18"/>
          <w:szCs w:val="18"/>
        </w:rPr>
        <w:t xml:space="preserve"> International Institute of Social and Economic Sciences.</w:t>
      </w:r>
    </w:p>
    <w:p w14:paraId="5E41A5B6" w14:textId="77777777" w:rsidR="003C2706" w:rsidRPr="00FE6187" w:rsidRDefault="00697E2D" w:rsidP="00A45E20">
      <w:pPr>
        <w:jc w:val="both"/>
        <w:rPr>
          <w:spacing w:val="-3"/>
          <w:sz w:val="18"/>
          <w:szCs w:val="18"/>
        </w:rPr>
      </w:pPr>
      <w:r w:rsidRPr="00FE6187">
        <w:rPr>
          <w:spacing w:val="-3"/>
          <w:sz w:val="18"/>
          <w:szCs w:val="18"/>
        </w:rPr>
        <w:t xml:space="preserve">Ghosh, Atish, Anne-Marie Gulde, and Holger Wolf. 2000. “Currency Boards: More than a Quick Fix?” </w:t>
      </w:r>
      <w:r w:rsidRPr="00FE6187">
        <w:rPr>
          <w:i/>
          <w:spacing w:val="-3"/>
          <w:sz w:val="18"/>
          <w:szCs w:val="18"/>
        </w:rPr>
        <w:t>Economic Policy</w:t>
      </w:r>
      <w:r w:rsidRPr="00FE6187">
        <w:rPr>
          <w:spacing w:val="-3"/>
          <w:sz w:val="18"/>
          <w:szCs w:val="18"/>
        </w:rPr>
        <w:t>, 31 (October):270-335.</w:t>
      </w:r>
    </w:p>
    <w:p w14:paraId="177F25B7" w14:textId="77777777" w:rsidR="003C2706" w:rsidRDefault="00A45E20" w:rsidP="00A45E20">
      <w:pPr>
        <w:rPr>
          <w:sz w:val="18"/>
          <w:szCs w:val="18"/>
        </w:rPr>
      </w:pPr>
      <w:r w:rsidRPr="00FE6187">
        <w:rPr>
          <w:rFonts w:cs="Arial"/>
          <w:color w:val="222222"/>
          <w:sz w:val="18"/>
          <w:szCs w:val="18"/>
          <w:shd w:val="clear" w:color="auto" w:fill="FFFFFF"/>
        </w:rPr>
        <w:t>Ghosh, Atish R., Jonathan  Ostry, and Mahvash Qureshi, 2015, "Exchange rate management and crisis susceptibility: A reassessment."</w:t>
      </w:r>
      <w:r w:rsidRPr="00FE6187">
        <w:rPr>
          <w:rStyle w:val="apple-converted-space"/>
          <w:rFonts w:cs="Arial"/>
          <w:color w:val="222222"/>
          <w:sz w:val="18"/>
          <w:szCs w:val="18"/>
          <w:shd w:val="clear" w:color="auto" w:fill="FFFFFF"/>
        </w:rPr>
        <w:t> </w:t>
      </w:r>
      <w:r w:rsidRPr="00FE6187">
        <w:rPr>
          <w:rFonts w:cs="Arial"/>
          <w:i/>
          <w:iCs/>
          <w:color w:val="222222"/>
          <w:sz w:val="18"/>
          <w:szCs w:val="18"/>
          <w:shd w:val="clear" w:color="auto" w:fill="FFFFFF"/>
        </w:rPr>
        <w:t>IMF Economic Review</w:t>
      </w:r>
      <w:r w:rsidRPr="00FE6187">
        <w:rPr>
          <w:rStyle w:val="apple-converted-space"/>
          <w:rFonts w:cs="Arial"/>
          <w:color w:val="222222"/>
          <w:sz w:val="18"/>
          <w:szCs w:val="18"/>
          <w:shd w:val="clear" w:color="auto" w:fill="FFFFFF"/>
        </w:rPr>
        <w:t> </w:t>
      </w:r>
      <w:r w:rsidRPr="00FE6187">
        <w:rPr>
          <w:rFonts w:cs="Arial"/>
          <w:color w:val="222222"/>
          <w:sz w:val="18"/>
          <w:szCs w:val="18"/>
          <w:shd w:val="clear" w:color="auto" w:fill="FFFFFF"/>
        </w:rPr>
        <w:t>63.1, May, pp. 238-276</w:t>
      </w:r>
      <w:r w:rsidR="003C2706" w:rsidRPr="00FE6187">
        <w:rPr>
          <w:sz w:val="18"/>
          <w:szCs w:val="18"/>
        </w:rPr>
        <w:t>.</w:t>
      </w:r>
    </w:p>
    <w:p w14:paraId="03D694DB" w14:textId="77777777" w:rsidR="00077A79" w:rsidRPr="00077A79" w:rsidRDefault="00077A79" w:rsidP="00A45E20">
      <w:pPr>
        <w:rPr>
          <w:sz w:val="18"/>
          <w:szCs w:val="18"/>
        </w:rPr>
      </w:pPr>
      <w:r w:rsidRPr="00077A79">
        <w:rPr>
          <w:sz w:val="18"/>
          <w:szCs w:val="18"/>
        </w:rPr>
        <w:t xml:space="preserve">Girton, Lance and Don Roper. 1977. “A Monetary Model of Exchange Market Pressure Applied to the Postwar Canadian Experience.” </w:t>
      </w:r>
      <w:r w:rsidRPr="00077A79">
        <w:rPr>
          <w:i/>
          <w:sz w:val="18"/>
          <w:szCs w:val="18"/>
        </w:rPr>
        <w:t>American Economic Review</w:t>
      </w:r>
      <w:r w:rsidRPr="00077A79">
        <w:rPr>
          <w:sz w:val="18"/>
          <w:szCs w:val="18"/>
        </w:rPr>
        <w:t xml:space="preserve"> 67(4): 537–48.</w:t>
      </w:r>
    </w:p>
    <w:p w14:paraId="5A1951F3" w14:textId="77777777" w:rsidR="00620939" w:rsidRPr="00FE6187" w:rsidRDefault="00620939" w:rsidP="00A45E20">
      <w:pPr>
        <w:rPr>
          <w:sz w:val="18"/>
          <w:szCs w:val="18"/>
        </w:rPr>
      </w:pPr>
      <w:r w:rsidRPr="00FE6187">
        <w:rPr>
          <w:rFonts w:ascii="Arial" w:hAnsi="Arial" w:cs="Arial"/>
          <w:color w:val="222222"/>
          <w:sz w:val="18"/>
          <w:szCs w:val="18"/>
          <w:shd w:val="clear" w:color="auto" w:fill="FFFFFF"/>
        </w:rPr>
        <w:t>Helpman, Elhanan, and Assaf Razin, 1982,. "A comparison of exchange rate regimes in the presence of imperfect capital markets."</w:t>
      </w:r>
      <w:r w:rsidRPr="00FE6187">
        <w:rPr>
          <w:rStyle w:val="apple-converted-space"/>
          <w:rFonts w:ascii="Arial" w:hAnsi="Arial" w:cs="Arial"/>
          <w:color w:val="222222"/>
          <w:sz w:val="18"/>
          <w:szCs w:val="18"/>
          <w:shd w:val="clear" w:color="auto" w:fill="FFFFFF"/>
        </w:rPr>
        <w:t> </w:t>
      </w:r>
      <w:r w:rsidRPr="00FE6187">
        <w:rPr>
          <w:rFonts w:ascii="Arial" w:hAnsi="Arial" w:cs="Arial"/>
          <w:i/>
          <w:iCs/>
          <w:color w:val="222222"/>
          <w:sz w:val="18"/>
          <w:szCs w:val="18"/>
          <w:shd w:val="clear" w:color="auto" w:fill="FFFFFF"/>
        </w:rPr>
        <w:t>International Economic Review, pp.</w:t>
      </w:r>
      <w:r w:rsidRPr="00FE6187">
        <w:rPr>
          <w:rFonts w:ascii="Arial" w:hAnsi="Arial" w:cs="Arial"/>
          <w:color w:val="222222"/>
          <w:sz w:val="18"/>
          <w:szCs w:val="18"/>
          <w:shd w:val="clear" w:color="auto" w:fill="FFFFFF"/>
        </w:rPr>
        <w:t>: 365-388.</w:t>
      </w:r>
    </w:p>
    <w:p w14:paraId="1869C08E" w14:textId="77777777" w:rsidR="005F5EAF" w:rsidRPr="00FE6187" w:rsidRDefault="005F5EAF" w:rsidP="00EC684C">
      <w:pPr>
        <w:rPr>
          <w:sz w:val="18"/>
          <w:szCs w:val="18"/>
        </w:rPr>
      </w:pPr>
      <w:r w:rsidRPr="00FE6187">
        <w:rPr>
          <w:sz w:val="18"/>
          <w:szCs w:val="18"/>
        </w:rPr>
        <w:t>Humpage, Owen F. 1999. "US Intervention: Assessing the Probability of Success." Journal of Money, Credit and Banking, 31(4), 732-747.</w:t>
      </w:r>
    </w:p>
    <w:p w14:paraId="2C0CC2EE" w14:textId="77777777" w:rsidR="00FF05E5" w:rsidRPr="00FE6187" w:rsidRDefault="00EC684C" w:rsidP="00155D83">
      <w:pPr>
        <w:rPr>
          <w:sz w:val="18"/>
          <w:szCs w:val="18"/>
        </w:rPr>
      </w:pPr>
      <w:r w:rsidRPr="00FE6187">
        <w:rPr>
          <w:sz w:val="18"/>
          <w:szCs w:val="18"/>
        </w:rPr>
        <w:t>Ilzetzki, Ethan, Carmen Reinhart, Kenneth Rogoff, 2017, “Exchange Arrangements Entering the 21st Century: Which Anchor Will Hold?” NBER WP No. 23134, Feb.</w:t>
      </w:r>
      <w:r w:rsidR="00FF05E5" w:rsidRPr="00FE6187">
        <w:rPr>
          <w:sz w:val="18"/>
          <w:szCs w:val="18"/>
        </w:rPr>
        <w:br/>
      </w:r>
      <w:r w:rsidR="00155D83" w:rsidRPr="00FE6187">
        <w:rPr>
          <w:sz w:val="18"/>
          <w:szCs w:val="18"/>
        </w:rPr>
        <w:br/>
      </w:r>
      <w:r w:rsidR="00FF05E5" w:rsidRPr="00FE6187">
        <w:rPr>
          <w:sz w:val="18"/>
          <w:szCs w:val="18"/>
        </w:rPr>
        <w:t xml:space="preserve">Ito, Takatoshi. 2001. </w:t>
      </w:r>
      <w:r w:rsidR="00155D83" w:rsidRPr="00FE6187">
        <w:rPr>
          <w:sz w:val="18"/>
          <w:szCs w:val="18"/>
        </w:rPr>
        <w:t>“</w:t>
      </w:r>
      <w:r w:rsidR="00FF05E5" w:rsidRPr="00FE6187">
        <w:rPr>
          <w:sz w:val="18"/>
          <w:szCs w:val="18"/>
        </w:rPr>
        <w:t>Discussion of the Case for a Basket, Band and Crawl (BBC) Regime for East Asia</w:t>
      </w:r>
      <w:r w:rsidR="00155D83" w:rsidRPr="00FE6187">
        <w:rPr>
          <w:sz w:val="18"/>
          <w:szCs w:val="18"/>
        </w:rPr>
        <w:t xml:space="preserve">,” </w:t>
      </w:r>
      <w:r w:rsidR="00FF05E5" w:rsidRPr="00FE6187">
        <w:rPr>
          <w:i/>
          <w:sz w:val="18"/>
          <w:szCs w:val="18"/>
        </w:rPr>
        <w:t>Future Directions for Monetary Policies in East Asia</w:t>
      </w:r>
      <w:r w:rsidR="00FF05E5" w:rsidRPr="00FE6187">
        <w:rPr>
          <w:sz w:val="18"/>
          <w:szCs w:val="18"/>
        </w:rPr>
        <w:t>, edited by David Gruen and John Simon (Sydney: Reserve Bank of Australia).</w:t>
      </w:r>
    </w:p>
    <w:p w14:paraId="009EF8E9" w14:textId="77777777" w:rsidR="005B2A31" w:rsidRPr="00FE6187" w:rsidRDefault="005B2A31" w:rsidP="005B2A31">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t>Ito, Takatoshi. 2003</w:t>
      </w:r>
      <w:r w:rsidRPr="00FE6187">
        <w:rPr>
          <w:rFonts w:cs="Times New Roman"/>
          <w:i/>
          <w:noProof/>
          <w:color w:val="000000" w:themeColor="text1"/>
          <w:sz w:val="18"/>
          <w:szCs w:val="18"/>
        </w:rPr>
        <w:t xml:space="preserve">. </w:t>
      </w:r>
      <w:r w:rsidR="0026584A" w:rsidRPr="00FE6187">
        <w:rPr>
          <w:rFonts w:cs="Times New Roman"/>
          <w:i/>
          <w:noProof/>
          <w:color w:val="000000" w:themeColor="text1"/>
          <w:sz w:val="18"/>
          <w:szCs w:val="18"/>
        </w:rPr>
        <w:t>“</w:t>
      </w:r>
      <w:r w:rsidRPr="00FE6187">
        <w:rPr>
          <w:rFonts w:cs="Times New Roman"/>
          <w:noProof/>
          <w:color w:val="000000" w:themeColor="text1"/>
          <w:sz w:val="18"/>
          <w:szCs w:val="18"/>
        </w:rPr>
        <w:t>Is Foreign Exchange Intervention Effective: The J</w:t>
      </w:r>
      <w:r w:rsidR="0026584A" w:rsidRPr="00FE6187">
        <w:rPr>
          <w:rFonts w:cs="Times New Roman"/>
          <w:noProof/>
          <w:color w:val="000000" w:themeColor="text1"/>
          <w:sz w:val="18"/>
          <w:szCs w:val="18"/>
        </w:rPr>
        <w:t>apanese Experience in the 1990s,</w:t>
      </w:r>
      <w:r w:rsidR="0026584A" w:rsidRPr="00FE6187">
        <w:rPr>
          <w:rFonts w:cs="Times New Roman"/>
          <w:i/>
          <w:noProof/>
          <w:color w:val="000000" w:themeColor="text1"/>
          <w:sz w:val="18"/>
          <w:szCs w:val="18"/>
        </w:rPr>
        <w:t xml:space="preserve">” </w:t>
      </w:r>
      <w:r w:rsidR="0026584A" w:rsidRPr="00FE6187">
        <w:rPr>
          <w:rFonts w:cs="Times New Roman"/>
          <w:noProof/>
          <w:color w:val="000000" w:themeColor="text1"/>
          <w:sz w:val="18"/>
          <w:szCs w:val="18"/>
        </w:rPr>
        <w:t>in</w:t>
      </w:r>
      <w:r w:rsidRPr="00FE6187">
        <w:rPr>
          <w:rFonts w:cs="Times New Roman"/>
          <w:noProof/>
          <w:color w:val="000000" w:themeColor="text1"/>
          <w:sz w:val="18"/>
          <w:szCs w:val="18"/>
        </w:rPr>
        <w:t xml:space="preserve"> Paul </w:t>
      </w:r>
      <w:r w:rsidRPr="00FE6187">
        <w:rPr>
          <w:rFonts w:cs="Times New Roman"/>
          <w:color w:val="000000"/>
          <w:sz w:val="18"/>
          <w:szCs w:val="18"/>
        </w:rPr>
        <w:t xml:space="preserve">Mizen (ed.) </w:t>
      </w:r>
      <w:r w:rsidRPr="00FE6187">
        <w:rPr>
          <w:rFonts w:cs="Times New Roman"/>
          <w:i/>
          <w:color w:val="000000"/>
          <w:sz w:val="18"/>
          <w:szCs w:val="18"/>
        </w:rPr>
        <w:t>Monetary History, Exchange Rates and Financial Markets, Essays in Honour of Charles Goodhart</w:t>
      </w:r>
      <w:r w:rsidRPr="00FE6187">
        <w:rPr>
          <w:rFonts w:cs="Times New Roman"/>
          <w:color w:val="000000"/>
          <w:sz w:val="18"/>
          <w:szCs w:val="18"/>
        </w:rPr>
        <w:t>, Volume 2. (Cheltenham U.K.: Edward Elgar Publishers</w:t>
      </w:r>
      <w:r w:rsidR="0026584A" w:rsidRPr="00FE6187">
        <w:rPr>
          <w:rFonts w:cs="Times New Roman"/>
          <w:color w:val="000000"/>
          <w:sz w:val="18"/>
          <w:szCs w:val="18"/>
        </w:rPr>
        <w:t>)</w:t>
      </w:r>
      <w:r w:rsidRPr="00FE6187">
        <w:rPr>
          <w:rFonts w:cs="Times New Roman"/>
          <w:noProof/>
          <w:color w:val="000000" w:themeColor="text1"/>
          <w:sz w:val="18"/>
          <w:szCs w:val="18"/>
        </w:rPr>
        <w:t xml:space="preserve">. </w:t>
      </w:r>
    </w:p>
    <w:p w14:paraId="6DBFAAF4" w14:textId="77777777" w:rsidR="0026584A" w:rsidRPr="00FE6187" w:rsidRDefault="0026584A" w:rsidP="0026584A">
      <w:pPr>
        <w:spacing w:before="80" w:after="0" w:line="240" w:lineRule="auto"/>
        <w:rPr>
          <w:rFonts w:cs="Times New Roman"/>
          <w:color w:val="000000" w:themeColor="text1"/>
          <w:sz w:val="18"/>
          <w:szCs w:val="18"/>
        </w:rPr>
      </w:pPr>
    </w:p>
    <w:p w14:paraId="6D0E4834" w14:textId="77777777" w:rsidR="001E555A" w:rsidRPr="00FE6187" w:rsidRDefault="001E555A" w:rsidP="00EC684C">
      <w:pPr>
        <w:rPr>
          <w:sz w:val="18"/>
          <w:szCs w:val="18"/>
        </w:rPr>
      </w:pPr>
      <w:r w:rsidRPr="00FE6187">
        <w:rPr>
          <w:sz w:val="18"/>
          <w:szCs w:val="18"/>
        </w:rPr>
        <w:t xml:space="preserve">Jeanne, Olivier and Romain Rancière, 2011, "The Optimal Level of International Reserves for Emerging Market Countries: A New Formula and Some Applications." </w:t>
      </w:r>
      <w:r w:rsidRPr="00FE6187">
        <w:rPr>
          <w:i/>
          <w:sz w:val="18"/>
          <w:szCs w:val="18"/>
        </w:rPr>
        <w:t>Economic Journal</w:t>
      </w:r>
      <w:r w:rsidRPr="00FE6187">
        <w:rPr>
          <w:sz w:val="18"/>
          <w:szCs w:val="18"/>
        </w:rPr>
        <w:t>, 121(555), 905-30.</w:t>
      </w:r>
    </w:p>
    <w:p w14:paraId="57F4D81E" w14:textId="77777777" w:rsidR="00F566D3" w:rsidRPr="00FE6187" w:rsidRDefault="00F566D3" w:rsidP="00EC684C">
      <w:pPr>
        <w:rPr>
          <w:rFonts w:cstheme="minorHAnsi"/>
          <w:color w:val="222222"/>
          <w:sz w:val="18"/>
          <w:szCs w:val="18"/>
          <w:shd w:val="clear" w:color="auto" w:fill="FFFFFF"/>
        </w:rPr>
      </w:pPr>
      <w:r w:rsidRPr="00FE6187">
        <w:rPr>
          <w:rFonts w:cstheme="minorHAnsi"/>
          <w:color w:val="222222"/>
          <w:sz w:val="18"/>
          <w:szCs w:val="18"/>
          <w:shd w:val="clear" w:color="auto" w:fill="FFFFFF"/>
        </w:rPr>
        <w:t>Kaminsky, Graciela L., Carmen M. Reinhart, and Carlos A. Végh, 2005, "When It Rains It Pours: Procyclical Capital Flows and Macroeconomic Policies,"</w:t>
      </w:r>
      <w:r w:rsidRPr="00FE6187">
        <w:rPr>
          <w:rStyle w:val="apple-converted-space"/>
          <w:rFonts w:cstheme="minorHAnsi"/>
          <w:color w:val="222222"/>
          <w:sz w:val="18"/>
          <w:szCs w:val="18"/>
          <w:shd w:val="clear" w:color="auto" w:fill="FFFFFF"/>
        </w:rPr>
        <w:t> </w:t>
      </w:r>
      <w:r w:rsidRPr="00FE6187">
        <w:rPr>
          <w:rFonts w:cstheme="minorHAnsi"/>
          <w:i/>
          <w:iCs/>
          <w:color w:val="222222"/>
          <w:sz w:val="18"/>
          <w:szCs w:val="18"/>
          <w:shd w:val="clear" w:color="auto" w:fill="FFFFFF"/>
        </w:rPr>
        <w:t>NBER Macroeconomics Annual 2004, Volume 19</w:t>
      </w:r>
      <w:r w:rsidRPr="00FE6187">
        <w:rPr>
          <w:rFonts w:cstheme="minorHAnsi"/>
          <w:color w:val="222222"/>
          <w:sz w:val="18"/>
          <w:szCs w:val="18"/>
          <w:shd w:val="clear" w:color="auto" w:fill="FFFFFF"/>
        </w:rPr>
        <w:t xml:space="preserve"> (MIT Press): 11-82.</w:t>
      </w:r>
    </w:p>
    <w:p w14:paraId="6713E005" w14:textId="77777777" w:rsidR="00603F0E" w:rsidRPr="00FE6187" w:rsidRDefault="00603F0E" w:rsidP="00EC684C">
      <w:pPr>
        <w:rPr>
          <w:sz w:val="18"/>
          <w:szCs w:val="18"/>
        </w:rPr>
      </w:pPr>
      <w:r w:rsidRPr="00FE6187">
        <w:rPr>
          <w:sz w:val="18"/>
          <w:szCs w:val="18"/>
        </w:rPr>
        <w:t xml:space="preserve">Kearns, Jonathan and Roberto Rigobon, 2005, “Identifying the Efficacy of Central Bank Interventions: Evidence from Australia and Japan.” </w:t>
      </w:r>
      <w:r w:rsidRPr="00FE6187">
        <w:rPr>
          <w:i/>
          <w:sz w:val="18"/>
          <w:szCs w:val="18"/>
        </w:rPr>
        <w:t>Journal of International Economics</w:t>
      </w:r>
      <w:r w:rsidRPr="00FE6187">
        <w:rPr>
          <w:sz w:val="18"/>
          <w:szCs w:val="18"/>
        </w:rPr>
        <w:t>, 66(1), 31-48.</w:t>
      </w:r>
    </w:p>
    <w:p w14:paraId="008619F4" w14:textId="77777777" w:rsidR="006C3DF9" w:rsidRPr="00FE6187" w:rsidRDefault="00BE6226" w:rsidP="00BE6226">
      <w:pPr>
        <w:spacing w:line="240" w:lineRule="auto"/>
        <w:jc w:val="both"/>
        <w:rPr>
          <w:sz w:val="18"/>
          <w:szCs w:val="18"/>
        </w:rPr>
      </w:pPr>
      <w:r w:rsidRPr="00FE6187">
        <w:rPr>
          <w:sz w:val="18"/>
          <w:szCs w:val="18"/>
        </w:rPr>
        <w:t xml:space="preserve">Klein, Michael, and Nancy Marion. 1997. </w:t>
      </w:r>
      <w:r w:rsidR="005B0E15" w:rsidRPr="00FE6187">
        <w:rPr>
          <w:sz w:val="18"/>
          <w:szCs w:val="18"/>
        </w:rPr>
        <w:t>“</w:t>
      </w:r>
      <w:r w:rsidRPr="00FE6187">
        <w:rPr>
          <w:sz w:val="18"/>
          <w:szCs w:val="18"/>
        </w:rPr>
        <w:t>Explaining the Duration of Exchange-Rate Pegs</w:t>
      </w:r>
      <w:r w:rsidR="005B0E15" w:rsidRPr="00FE6187">
        <w:rPr>
          <w:sz w:val="18"/>
          <w:szCs w:val="18"/>
        </w:rPr>
        <w:t>,”</w:t>
      </w:r>
      <w:r w:rsidRPr="00FE6187">
        <w:rPr>
          <w:sz w:val="18"/>
          <w:szCs w:val="18"/>
        </w:rPr>
        <w:t xml:space="preserve"> </w:t>
      </w:r>
      <w:r w:rsidRPr="00FE6187">
        <w:rPr>
          <w:i/>
          <w:sz w:val="18"/>
          <w:szCs w:val="18"/>
        </w:rPr>
        <w:t>Journal of Development Economics</w:t>
      </w:r>
      <w:r w:rsidRPr="00FE6187">
        <w:rPr>
          <w:sz w:val="18"/>
          <w:szCs w:val="18"/>
        </w:rPr>
        <w:t xml:space="preserve"> 54(2):387-404.</w:t>
      </w:r>
    </w:p>
    <w:p w14:paraId="339E5BF7" w14:textId="77777777" w:rsidR="00CE0CA3" w:rsidRPr="00FE6187" w:rsidRDefault="00CE0CA3" w:rsidP="00BE6226">
      <w:pPr>
        <w:spacing w:line="240" w:lineRule="auto"/>
        <w:jc w:val="both"/>
        <w:rPr>
          <w:sz w:val="18"/>
          <w:szCs w:val="18"/>
        </w:rPr>
      </w:pPr>
      <w:r w:rsidRPr="00FE6187">
        <w:rPr>
          <w:rFonts w:ascii="Arial" w:hAnsi="Arial" w:cs="Arial"/>
          <w:color w:val="222222"/>
          <w:sz w:val="18"/>
          <w:szCs w:val="18"/>
          <w:shd w:val="clear" w:color="auto" w:fill="FFFFFF"/>
        </w:rPr>
        <w:t>Klein, Michael, and Jay Shambaugh, 2012,</w:t>
      </w:r>
      <w:r w:rsidRPr="00FE6187">
        <w:rPr>
          <w:rStyle w:val="apple-converted-space"/>
          <w:rFonts w:ascii="Arial" w:hAnsi="Arial" w:cs="Arial"/>
          <w:color w:val="222222"/>
          <w:sz w:val="18"/>
          <w:szCs w:val="18"/>
          <w:shd w:val="clear" w:color="auto" w:fill="FFFFFF"/>
        </w:rPr>
        <w:t> </w:t>
      </w:r>
      <w:r w:rsidRPr="00FE6187">
        <w:rPr>
          <w:rFonts w:ascii="Arial" w:hAnsi="Arial" w:cs="Arial"/>
          <w:i/>
          <w:iCs/>
          <w:color w:val="222222"/>
          <w:sz w:val="18"/>
          <w:szCs w:val="18"/>
          <w:shd w:val="clear" w:color="auto" w:fill="FFFFFF"/>
        </w:rPr>
        <w:t>Exchange rate regimes in the modern era</w:t>
      </w:r>
      <w:r w:rsidRPr="00FE6187">
        <w:rPr>
          <w:rFonts w:ascii="Arial" w:hAnsi="Arial" w:cs="Arial"/>
          <w:color w:val="222222"/>
          <w:sz w:val="18"/>
          <w:szCs w:val="18"/>
          <w:shd w:val="clear" w:color="auto" w:fill="FFFFFF"/>
        </w:rPr>
        <w:t>. (MIT Press: Cambridge).</w:t>
      </w:r>
    </w:p>
    <w:p w14:paraId="5D3AE0A8" w14:textId="77777777" w:rsidR="005E2990" w:rsidRPr="00FE6187" w:rsidRDefault="00766585" w:rsidP="005B0E15">
      <w:pPr>
        <w:spacing w:line="240" w:lineRule="auto"/>
        <w:rPr>
          <w:rFonts w:cs="Arial"/>
          <w:color w:val="000000" w:themeColor="text1"/>
          <w:sz w:val="18"/>
          <w:szCs w:val="18"/>
          <w:shd w:val="clear" w:color="auto" w:fill="FFFFFF"/>
        </w:rPr>
      </w:pPr>
      <w:r w:rsidRPr="00FE6187">
        <w:rPr>
          <w:rFonts w:cs="Arial"/>
          <w:color w:val="000000" w:themeColor="text1"/>
          <w:sz w:val="18"/>
          <w:szCs w:val="18"/>
          <w:shd w:val="clear" w:color="auto" w:fill="FFFFFF"/>
        </w:rPr>
        <w:t>Klein,</w:t>
      </w:r>
      <w:r w:rsidR="005B0E15" w:rsidRPr="00FE6187">
        <w:rPr>
          <w:rFonts w:cs="Arial"/>
          <w:color w:val="000000" w:themeColor="text1"/>
          <w:sz w:val="18"/>
          <w:szCs w:val="18"/>
          <w:shd w:val="clear" w:color="auto" w:fill="FFFFFF"/>
        </w:rPr>
        <w:t xml:space="preserve"> Michael and Jay Shambaugh, 2015</w:t>
      </w:r>
      <w:r w:rsidRPr="00FE6187">
        <w:rPr>
          <w:rFonts w:cs="Arial"/>
          <w:color w:val="000000" w:themeColor="text1"/>
          <w:sz w:val="18"/>
          <w:szCs w:val="18"/>
          <w:shd w:val="clear" w:color="auto" w:fill="FFFFFF"/>
        </w:rPr>
        <w:t>.</w:t>
      </w:r>
      <w:r w:rsidR="005B0E15" w:rsidRPr="00FE6187">
        <w:rPr>
          <w:rFonts w:cs="Arial"/>
          <w:color w:val="000000" w:themeColor="text1"/>
          <w:sz w:val="18"/>
          <w:szCs w:val="18"/>
          <w:shd w:val="clear" w:color="auto" w:fill="FFFFFF"/>
        </w:rPr>
        <w:t xml:space="preserve"> </w:t>
      </w:r>
      <w:r w:rsidRPr="00FE6187">
        <w:rPr>
          <w:rFonts w:cs="Arial"/>
          <w:color w:val="000000" w:themeColor="text1"/>
          <w:sz w:val="18"/>
          <w:szCs w:val="18"/>
          <w:shd w:val="clear" w:color="auto" w:fill="FFFFFF"/>
        </w:rPr>
        <w:t xml:space="preserve"> “</w:t>
      </w:r>
      <w:r w:rsidR="005B0E15" w:rsidRPr="00FE6187">
        <w:rPr>
          <w:rFonts w:cs="Arial"/>
          <w:color w:val="222222"/>
          <w:sz w:val="18"/>
          <w:szCs w:val="18"/>
          <w:shd w:val="clear" w:color="auto" w:fill="FFFFFF"/>
        </w:rPr>
        <w:t xml:space="preserve">Rounding the Corners of the Policy Trilemma: Sources of monetary policy autonomy,” Feb.   NBER WP </w:t>
      </w:r>
      <w:r w:rsidR="005B0E15" w:rsidRPr="00FE6187">
        <w:rPr>
          <w:rFonts w:cs="Arial"/>
          <w:color w:val="000000" w:themeColor="text1"/>
          <w:sz w:val="18"/>
          <w:szCs w:val="18"/>
          <w:shd w:val="clear" w:color="auto" w:fill="FFFFFF"/>
        </w:rPr>
        <w:t>19461.</w:t>
      </w:r>
    </w:p>
    <w:p w14:paraId="36C96EC7" w14:textId="77777777" w:rsidR="005E7BC6" w:rsidRPr="00FE6187" w:rsidRDefault="005E7BC6" w:rsidP="005E7BC6">
      <w:pPr>
        <w:spacing w:line="240" w:lineRule="auto"/>
        <w:jc w:val="both"/>
        <w:rPr>
          <w:sz w:val="18"/>
          <w:szCs w:val="18"/>
        </w:rPr>
      </w:pPr>
      <w:r w:rsidRPr="00FE6187">
        <w:rPr>
          <w:sz w:val="18"/>
          <w:szCs w:val="18"/>
        </w:rPr>
        <w:t>Krugman, Paul, 1991, “Target Zones and Exchange Rate Dynamics,”</w:t>
      </w:r>
      <w:r w:rsidRPr="00FE6187">
        <w:rPr>
          <w:i/>
          <w:sz w:val="18"/>
          <w:szCs w:val="18"/>
        </w:rPr>
        <w:t>uarterly Journal of Economics,</w:t>
      </w:r>
      <w:r w:rsidRPr="00FE6187">
        <w:rPr>
          <w:sz w:val="18"/>
          <w:szCs w:val="18"/>
        </w:rPr>
        <w:t xml:space="preserve"> 106: 669-682.</w:t>
      </w:r>
    </w:p>
    <w:p w14:paraId="68AB8D13" w14:textId="77777777" w:rsidR="005E7BC6" w:rsidRPr="00FE6187" w:rsidRDefault="005E7BC6" w:rsidP="005E7BC6">
      <w:pPr>
        <w:spacing w:line="240" w:lineRule="auto"/>
        <w:jc w:val="both"/>
        <w:rPr>
          <w:snapToGrid w:val="0"/>
          <w:color w:val="000000"/>
          <w:sz w:val="18"/>
          <w:szCs w:val="18"/>
        </w:rPr>
      </w:pPr>
      <w:r w:rsidRPr="00FE6187">
        <w:rPr>
          <w:snapToGrid w:val="0"/>
          <w:color w:val="000000"/>
          <w:sz w:val="18"/>
          <w:szCs w:val="18"/>
        </w:rPr>
        <w:t xml:space="preserve">Larrain, Felipe, and Andres Velasco. 2001. Exchange Rate Policy in Emerging Markets: The Case for Floating. </w:t>
      </w:r>
      <w:r w:rsidRPr="00FE6187">
        <w:rPr>
          <w:i/>
          <w:snapToGrid w:val="0"/>
          <w:color w:val="000000"/>
          <w:sz w:val="18"/>
          <w:szCs w:val="18"/>
        </w:rPr>
        <w:t xml:space="preserve">Studies in International Economics no. </w:t>
      </w:r>
      <w:r w:rsidRPr="00FE6187">
        <w:rPr>
          <w:snapToGrid w:val="0"/>
          <w:color w:val="000000"/>
          <w:sz w:val="18"/>
          <w:szCs w:val="18"/>
        </w:rPr>
        <w:t xml:space="preserve">224 (Princeton NJ: Princeton University Press). </w:t>
      </w:r>
    </w:p>
    <w:p w14:paraId="1850085E" w14:textId="77777777" w:rsidR="005E7BC6" w:rsidRPr="00FE6187" w:rsidRDefault="005E7BC6" w:rsidP="005E7BC6">
      <w:pPr>
        <w:spacing w:line="240" w:lineRule="auto"/>
        <w:rPr>
          <w:sz w:val="18"/>
          <w:szCs w:val="18"/>
        </w:rPr>
      </w:pPr>
      <w:r w:rsidRPr="00FE6187">
        <w:rPr>
          <w:sz w:val="18"/>
          <w:szCs w:val="18"/>
        </w:rPr>
        <w:t xml:space="preserve">Levy Yeyati, Eduardo, and Federico Sturzenegger, 2001, “Exchange Rate Regimes and Economic Performance,” </w:t>
      </w:r>
      <w:r w:rsidRPr="00FE6187">
        <w:rPr>
          <w:i/>
          <w:sz w:val="18"/>
          <w:szCs w:val="18"/>
        </w:rPr>
        <w:t>IMF Staff Papers</w:t>
      </w:r>
      <w:r w:rsidRPr="00FE6187">
        <w:rPr>
          <w:sz w:val="18"/>
          <w:szCs w:val="18"/>
        </w:rPr>
        <w:t xml:space="preserve"> (February). </w:t>
      </w:r>
    </w:p>
    <w:p w14:paraId="515DB84B" w14:textId="77777777" w:rsidR="005E7BC6" w:rsidRPr="00FE6187" w:rsidRDefault="005E7BC6" w:rsidP="003500D5">
      <w:pPr>
        <w:spacing w:line="240" w:lineRule="auto"/>
        <w:rPr>
          <w:sz w:val="18"/>
          <w:szCs w:val="18"/>
        </w:rPr>
      </w:pPr>
      <w:r w:rsidRPr="00FE6187">
        <w:rPr>
          <w:sz w:val="18"/>
          <w:szCs w:val="18"/>
        </w:rPr>
        <w:t xml:space="preserve">Levy-Yeyati, Eduardo, and Federico Sturzenegger, 2003, “To Float or to Trail: Evidence on the Impact of Exchange Rate Regimes on Growth,” </w:t>
      </w:r>
      <w:r w:rsidRPr="00FE6187">
        <w:rPr>
          <w:i/>
          <w:iCs/>
          <w:sz w:val="18"/>
          <w:szCs w:val="18"/>
        </w:rPr>
        <w:t>American Economic Review, </w:t>
      </w:r>
      <w:r w:rsidR="003500D5" w:rsidRPr="00FE6187">
        <w:rPr>
          <w:sz w:val="18"/>
          <w:szCs w:val="18"/>
        </w:rPr>
        <w:t>93(4), Sept. 1173–1193.</w:t>
      </w:r>
    </w:p>
    <w:p w14:paraId="1373ED4A" w14:textId="77777777" w:rsidR="00041FDE" w:rsidRPr="00FE6187" w:rsidRDefault="00041FDE" w:rsidP="003500D5">
      <w:pPr>
        <w:spacing w:line="240" w:lineRule="auto"/>
        <w:rPr>
          <w:color w:val="333333"/>
          <w:spacing w:val="2"/>
          <w:sz w:val="18"/>
          <w:szCs w:val="18"/>
          <w:shd w:val="clear" w:color="auto" w:fill="FCFCFC"/>
        </w:rPr>
      </w:pPr>
      <w:r w:rsidRPr="00FE6187">
        <w:rPr>
          <w:color w:val="333333"/>
          <w:spacing w:val="2"/>
          <w:sz w:val="18"/>
          <w:szCs w:val="18"/>
          <w:shd w:val="clear" w:color="auto" w:fill="FCFCFC"/>
        </w:rPr>
        <w:lastRenderedPageBreak/>
        <w:t xml:space="preserve">Levy-Yeyati, E. and F. Sturzenegger, 2005, “Classifying Exchange Rate Regimes: Deeds vs. Words,” </w:t>
      </w:r>
      <w:r w:rsidRPr="00FE6187">
        <w:rPr>
          <w:i/>
          <w:color w:val="333333"/>
          <w:spacing w:val="2"/>
          <w:sz w:val="18"/>
          <w:szCs w:val="18"/>
          <w:shd w:val="clear" w:color="auto" w:fill="FCFCFC"/>
        </w:rPr>
        <w:t>European Economic Review</w:t>
      </w:r>
      <w:r w:rsidRPr="00FE6187">
        <w:rPr>
          <w:color w:val="333333"/>
          <w:spacing w:val="2"/>
          <w:sz w:val="18"/>
          <w:szCs w:val="18"/>
          <w:shd w:val="clear" w:color="auto" w:fill="FCFCFC"/>
        </w:rPr>
        <w:t>, Vol. 49, No. 6, pp. 1603–1635.</w:t>
      </w:r>
    </w:p>
    <w:p w14:paraId="6162F3C4" w14:textId="77777777" w:rsidR="003363A0" w:rsidRPr="00FE6187" w:rsidRDefault="003363A0" w:rsidP="003500D5">
      <w:pPr>
        <w:spacing w:line="240" w:lineRule="auto"/>
        <w:rPr>
          <w:sz w:val="18"/>
          <w:szCs w:val="18"/>
        </w:rPr>
      </w:pPr>
      <w:r w:rsidRPr="00FE6187">
        <w:rPr>
          <w:rFonts w:cs="Arial"/>
          <w:color w:val="222222"/>
          <w:sz w:val="18"/>
          <w:szCs w:val="18"/>
          <w:shd w:val="clear" w:color="auto" w:fill="FFFFFF"/>
        </w:rPr>
        <w:t>Magud, Nicolas E., Carmen M. Reinhart, and Esteban R. Vesperoni. 2014, "Capital inflows, exchange rate flexibility and credit booms."</w:t>
      </w:r>
      <w:r w:rsidRPr="00FE6187">
        <w:rPr>
          <w:rStyle w:val="apple-converted-space"/>
          <w:rFonts w:cs="Arial"/>
          <w:color w:val="222222"/>
          <w:sz w:val="18"/>
          <w:szCs w:val="18"/>
          <w:shd w:val="clear" w:color="auto" w:fill="FFFFFF"/>
        </w:rPr>
        <w:t> </w:t>
      </w:r>
      <w:r w:rsidRPr="00FE6187">
        <w:rPr>
          <w:rFonts w:cs="Arial"/>
          <w:i/>
          <w:iCs/>
          <w:color w:val="222222"/>
          <w:sz w:val="18"/>
          <w:szCs w:val="18"/>
          <w:shd w:val="clear" w:color="auto" w:fill="FFFFFF"/>
        </w:rPr>
        <w:t>Review of Development Economics</w:t>
      </w:r>
      <w:r w:rsidRPr="00FE6187">
        <w:rPr>
          <w:rStyle w:val="apple-converted-space"/>
          <w:rFonts w:cs="Arial"/>
          <w:color w:val="222222"/>
          <w:sz w:val="18"/>
          <w:szCs w:val="18"/>
          <w:shd w:val="clear" w:color="auto" w:fill="FFFFFF"/>
        </w:rPr>
        <w:t> </w:t>
      </w:r>
      <w:r w:rsidRPr="00FE6187">
        <w:rPr>
          <w:rFonts w:cs="Arial"/>
          <w:color w:val="222222"/>
          <w:sz w:val="18"/>
          <w:szCs w:val="18"/>
          <w:shd w:val="clear" w:color="auto" w:fill="FFFFFF"/>
        </w:rPr>
        <w:t>18.3: 415-430.</w:t>
      </w:r>
    </w:p>
    <w:p w14:paraId="2C2E95C6" w14:textId="77777777" w:rsidR="005E2990" w:rsidRPr="00FE6187" w:rsidRDefault="00901019" w:rsidP="003500D5">
      <w:pPr>
        <w:jc w:val="both"/>
        <w:rPr>
          <w:sz w:val="18"/>
          <w:szCs w:val="18"/>
        </w:rPr>
      </w:pPr>
      <w:r w:rsidRPr="00FE6187">
        <w:rPr>
          <w:sz w:val="18"/>
          <w:szCs w:val="18"/>
        </w:rPr>
        <w:t xml:space="preserve">Meltzer, Alan. 2000. </w:t>
      </w:r>
      <w:r w:rsidRPr="00FE6187">
        <w:rPr>
          <w:i/>
          <w:sz w:val="18"/>
          <w:szCs w:val="18"/>
        </w:rPr>
        <w:t>Report of the International Financial Institution Advisory Commission</w:t>
      </w:r>
      <w:r w:rsidRPr="00FE6187">
        <w:rPr>
          <w:sz w:val="18"/>
          <w:szCs w:val="18"/>
        </w:rPr>
        <w:t>. Submitted to the US Congress and US Depar</w:t>
      </w:r>
      <w:r w:rsidR="003500D5" w:rsidRPr="00FE6187">
        <w:rPr>
          <w:sz w:val="18"/>
          <w:szCs w:val="18"/>
        </w:rPr>
        <w:t>tment of the Treasury, March 8.</w:t>
      </w:r>
    </w:p>
    <w:p w14:paraId="1234922B" w14:textId="77777777" w:rsidR="00D132A1" w:rsidRPr="00FE6187" w:rsidRDefault="00D132A1" w:rsidP="005E2990">
      <w:pPr>
        <w:rPr>
          <w:sz w:val="18"/>
          <w:szCs w:val="18"/>
        </w:rPr>
      </w:pPr>
      <w:r w:rsidRPr="00FE6187">
        <w:rPr>
          <w:sz w:val="18"/>
          <w:szCs w:val="18"/>
        </w:rPr>
        <w:t>Menkhoff, Lukas</w:t>
      </w:r>
      <w:r w:rsidR="0026584A" w:rsidRPr="00FE6187">
        <w:rPr>
          <w:sz w:val="18"/>
          <w:szCs w:val="18"/>
        </w:rPr>
        <w:t>,</w:t>
      </w:r>
      <w:r w:rsidRPr="00FE6187">
        <w:rPr>
          <w:sz w:val="18"/>
          <w:szCs w:val="18"/>
        </w:rPr>
        <w:t xml:space="preserve"> 2010</w:t>
      </w:r>
      <w:r w:rsidR="0026584A" w:rsidRPr="00FE6187">
        <w:rPr>
          <w:sz w:val="18"/>
          <w:szCs w:val="18"/>
        </w:rPr>
        <w:t>,</w:t>
      </w:r>
      <w:r w:rsidRPr="00FE6187">
        <w:rPr>
          <w:sz w:val="18"/>
          <w:szCs w:val="18"/>
        </w:rPr>
        <w:t xml:space="preserve"> "High-Frequency Analysis of FX Interventions: What Do We Learn</w:t>
      </w:r>
      <w:r w:rsidRPr="00FE6187">
        <w:rPr>
          <w:i/>
          <w:sz w:val="18"/>
          <w:szCs w:val="18"/>
        </w:rPr>
        <w:t>?" Journal of Economic Surveys</w:t>
      </w:r>
      <w:r w:rsidRPr="00FE6187">
        <w:rPr>
          <w:sz w:val="18"/>
          <w:szCs w:val="18"/>
        </w:rPr>
        <w:t>, 24(1),pp.  85-112.</w:t>
      </w:r>
    </w:p>
    <w:p w14:paraId="05D828CF" w14:textId="77777777" w:rsidR="00C33D23" w:rsidRDefault="0026584A" w:rsidP="0026584A">
      <w:pPr>
        <w:spacing w:before="80" w:after="0" w:line="240" w:lineRule="auto"/>
        <w:rPr>
          <w:rFonts w:cs="Times New Roman"/>
          <w:color w:val="000000" w:themeColor="text1"/>
          <w:sz w:val="18"/>
          <w:szCs w:val="18"/>
          <w:shd w:val="clear" w:color="auto" w:fill="FFFFFF"/>
        </w:rPr>
      </w:pPr>
      <w:r w:rsidRPr="00FE6187">
        <w:rPr>
          <w:rFonts w:cs="Times New Roman"/>
          <w:color w:val="000000" w:themeColor="text1"/>
          <w:sz w:val="18"/>
          <w:szCs w:val="18"/>
          <w:shd w:val="clear" w:color="auto" w:fill="FFFFFF"/>
        </w:rPr>
        <w:t>Menkhoff, Lukas, 2013, “Foreign Exchange Intervention in Emerging Markets: A Survey of Empirical Studies,”</w:t>
      </w:r>
      <w:r w:rsidRPr="00FE6187">
        <w:rPr>
          <w:rFonts w:cs="Times New Roman"/>
          <w:i/>
          <w:iCs/>
          <w:color w:val="000000" w:themeColor="text1"/>
          <w:sz w:val="18"/>
          <w:szCs w:val="18"/>
          <w:shd w:val="clear" w:color="auto" w:fill="FFFFFF"/>
        </w:rPr>
        <w:t>World Economy</w:t>
      </w:r>
      <w:r w:rsidRPr="00FE6187">
        <w:rPr>
          <w:rStyle w:val="apple-converted-space"/>
          <w:rFonts w:cs="Times New Roman"/>
          <w:color w:val="000000" w:themeColor="text1"/>
          <w:sz w:val="18"/>
          <w:szCs w:val="18"/>
          <w:shd w:val="clear" w:color="auto" w:fill="FFFFFF"/>
        </w:rPr>
        <w:t> </w:t>
      </w:r>
      <w:r w:rsidRPr="00FE6187">
        <w:rPr>
          <w:rFonts w:cs="Times New Roman"/>
          <w:color w:val="000000" w:themeColor="text1"/>
          <w:sz w:val="18"/>
          <w:szCs w:val="18"/>
          <w:shd w:val="clear" w:color="auto" w:fill="FFFFFF"/>
        </w:rPr>
        <w:t>36, no. 9: 1187–208.</w:t>
      </w:r>
    </w:p>
    <w:p w14:paraId="50A22E9E" w14:textId="77777777" w:rsidR="00C33D23" w:rsidRDefault="00C33D23" w:rsidP="0026584A">
      <w:pPr>
        <w:spacing w:before="80" w:after="0" w:line="240" w:lineRule="auto"/>
        <w:rPr>
          <w:rFonts w:cs="Times New Roman"/>
          <w:color w:val="000000" w:themeColor="text1"/>
          <w:sz w:val="18"/>
          <w:szCs w:val="18"/>
          <w:shd w:val="clear" w:color="auto" w:fill="FFFFFF"/>
        </w:rPr>
      </w:pPr>
    </w:p>
    <w:p w14:paraId="78E33DAF" w14:textId="77777777" w:rsidR="003500D5" w:rsidRPr="00C33D23" w:rsidRDefault="00C33D23" w:rsidP="0026584A">
      <w:pPr>
        <w:spacing w:before="80" w:after="0" w:line="240" w:lineRule="auto"/>
        <w:rPr>
          <w:rFonts w:cs="Times New Roman"/>
          <w:color w:val="000000" w:themeColor="text1"/>
          <w:sz w:val="18"/>
          <w:szCs w:val="18"/>
          <w:shd w:val="clear" w:color="auto" w:fill="FFFFFF"/>
        </w:rPr>
      </w:pPr>
      <w:r w:rsidRPr="00C33D23">
        <w:rPr>
          <w:rFonts w:cs="Arial"/>
          <w:color w:val="222222"/>
          <w:sz w:val="18"/>
          <w:szCs w:val="18"/>
          <w:shd w:val="clear" w:color="auto" w:fill="FFFFFF"/>
        </w:rPr>
        <w:t>Milesi-Ferretti, Gian-Maria, and Cédric Tille, 2011,. "The great retrenchment: international capital flows during the global financial crisis."</w:t>
      </w:r>
      <w:r w:rsidRPr="00C33D23">
        <w:rPr>
          <w:rStyle w:val="apple-converted-space"/>
          <w:rFonts w:cs="Arial"/>
          <w:color w:val="222222"/>
          <w:sz w:val="18"/>
          <w:szCs w:val="18"/>
          <w:shd w:val="clear" w:color="auto" w:fill="FFFFFF"/>
        </w:rPr>
        <w:t> </w:t>
      </w:r>
      <w:r w:rsidRPr="00C33D23">
        <w:rPr>
          <w:rFonts w:cs="Arial"/>
          <w:i/>
          <w:iCs/>
          <w:color w:val="222222"/>
          <w:sz w:val="18"/>
          <w:szCs w:val="18"/>
          <w:shd w:val="clear" w:color="auto" w:fill="FFFFFF"/>
        </w:rPr>
        <w:t>Economic Policy</w:t>
      </w:r>
      <w:r w:rsidRPr="00C33D23">
        <w:rPr>
          <w:rStyle w:val="apple-converted-space"/>
          <w:rFonts w:cs="Arial"/>
          <w:color w:val="222222"/>
          <w:sz w:val="18"/>
          <w:szCs w:val="18"/>
          <w:shd w:val="clear" w:color="auto" w:fill="FFFFFF"/>
        </w:rPr>
        <w:t> </w:t>
      </w:r>
      <w:r w:rsidRPr="00C33D23">
        <w:rPr>
          <w:rFonts w:cs="Arial"/>
          <w:color w:val="222222"/>
          <w:sz w:val="18"/>
          <w:szCs w:val="18"/>
          <w:shd w:val="clear" w:color="auto" w:fill="FFFFFF"/>
        </w:rPr>
        <w:t>26.66 (2011): 289-346.</w:t>
      </w:r>
      <w:r w:rsidR="003500D5" w:rsidRPr="00C33D23">
        <w:rPr>
          <w:rFonts w:cs="Times New Roman"/>
          <w:color w:val="000000" w:themeColor="text1"/>
          <w:sz w:val="18"/>
          <w:szCs w:val="18"/>
          <w:shd w:val="clear" w:color="auto" w:fill="FFFFFF"/>
        </w:rPr>
        <w:br/>
      </w:r>
    </w:p>
    <w:p w14:paraId="40C25E0E" w14:textId="77777777" w:rsidR="0026584A" w:rsidRPr="00FE6187" w:rsidRDefault="003500D5" w:rsidP="003500D5">
      <w:pPr>
        <w:spacing w:line="240" w:lineRule="auto"/>
        <w:rPr>
          <w:iCs/>
          <w:color w:val="000000" w:themeColor="text1"/>
          <w:sz w:val="18"/>
          <w:szCs w:val="18"/>
        </w:rPr>
      </w:pPr>
      <w:r w:rsidRPr="00FE6187">
        <w:rPr>
          <w:sz w:val="18"/>
          <w:szCs w:val="18"/>
        </w:rPr>
        <w:t>Miranda-</w:t>
      </w:r>
      <w:r w:rsidRPr="00FE6187">
        <w:rPr>
          <w:rFonts w:cs="Arial"/>
          <w:color w:val="000000" w:themeColor="text1"/>
          <w:sz w:val="18"/>
          <w:szCs w:val="18"/>
        </w:rPr>
        <w:t xml:space="preserve">Agrippino, Silvia, </w:t>
      </w:r>
      <w:r w:rsidRPr="00FE6187">
        <w:rPr>
          <w:rFonts w:cs="Arial" w:hint="eastAsia"/>
          <w:color w:val="000000" w:themeColor="text1"/>
          <w:sz w:val="18"/>
          <w:szCs w:val="18"/>
          <w:lang w:eastAsia="ko-KR"/>
        </w:rPr>
        <w:t xml:space="preserve">and </w:t>
      </w:r>
      <w:r w:rsidRPr="00FE6187">
        <w:rPr>
          <w:color w:val="000000" w:themeColor="text1"/>
          <w:sz w:val="18"/>
          <w:szCs w:val="18"/>
        </w:rPr>
        <w:t xml:space="preserve">Hélène </w:t>
      </w:r>
      <w:r w:rsidRPr="00FE6187">
        <w:rPr>
          <w:rFonts w:cs="Arial"/>
          <w:color w:val="000000" w:themeColor="text1"/>
          <w:sz w:val="18"/>
          <w:szCs w:val="18"/>
        </w:rPr>
        <w:t>Rey,  2015,. “World Asset Markets and the Global Financial Cycle</w:t>
      </w:r>
      <w:r w:rsidRPr="00FE6187">
        <w:rPr>
          <w:rFonts w:cs="Arial"/>
          <w:i/>
          <w:iCs/>
          <w:color w:val="000000" w:themeColor="text1"/>
          <w:sz w:val="18"/>
          <w:szCs w:val="18"/>
        </w:rPr>
        <w:t xml:space="preserve">.” </w:t>
      </w:r>
      <w:r w:rsidRPr="00FE6187">
        <w:rPr>
          <w:rFonts w:cs="Arial"/>
          <w:iCs/>
          <w:color w:val="000000" w:themeColor="text1"/>
          <w:sz w:val="18"/>
          <w:szCs w:val="18"/>
        </w:rPr>
        <w:t>National Bureau of Economic Research</w:t>
      </w:r>
      <w:r w:rsidRPr="00FE6187">
        <w:rPr>
          <w:rFonts w:cs="Arial" w:hint="eastAsia"/>
          <w:iCs/>
          <w:color w:val="000000" w:themeColor="text1"/>
          <w:sz w:val="18"/>
          <w:szCs w:val="18"/>
          <w:lang w:eastAsia="ko-KR"/>
        </w:rPr>
        <w:t xml:space="preserve"> WP No.</w:t>
      </w:r>
      <w:r w:rsidRPr="00FE6187">
        <w:rPr>
          <w:rFonts w:cs="Arial"/>
          <w:iCs/>
          <w:color w:val="000000" w:themeColor="text1"/>
          <w:sz w:val="18"/>
          <w:szCs w:val="18"/>
        </w:rPr>
        <w:t xml:space="preserve"> </w:t>
      </w:r>
      <w:r w:rsidRPr="00FE6187">
        <w:rPr>
          <w:rFonts w:cs="Tahoma"/>
          <w:color w:val="000000" w:themeColor="text1"/>
          <w:sz w:val="18"/>
          <w:szCs w:val="18"/>
        </w:rPr>
        <w:t>21722.</w:t>
      </w:r>
    </w:p>
    <w:p w14:paraId="7B9F261C" w14:textId="77777777" w:rsidR="00864E22" w:rsidRPr="00FE6187" w:rsidRDefault="00D132A1" w:rsidP="005E2990">
      <w:pPr>
        <w:rPr>
          <w:sz w:val="18"/>
          <w:szCs w:val="18"/>
        </w:rPr>
      </w:pPr>
      <w:r w:rsidRPr="00FE6187">
        <w:rPr>
          <w:sz w:val="18"/>
          <w:szCs w:val="18"/>
        </w:rPr>
        <w:t xml:space="preserve">Mussa, Michael. 1981. </w:t>
      </w:r>
      <w:r w:rsidRPr="00FE6187">
        <w:rPr>
          <w:i/>
          <w:sz w:val="18"/>
          <w:szCs w:val="18"/>
        </w:rPr>
        <w:t>The Role of Official Intervention.</w:t>
      </w:r>
      <w:r w:rsidRPr="00FE6187">
        <w:rPr>
          <w:sz w:val="18"/>
          <w:szCs w:val="18"/>
        </w:rPr>
        <w:t xml:space="preserve"> Group of Thirty Occasional Paper No. 6.</w:t>
      </w:r>
    </w:p>
    <w:p w14:paraId="2385F703" w14:textId="77777777" w:rsidR="00864E22" w:rsidRPr="00FE6187" w:rsidRDefault="00864E22" w:rsidP="00864E22">
      <w:pPr>
        <w:spacing w:line="240" w:lineRule="auto"/>
        <w:jc w:val="both"/>
        <w:rPr>
          <w:sz w:val="18"/>
          <w:szCs w:val="18"/>
        </w:rPr>
      </w:pPr>
      <w:r w:rsidRPr="00FE6187">
        <w:rPr>
          <w:sz w:val="18"/>
          <w:szCs w:val="18"/>
        </w:rPr>
        <w:t xml:space="preserve">Mussa, Michael, 1986, “Nominal </w:t>
      </w:r>
      <w:r w:rsidRPr="00FE6187">
        <w:rPr>
          <w:bCs/>
          <w:sz w:val="18"/>
          <w:szCs w:val="18"/>
        </w:rPr>
        <w:t xml:space="preserve">exchange rate </w:t>
      </w:r>
      <w:r w:rsidRPr="00FE6187">
        <w:rPr>
          <w:sz w:val="18"/>
          <w:szCs w:val="18"/>
        </w:rPr>
        <w:t xml:space="preserve">regimes and the behavior of real </w:t>
      </w:r>
      <w:r w:rsidRPr="00FE6187">
        <w:rPr>
          <w:bCs/>
          <w:sz w:val="18"/>
          <w:szCs w:val="18"/>
        </w:rPr>
        <w:t>exchange rates</w:t>
      </w:r>
      <w:r w:rsidRPr="00FE6187">
        <w:rPr>
          <w:sz w:val="18"/>
          <w:szCs w:val="18"/>
        </w:rPr>
        <w:t>: Evidence and implications</w:t>
      </w:r>
      <w:r w:rsidRPr="00FE6187">
        <w:rPr>
          <w:rStyle w:val="gsggsgsfl"/>
          <w:sz w:val="18"/>
          <w:szCs w:val="18"/>
        </w:rPr>
        <w:t xml:space="preserve">,” </w:t>
      </w:r>
      <w:r w:rsidRPr="00FE6187">
        <w:rPr>
          <w:rStyle w:val="gsa1"/>
          <w:i/>
          <w:color w:val="auto"/>
          <w:sz w:val="18"/>
          <w:szCs w:val="18"/>
        </w:rPr>
        <w:t>Carnegie-Rochester Conference Series on Public Policy</w:t>
      </w:r>
      <w:r w:rsidRPr="00FE6187">
        <w:rPr>
          <w:rStyle w:val="gsa1"/>
          <w:color w:val="auto"/>
          <w:sz w:val="18"/>
          <w:szCs w:val="18"/>
        </w:rPr>
        <w:t xml:space="preserve"> no. 25, pp. 117-214.</w:t>
      </w:r>
    </w:p>
    <w:p w14:paraId="6561E4DC" w14:textId="77777777" w:rsidR="00864E22" w:rsidRPr="00FE6187" w:rsidRDefault="00864E22" w:rsidP="00FE6187">
      <w:pPr>
        <w:tabs>
          <w:tab w:val="left" w:pos="0"/>
          <w:tab w:val="left" w:pos="720"/>
          <w:tab w:val="left" w:pos="1440"/>
          <w:tab w:val="left" w:pos="2160"/>
          <w:tab w:val="left" w:pos="2880"/>
          <w:tab w:val="left" w:pos="3600"/>
          <w:tab w:val="left" w:pos="4320"/>
        </w:tabs>
        <w:spacing w:line="240" w:lineRule="auto"/>
        <w:jc w:val="both"/>
        <w:rPr>
          <w:sz w:val="18"/>
          <w:szCs w:val="18"/>
        </w:rPr>
      </w:pPr>
      <w:r w:rsidRPr="00FE6187">
        <w:rPr>
          <w:sz w:val="18"/>
          <w:szCs w:val="18"/>
        </w:rPr>
        <w:t xml:space="preserve">Obstfeld, Maurice, and Kenneth Rogoff. 1995. “The Mirage of Fixed Exchange Rates.”  </w:t>
      </w:r>
      <w:r w:rsidRPr="00FE6187">
        <w:rPr>
          <w:i/>
          <w:sz w:val="18"/>
          <w:szCs w:val="18"/>
        </w:rPr>
        <w:t>Journal of Economic Perspectives</w:t>
      </w:r>
      <w:r w:rsidRPr="00FE6187">
        <w:rPr>
          <w:sz w:val="18"/>
          <w:szCs w:val="18"/>
        </w:rPr>
        <w:t xml:space="preserve"> 9, no.4 (Fall):73-96.</w:t>
      </w:r>
    </w:p>
    <w:p w14:paraId="7795C3A7" w14:textId="77777777" w:rsidR="0026584A" w:rsidRPr="00FE6187" w:rsidRDefault="0026584A" w:rsidP="00155D83">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t>Obstfeld, Maurice, 1990,  “The Effectiveness of Foreign-Exchange Intervention: Recent Experience</w:t>
      </w:r>
      <w:r w:rsidR="00FE6187">
        <w:rPr>
          <w:rFonts w:cs="Times New Roman"/>
          <w:noProof/>
          <w:color w:val="000000" w:themeColor="text1"/>
          <w:sz w:val="18"/>
          <w:szCs w:val="18"/>
        </w:rPr>
        <w:t>,”</w:t>
      </w:r>
      <w:r w:rsidRPr="00FE6187">
        <w:rPr>
          <w:rFonts w:cs="Times New Roman"/>
          <w:noProof/>
          <w:color w:val="000000" w:themeColor="text1"/>
          <w:sz w:val="18"/>
          <w:szCs w:val="18"/>
        </w:rPr>
        <w:t xml:space="preserve"> </w:t>
      </w:r>
      <w:r w:rsidRPr="00FE6187">
        <w:rPr>
          <w:rFonts w:cs="Times New Roman"/>
          <w:i/>
          <w:iCs/>
          <w:noProof/>
          <w:color w:val="000000" w:themeColor="text1"/>
          <w:sz w:val="18"/>
          <w:szCs w:val="18"/>
        </w:rPr>
        <w:t>International Policy Coordination and Exchange Rate Fluctuations</w:t>
      </w:r>
      <w:r w:rsidR="00FE6187">
        <w:rPr>
          <w:rFonts w:cs="Times New Roman"/>
          <w:noProof/>
          <w:color w:val="000000" w:themeColor="text1"/>
          <w:sz w:val="18"/>
          <w:szCs w:val="18"/>
        </w:rPr>
        <w:t xml:space="preserve">, </w:t>
      </w:r>
      <w:r w:rsidRPr="00FE6187">
        <w:rPr>
          <w:rFonts w:cs="Times New Roman"/>
          <w:noProof/>
          <w:color w:val="000000" w:themeColor="text1"/>
          <w:sz w:val="18"/>
          <w:szCs w:val="18"/>
        </w:rPr>
        <w:t>J. Frenkel, M. Goldstein, and W. Branson</w:t>
      </w:r>
      <w:r w:rsidR="00FE6187">
        <w:rPr>
          <w:rFonts w:cs="Times New Roman"/>
          <w:noProof/>
          <w:color w:val="000000" w:themeColor="text1"/>
          <w:sz w:val="18"/>
          <w:szCs w:val="18"/>
        </w:rPr>
        <w:t>, eds.</w:t>
      </w:r>
      <w:r w:rsidRPr="00FE6187">
        <w:rPr>
          <w:rFonts w:cs="Times New Roman"/>
          <w:noProof/>
          <w:color w:val="000000" w:themeColor="text1"/>
          <w:sz w:val="18"/>
          <w:szCs w:val="18"/>
        </w:rPr>
        <w:t>. (Chicago: Univ</w:t>
      </w:r>
      <w:r w:rsidR="00FE6187">
        <w:rPr>
          <w:rFonts w:cs="Times New Roman"/>
          <w:noProof/>
          <w:color w:val="000000" w:themeColor="text1"/>
          <w:sz w:val="18"/>
          <w:szCs w:val="18"/>
        </w:rPr>
        <w:t>.</w:t>
      </w:r>
      <w:r w:rsidRPr="00FE6187">
        <w:rPr>
          <w:rFonts w:cs="Times New Roman"/>
          <w:noProof/>
          <w:color w:val="000000" w:themeColor="text1"/>
          <w:sz w:val="18"/>
          <w:szCs w:val="18"/>
        </w:rPr>
        <w:t xml:space="preserve"> of Chicago Press).</w:t>
      </w:r>
      <w:r w:rsidR="00213357" w:rsidRPr="00FE6187">
        <w:rPr>
          <w:rFonts w:cs="Times New Roman"/>
          <w:noProof/>
          <w:color w:val="000000" w:themeColor="text1"/>
          <w:sz w:val="18"/>
          <w:szCs w:val="18"/>
        </w:rPr>
        <w:br/>
      </w:r>
    </w:p>
    <w:p w14:paraId="477FE7E9" w14:textId="77777777" w:rsidR="00B82868" w:rsidRPr="00FE6187" w:rsidRDefault="00E54F95" w:rsidP="00B82868">
      <w:pPr>
        <w:rPr>
          <w:sz w:val="18"/>
          <w:szCs w:val="18"/>
        </w:rPr>
      </w:pPr>
      <w:r w:rsidRPr="00FE6187">
        <w:rPr>
          <w:sz w:val="18"/>
          <w:szCs w:val="18"/>
        </w:rPr>
        <w:t>Obstfeld</w:t>
      </w:r>
      <w:r w:rsidRPr="00FE6187">
        <w:rPr>
          <w:rFonts w:ascii="Arial" w:hAnsi="Arial" w:cs="Arial"/>
          <w:color w:val="222222"/>
          <w:sz w:val="18"/>
          <w:szCs w:val="18"/>
          <w:shd w:val="clear" w:color="auto" w:fill="FFFFFF"/>
        </w:rPr>
        <w:t xml:space="preserve">, </w:t>
      </w:r>
      <w:r w:rsidRPr="00FE6187">
        <w:rPr>
          <w:rFonts w:cs="Arial"/>
          <w:color w:val="222222"/>
          <w:sz w:val="18"/>
          <w:szCs w:val="18"/>
          <w:shd w:val="clear" w:color="auto" w:fill="FFFFFF"/>
        </w:rPr>
        <w:t>Maurice, 1997, "Destabilizing effects of exchange-rate escape clauses."</w:t>
      </w:r>
      <w:r w:rsidRPr="00FE6187">
        <w:rPr>
          <w:rStyle w:val="apple-converted-space"/>
          <w:rFonts w:cs="Arial"/>
          <w:color w:val="222222"/>
          <w:sz w:val="18"/>
          <w:szCs w:val="18"/>
          <w:shd w:val="clear" w:color="auto" w:fill="FFFFFF"/>
        </w:rPr>
        <w:t> </w:t>
      </w:r>
      <w:r w:rsidRPr="00FE6187">
        <w:rPr>
          <w:rFonts w:cs="Arial"/>
          <w:i/>
          <w:iCs/>
          <w:color w:val="222222"/>
          <w:sz w:val="18"/>
          <w:szCs w:val="18"/>
          <w:shd w:val="clear" w:color="auto" w:fill="FFFFFF"/>
        </w:rPr>
        <w:t>Journal of International Economics</w:t>
      </w:r>
      <w:r w:rsidRPr="00FE6187">
        <w:rPr>
          <w:rStyle w:val="apple-converted-space"/>
          <w:rFonts w:cs="Arial"/>
          <w:color w:val="222222"/>
          <w:sz w:val="18"/>
          <w:szCs w:val="18"/>
          <w:shd w:val="clear" w:color="auto" w:fill="FFFFFF"/>
        </w:rPr>
        <w:t> </w:t>
      </w:r>
      <w:r w:rsidRPr="00FE6187">
        <w:rPr>
          <w:rFonts w:cs="Arial"/>
          <w:color w:val="222222"/>
          <w:sz w:val="18"/>
          <w:szCs w:val="18"/>
          <w:shd w:val="clear" w:color="auto" w:fill="FFFFFF"/>
        </w:rPr>
        <w:t>43.1: 61-77.</w:t>
      </w:r>
    </w:p>
    <w:p w14:paraId="10F0B46F" w14:textId="77777777" w:rsidR="00766585" w:rsidRPr="00FE6187" w:rsidRDefault="00766585" w:rsidP="00766585">
      <w:pPr>
        <w:spacing w:line="240" w:lineRule="auto"/>
        <w:rPr>
          <w:rFonts w:cs="Arial"/>
          <w:color w:val="000000" w:themeColor="text1"/>
          <w:sz w:val="18"/>
          <w:szCs w:val="18"/>
          <w:shd w:val="clear" w:color="auto" w:fill="FFFFFF"/>
        </w:rPr>
      </w:pPr>
      <w:r w:rsidRPr="00FE6187">
        <w:rPr>
          <w:rFonts w:cs="Arial"/>
          <w:color w:val="000000" w:themeColor="text1"/>
          <w:sz w:val="18"/>
          <w:szCs w:val="18"/>
          <w:shd w:val="clear" w:color="auto" w:fill="FFFFFF"/>
        </w:rPr>
        <w:t>Obstfeld, Maurice</w:t>
      </w:r>
      <w:r w:rsidR="00143DAF" w:rsidRPr="00FE6187">
        <w:rPr>
          <w:rFonts w:cs="Arial"/>
          <w:color w:val="000000" w:themeColor="text1"/>
          <w:sz w:val="18"/>
          <w:szCs w:val="18"/>
          <w:shd w:val="clear" w:color="auto" w:fill="FFFFFF"/>
        </w:rPr>
        <w:t>,</w:t>
      </w:r>
      <w:r w:rsidRPr="00FE6187">
        <w:rPr>
          <w:rFonts w:cs="Arial"/>
          <w:color w:val="000000" w:themeColor="text1"/>
          <w:sz w:val="18"/>
          <w:szCs w:val="18"/>
          <w:shd w:val="clear" w:color="auto" w:fill="FFFFFF"/>
        </w:rPr>
        <w:t xml:space="preserve"> 2015</w:t>
      </w:r>
      <w:r w:rsidR="00143DAF" w:rsidRPr="00FE6187">
        <w:rPr>
          <w:rFonts w:cs="Arial"/>
          <w:color w:val="000000" w:themeColor="text1"/>
          <w:sz w:val="18"/>
          <w:szCs w:val="18"/>
          <w:shd w:val="clear" w:color="auto" w:fill="FFFFFF"/>
        </w:rPr>
        <w:t>,</w:t>
      </w:r>
      <w:r w:rsidRPr="00FE6187">
        <w:rPr>
          <w:rFonts w:cs="Arial"/>
          <w:color w:val="000000" w:themeColor="text1"/>
          <w:sz w:val="18"/>
          <w:szCs w:val="18"/>
          <w:shd w:val="clear" w:color="auto" w:fill="FFFFFF"/>
        </w:rPr>
        <w:t xml:space="preserve"> “Trilemmas and Tradeoffs: Living with Financial Globalization,” in </w:t>
      </w:r>
      <w:r w:rsidRPr="00FE6187">
        <w:rPr>
          <w:rFonts w:cs="Arial"/>
          <w:i/>
          <w:iCs/>
          <w:color w:val="000000" w:themeColor="text1"/>
          <w:sz w:val="18"/>
          <w:szCs w:val="18"/>
          <w:shd w:val="clear" w:color="auto" w:fill="FFFFFF"/>
        </w:rPr>
        <w:t xml:space="preserve">Global Liquidity, Spillovers to Emerging Markets and Policy Responses, </w:t>
      </w:r>
      <w:r w:rsidRPr="00FE6187">
        <w:rPr>
          <w:rFonts w:cs="Arial"/>
          <w:iCs/>
          <w:color w:val="000000" w:themeColor="text1"/>
          <w:sz w:val="18"/>
          <w:szCs w:val="18"/>
          <w:shd w:val="clear" w:color="auto" w:fill="FFFFFF"/>
        </w:rPr>
        <w:t>eds.</w:t>
      </w:r>
      <w:r w:rsidRPr="00FE6187">
        <w:rPr>
          <w:rFonts w:cs="Arial"/>
          <w:color w:val="000000" w:themeColor="text1"/>
          <w:sz w:val="18"/>
          <w:szCs w:val="18"/>
          <w:shd w:val="clear" w:color="auto" w:fill="FFFFFF"/>
        </w:rPr>
        <w:t xml:space="preserve"> Claudio Raddatz, Diego Saravia and Jaume Ventura, pp. 13-78. </w:t>
      </w:r>
      <w:r w:rsidR="00143DAF" w:rsidRPr="00FE6187">
        <w:rPr>
          <w:rFonts w:cs="Arial"/>
          <w:color w:val="000000" w:themeColor="text1"/>
          <w:sz w:val="18"/>
          <w:szCs w:val="18"/>
          <w:shd w:val="clear" w:color="auto" w:fill="FFFFFF"/>
        </w:rPr>
        <w:t>(</w:t>
      </w:r>
      <w:r w:rsidRPr="00FE6187">
        <w:rPr>
          <w:rFonts w:cs="Arial" w:hint="eastAsia"/>
          <w:color w:val="000000" w:themeColor="text1"/>
          <w:sz w:val="18"/>
          <w:szCs w:val="18"/>
          <w:shd w:val="clear" w:color="auto" w:fill="FFFFFF"/>
          <w:lang w:eastAsia="ko-KR"/>
        </w:rPr>
        <w:t xml:space="preserve">Santiago, </w:t>
      </w:r>
      <w:r w:rsidRPr="00FE6187">
        <w:rPr>
          <w:rFonts w:cs="Arial"/>
          <w:color w:val="000000" w:themeColor="text1"/>
          <w:sz w:val="18"/>
          <w:szCs w:val="18"/>
          <w:shd w:val="clear" w:color="auto" w:fill="FFFFFF"/>
        </w:rPr>
        <w:t>Chile: Central Bank of Chile</w:t>
      </w:r>
      <w:r w:rsidR="00143DAF" w:rsidRPr="00FE6187">
        <w:rPr>
          <w:rFonts w:cs="Arial"/>
          <w:color w:val="000000" w:themeColor="text1"/>
          <w:sz w:val="18"/>
          <w:szCs w:val="18"/>
          <w:shd w:val="clear" w:color="auto" w:fill="FFFFFF"/>
        </w:rPr>
        <w:t>)</w:t>
      </w:r>
      <w:r w:rsidRPr="00FE6187">
        <w:rPr>
          <w:rFonts w:cs="Arial"/>
          <w:color w:val="000000" w:themeColor="text1"/>
          <w:sz w:val="18"/>
          <w:szCs w:val="18"/>
          <w:shd w:val="clear" w:color="auto" w:fill="FFFFFF"/>
        </w:rPr>
        <w:t xml:space="preserve">.  </w:t>
      </w:r>
    </w:p>
    <w:p w14:paraId="7D46B12E" w14:textId="77777777" w:rsidR="00864E22" w:rsidRDefault="00143DAF" w:rsidP="003C2706">
      <w:pPr>
        <w:spacing w:line="240" w:lineRule="auto"/>
        <w:rPr>
          <w:rFonts w:cs="Arial"/>
          <w:color w:val="222222"/>
          <w:sz w:val="18"/>
          <w:szCs w:val="18"/>
          <w:shd w:val="clear" w:color="auto" w:fill="FFFFFF"/>
        </w:rPr>
      </w:pPr>
      <w:r w:rsidRPr="00FE6187">
        <w:rPr>
          <w:rFonts w:cs="Arial"/>
          <w:color w:val="222222"/>
          <w:sz w:val="18"/>
          <w:szCs w:val="18"/>
          <w:shd w:val="clear" w:color="auto" w:fill="FFFFFF"/>
        </w:rPr>
        <w:t>Obstfeld, Maurice, Jay Shambaugh, and Alan M. Taylor. 2005, "The trilemma in history: tradeoffs among exchange rates, monetary policies, and capital mobility."</w:t>
      </w:r>
      <w:r w:rsidRPr="00FE6187">
        <w:rPr>
          <w:rStyle w:val="apple-converted-space"/>
          <w:rFonts w:cs="Arial"/>
          <w:color w:val="222222"/>
          <w:sz w:val="18"/>
          <w:szCs w:val="18"/>
          <w:shd w:val="clear" w:color="auto" w:fill="FFFFFF"/>
        </w:rPr>
        <w:t> </w:t>
      </w:r>
      <w:r w:rsidRPr="00FE6187">
        <w:rPr>
          <w:rFonts w:cs="Arial"/>
          <w:i/>
          <w:iCs/>
          <w:color w:val="222222"/>
          <w:sz w:val="18"/>
          <w:szCs w:val="18"/>
          <w:shd w:val="clear" w:color="auto" w:fill="FFFFFF"/>
        </w:rPr>
        <w:t>Review of Economics and Statistics</w:t>
      </w:r>
      <w:r w:rsidRPr="00FE6187">
        <w:rPr>
          <w:rStyle w:val="apple-converted-space"/>
          <w:rFonts w:cs="Arial"/>
          <w:color w:val="222222"/>
          <w:sz w:val="18"/>
          <w:szCs w:val="18"/>
          <w:shd w:val="clear" w:color="auto" w:fill="FFFFFF"/>
        </w:rPr>
        <w:t> </w:t>
      </w:r>
      <w:r w:rsidR="009E3E1E" w:rsidRPr="00FE6187">
        <w:rPr>
          <w:rFonts w:cs="Arial"/>
          <w:color w:val="222222"/>
          <w:sz w:val="18"/>
          <w:szCs w:val="18"/>
          <w:shd w:val="clear" w:color="auto" w:fill="FFFFFF"/>
        </w:rPr>
        <w:t>87, 3</w:t>
      </w:r>
      <w:r w:rsidRPr="00FE6187">
        <w:rPr>
          <w:rFonts w:cs="Arial"/>
          <w:color w:val="222222"/>
          <w:sz w:val="18"/>
          <w:szCs w:val="18"/>
          <w:shd w:val="clear" w:color="auto" w:fill="FFFFFF"/>
        </w:rPr>
        <w:t xml:space="preserve">: </w:t>
      </w:r>
      <w:r w:rsidR="009E3E1E" w:rsidRPr="00FE6187">
        <w:rPr>
          <w:rFonts w:cs="Arial"/>
          <w:color w:val="222222"/>
          <w:sz w:val="18"/>
          <w:szCs w:val="18"/>
          <w:shd w:val="clear" w:color="auto" w:fill="FFFFFF"/>
        </w:rPr>
        <w:t>pp.</w:t>
      </w:r>
      <w:r w:rsidRPr="00FE6187">
        <w:rPr>
          <w:rFonts w:cs="Arial"/>
          <w:color w:val="222222"/>
          <w:sz w:val="18"/>
          <w:szCs w:val="18"/>
          <w:shd w:val="clear" w:color="auto" w:fill="FFFFFF"/>
        </w:rPr>
        <w:t>423-438.</w:t>
      </w:r>
    </w:p>
    <w:p w14:paraId="1C082E05" w14:textId="77777777" w:rsidR="002922E6" w:rsidRPr="002922E6" w:rsidRDefault="002922E6" w:rsidP="003C2706">
      <w:pPr>
        <w:spacing w:line="240" w:lineRule="auto"/>
        <w:rPr>
          <w:rFonts w:cs="Arial"/>
          <w:color w:val="000000" w:themeColor="text1"/>
          <w:sz w:val="18"/>
          <w:szCs w:val="18"/>
          <w:shd w:val="clear" w:color="auto" w:fill="FFFFFF"/>
        </w:rPr>
      </w:pPr>
      <w:r w:rsidRPr="002922E6">
        <w:rPr>
          <w:rFonts w:eastAsia="MS Mincho"/>
          <w:color w:val="000000"/>
          <w:sz w:val="18"/>
          <w:szCs w:val="18"/>
          <w:lang w:eastAsia="ja-JP"/>
        </w:rPr>
        <w:t xml:space="preserve">Ogawa, Eiji. 2006. "The Chinese Yuan after the Chinese Exchange Rate System Reform," </w:t>
      </w:r>
      <w:r w:rsidRPr="002922E6">
        <w:rPr>
          <w:rFonts w:eastAsia="MS Mincho"/>
          <w:i/>
          <w:color w:val="000000"/>
          <w:sz w:val="18"/>
          <w:szCs w:val="18"/>
          <w:lang w:eastAsia="ja-JP"/>
        </w:rPr>
        <w:t>China and World Economy</w:t>
      </w:r>
      <w:r w:rsidRPr="002922E6">
        <w:rPr>
          <w:rFonts w:eastAsia="MS Mincho"/>
          <w:color w:val="000000"/>
          <w:sz w:val="18"/>
          <w:szCs w:val="18"/>
          <w:lang w:eastAsia="ja-JP"/>
        </w:rPr>
        <w:t>, 14(6), Nov.-Dec.: 39-57.</w:t>
      </w:r>
    </w:p>
    <w:p w14:paraId="00DA367C" w14:textId="77777777" w:rsidR="00864E22" w:rsidRPr="00FE6187" w:rsidRDefault="00C51F23" w:rsidP="00C51F23">
      <w:pPr>
        <w:rPr>
          <w:b/>
          <w:sz w:val="18"/>
          <w:szCs w:val="18"/>
          <w:lang w:val="en"/>
        </w:rPr>
      </w:pPr>
      <w:r w:rsidRPr="00FE6187">
        <w:rPr>
          <w:rFonts w:cs="Arial"/>
          <w:sz w:val="18"/>
          <w:szCs w:val="18"/>
          <w:shd w:val="clear" w:color="auto" w:fill="FFFFFF"/>
        </w:rPr>
        <w:t xml:space="preserve">Rafiq, M. Sohrab, </w:t>
      </w:r>
      <w:r w:rsidR="00864E22" w:rsidRPr="00FE6187">
        <w:rPr>
          <w:sz w:val="18"/>
          <w:szCs w:val="18"/>
        </w:rPr>
        <w:t xml:space="preserve"> 2011, “</w:t>
      </w:r>
      <w:r w:rsidR="00864E22" w:rsidRPr="00FE6187">
        <w:rPr>
          <w:sz w:val="18"/>
          <w:szCs w:val="18"/>
          <w:lang w:val="en"/>
        </w:rPr>
        <w:t xml:space="preserve">Sources of economic fluctuations in oil-exporting economies: implications for choice of exchange rate regimes,” </w:t>
      </w:r>
      <w:r w:rsidR="00864E22" w:rsidRPr="00FE6187">
        <w:rPr>
          <w:i/>
          <w:sz w:val="18"/>
          <w:szCs w:val="18"/>
          <w:lang w:val="en"/>
        </w:rPr>
        <w:t>International Journal of Economics and Finance</w:t>
      </w:r>
      <w:r w:rsidR="00864E22" w:rsidRPr="00FE6187">
        <w:rPr>
          <w:sz w:val="18"/>
          <w:szCs w:val="18"/>
          <w:lang w:val="en"/>
        </w:rPr>
        <w:t xml:space="preserve"> vol. 16 (1), Jan.: 70-91</w:t>
      </w:r>
    </w:p>
    <w:p w14:paraId="4E68DD28" w14:textId="77777777" w:rsidR="005228E0" w:rsidRPr="00FE6187" w:rsidRDefault="003C1F4F" w:rsidP="005228E0">
      <w:pPr>
        <w:spacing w:after="0" w:line="240" w:lineRule="auto"/>
        <w:jc w:val="both"/>
        <w:rPr>
          <w:sz w:val="18"/>
          <w:szCs w:val="18"/>
        </w:rPr>
      </w:pPr>
      <w:r w:rsidRPr="00FE6187">
        <w:rPr>
          <w:sz w:val="18"/>
          <w:szCs w:val="18"/>
        </w:rPr>
        <w:t>Reinhart, Carmen,</w:t>
      </w:r>
      <w:r w:rsidR="005228E0" w:rsidRPr="00FE6187">
        <w:rPr>
          <w:sz w:val="18"/>
          <w:szCs w:val="18"/>
        </w:rPr>
        <w:t xml:space="preserve"> 2000</w:t>
      </w:r>
      <w:r w:rsidRPr="00FE6187">
        <w:rPr>
          <w:sz w:val="18"/>
          <w:szCs w:val="18"/>
        </w:rPr>
        <w:t>,</w:t>
      </w:r>
      <w:r w:rsidR="005228E0" w:rsidRPr="00FE6187">
        <w:rPr>
          <w:sz w:val="18"/>
          <w:szCs w:val="18"/>
        </w:rPr>
        <w:t xml:space="preserve"> </w:t>
      </w:r>
      <w:r w:rsidRPr="00FE6187">
        <w:rPr>
          <w:sz w:val="18"/>
          <w:szCs w:val="18"/>
        </w:rPr>
        <w:t>“</w:t>
      </w:r>
      <w:r w:rsidR="005228E0" w:rsidRPr="00FE6187">
        <w:rPr>
          <w:sz w:val="18"/>
          <w:szCs w:val="18"/>
        </w:rPr>
        <w:t>The Mirage of Floating Exchange Rates</w:t>
      </w:r>
      <w:r w:rsidRPr="00FE6187">
        <w:rPr>
          <w:sz w:val="18"/>
          <w:szCs w:val="18"/>
        </w:rPr>
        <w:t>,”</w:t>
      </w:r>
      <w:r w:rsidR="005228E0" w:rsidRPr="00FE6187">
        <w:rPr>
          <w:sz w:val="18"/>
          <w:szCs w:val="18"/>
        </w:rPr>
        <w:t xml:space="preserve"> </w:t>
      </w:r>
      <w:r w:rsidR="005228E0" w:rsidRPr="00FE6187">
        <w:rPr>
          <w:i/>
          <w:sz w:val="18"/>
          <w:szCs w:val="18"/>
        </w:rPr>
        <w:t>American Economic Review</w:t>
      </w:r>
      <w:r w:rsidR="005228E0" w:rsidRPr="00FE6187">
        <w:rPr>
          <w:sz w:val="18"/>
          <w:szCs w:val="18"/>
        </w:rPr>
        <w:t xml:space="preserve"> 90 (2)</w:t>
      </w:r>
      <w:r w:rsidR="00041FDE" w:rsidRPr="00FE6187">
        <w:rPr>
          <w:sz w:val="18"/>
          <w:szCs w:val="18"/>
        </w:rPr>
        <w:t>, pp.</w:t>
      </w:r>
      <w:r w:rsidR="005228E0" w:rsidRPr="00FE6187">
        <w:rPr>
          <w:sz w:val="18"/>
          <w:szCs w:val="18"/>
        </w:rPr>
        <w:t>65-70.</w:t>
      </w:r>
      <w:r w:rsidR="005228E0" w:rsidRPr="00FE6187">
        <w:rPr>
          <w:sz w:val="18"/>
          <w:szCs w:val="18"/>
        </w:rPr>
        <w:br/>
      </w:r>
    </w:p>
    <w:p w14:paraId="27F92485" w14:textId="77777777" w:rsidR="005228E0" w:rsidRPr="00FE6187" w:rsidRDefault="005228E0" w:rsidP="005228E0">
      <w:pPr>
        <w:spacing w:after="0" w:line="240" w:lineRule="auto"/>
        <w:jc w:val="both"/>
        <w:rPr>
          <w:sz w:val="18"/>
          <w:szCs w:val="18"/>
        </w:rPr>
      </w:pPr>
      <w:r w:rsidRPr="00FE6187">
        <w:rPr>
          <w:sz w:val="18"/>
          <w:szCs w:val="18"/>
        </w:rPr>
        <w:t xml:space="preserve">Reinhart, Carmen, and Vincent Reinhart, 2009, “Capital Flow Bonanzas: An Encompassing View of the Past and Present,” in J.Frankel and C.Pissarides, eds., </w:t>
      </w:r>
      <w:hyperlink r:id="rId25" w:history="1">
        <w:r w:rsidRPr="00FE6187">
          <w:rPr>
            <w:rStyle w:val="Hyperlink"/>
            <w:i/>
            <w:iCs/>
            <w:sz w:val="18"/>
            <w:szCs w:val="18"/>
          </w:rPr>
          <w:t>NBER International Seminar in Macroeconomics 2008</w:t>
        </w:r>
      </w:hyperlink>
      <w:r w:rsidRPr="00FE6187">
        <w:rPr>
          <w:sz w:val="18"/>
          <w:szCs w:val="18"/>
        </w:rPr>
        <w:t xml:space="preserve"> (Chicago: </w:t>
      </w:r>
      <w:hyperlink r:id="rId26" w:history="1">
        <w:r w:rsidRPr="00FE6187">
          <w:rPr>
            <w:rStyle w:val="Hyperlink"/>
            <w:sz w:val="18"/>
            <w:szCs w:val="18"/>
          </w:rPr>
          <w:t>University of Chicago Press</w:t>
        </w:r>
      </w:hyperlink>
      <w:r w:rsidRPr="00FE6187">
        <w:rPr>
          <w:sz w:val="18"/>
          <w:szCs w:val="18"/>
        </w:rPr>
        <w:t xml:space="preserve">). </w:t>
      </w:r>
    </w:p>
    <w:p w14:paraId="1BFAD138" w14:textId="77777777" w:rsidR="005228E0" w:rsidRPr="00FE6187" w:rsidRDefault="005228E0" w:rsidP="005228E0">
      <w:pPr>
        <w:spacing w:after="0" w:line="240" w:lineRule="auto"/>
        <w:jc w:val="both"/>
        <w:rPr>
          <w:sz w:val="18"/>
          <w:szCs w:val="18"/>
        </w:rPr>
      </w:pPr>
    </w:p>
    <w:p w14:paraId="00390F17" w14:textId="77777777" w:rsidR="002C0EF1" w:rsidRPr="00FE6187" w:rsidRDefault="005228E0" w:rsidP="00155D83">
      <w:pPr>
        <w:spacing w:after="0" w:line="240" w:lineRule="auto"/>
        <w:jc w:val="both"/>
        <w:rPr>
          <w:spacing w:val="-3"/>
          <w:sz w:val="18"/>
          <w:szCs w:val="18"/>
        </w:rPr>
      </w:pPr>
      <w:r w:rsidRPr="00FE6187">
        <w:rPr>
          <w:spacing w:val="-3"/>
          <w:sz w:val="18"/>
          <w:szCs w:val="18"/>
          <w:lang w:val="de-DE"/>
        </w:rPr>
        <w:t>Reinh</w:t>
      </w:r>
      <w:r w:rsidR="009E3E1E" w:rsidRPr="00FE6187">
        <w:rPr>
          <w:spacing w:val="-3"/>
          <w:sz w:val="18"/>
          <w:szCs w:val="18"/>
          <w:lang w:val="de-DE"/>
        </w:rPr>
        <w:t>art, Carmen, and Kenneth Rogoff,</w:t>
      </w:r>
      <w:r w:rsidRPr="00FE6187">
        <w:rPr>
          <w:spacing w:val="-3"/>
          <w:sz w:val="18"/>
          <w:szCs w:val="18"/>
          <w:lang w:val="de-DE"/>
        </w:rPr>
        <w:t xml:space="preserve"> </w:t>
      </w:r>
      <w:r w:rsidR="009E3E1E" w:rsidRPr="00FE6187">
        <w:rPr>
          <w:spacing w:val="-3"/>
          <w:sz w:val="18"/>
          <w:szCs w:val="18"/>
        </w:rPr>
        <w:t>2004,</w:t>
      </w:r>
      <w:r w:rsidRPr="00FE6187">
        <w:rPr>
          <w:spacing w:val="-3"/>
          <w:sz w:val="18"/>
          <w:szCs w:val="18"/>
        </w:rPr>
        <w:t xml:space="preserve"> “The Modern History of Exchange Rate Arrangements: A Reinterpretation.” </w:t>
      </w:r>
      <w:r w:rsidRPr="00FE6187">
        <w:rPr>
          <w:i/>
          <w:iCs/>
          <w:spacing w:val="-3"/>
          <w:sz w:val="18"/>
          <w:szCs w:val="18"/>
        </w:rPr>
        <w:t>Quarterly Journal of Economics</w:t>
      </w:r>
      <w:r w:rsidR="00041FDE" w:rsidRPr="00FE6187">
        <w:rPr>
          <w:spacing w:val="-3"/>
          <w:sz w:val="18"/>
          <w:szCs w:val="18"/>
        </w:rPr>
        <w:t xml:space="preserve"> 119(1)</w:t>
      </w:r>
      <w:r w:rsidRPr="00FE6187">
        <w:rPr>
          <w:spacing w:val="-3"/>
          <w:sz w:val="18"/>
          <w:szCs w:val="18"/>
        </w:rPr>
        <w:t>, February</w:t>
      </w:r>
      <w:r w:rsidR="00041FDE" w:rsidRPr="00FE6187">
        <w:rPr>
          <w:spacing w:val="-3"/>
          <w:sz w:val="18"/>
          <w:szCs w:val="18"/>
        </w:rPr>
        <w:t>, pp. 1-48.</w:t>
      </w:r>
    </w:p>
    <w:p w14:paraId="28048C3F" w14:textId="77777777" w:rsidR="005228E0" w:rsidRPr="00FE6187" w:rsidRDefault="005228E0" w:rsidP="00155D83">
      <w:pPr>
        <w:spacing w:after="0" w:line="240" w:lineRule="auto"/>
        <w:jc w:val="both"/>
        <w:rPr>
          <w:sz w:val="18"/>
          <w:szCs w:val="18"/>
        </w:rPr>
      </w:pPr>
    </w:p>
    <w:p w14:paraId="51850AC7" w14:textId="77777777" w:rsidR="00766585" w:rsidRDefault="00766585" w:rsidP="00155D83">
      <w:pPr>
        <w:spacing w:line="240" w:lineRule="auto"/>
        <w:rPr>
          <w:rFonts w:cs="Arial"/>
          <w:color w:val="000000" w:themeColor="text1"/>
          <w:sz w:val="18"/>
          <w:szCs w:val="18"/>
          <w:shd w:val="clear" w:color="auto" w:fill="FFFFFF"/>
        </w:rPr>
      </w:pPr>
      <w:r w:rsidRPr="00FE6187">
        <w:rPr>
          <w:rFonts w:cs="Arial"/>
          <w:color w:val="000000" w:themeColor="text1"/>
          <w:sz w:val="18"/>
          <w:szCs w:val="18"/>
          <w:shd w:val="clear" w:color="auto" w:fill="FFFFFF"/>
        </w:rPr>
        <w:lastRenderedPageBreak/>
        <w:t>Rey, Hélène. 201</w:t>
      </w:r>
      <w:r w:rsidR="004B7131" w:rsidRPr="00FE6187">
        <w:rPr>
          <w:rFonts w:cs="Arial"/>
          <w:color w:val="000000" w:themeColor="text1"/>
          <w:sz w:val="18"/>
          <w:szCs w:val="18"/>
          <w:shd w:val="clear" w:color="auto" w:fill="FFFFFF"/>
        </w:rPr>
        <w:t>4</w:t>
      </w:r>
      <w:r w:rsidRPr="00FE6187">
        <w:rPr>
          <w:rFonts w:cs="Arial"/>
          <w:color w:val="000000" w:themeColor="text1"/>
          <w:sz w:val="18"/>
          <w:szCs w:val="18"/>
          <w:shd w:val="clear" w:color="auto" w:fill="FFFFFF"/>
        </w:rPr>
        <w:t xml:space="preserve">. </w:t>
      </w:r>
      <w:r w:rsidRPr="00FE6187">
        <w:rPr>
          <w:rStyle w:val="apple-converted-space"/>
          <w:rFonts w:cs="Arial"/>
          <w:color w:val="000000" w:themeColor="text1"/>
          <w:sz w:val="18"/>
          <w:szCs w:val="18"/>
          <w:shd w:val="clear" w:color="auto" w:fill="FFFFFF"/>
        </w:rPr>
        <w:t>“</w:t>
      </w:r>
      <w:r w:rsidRPr="00FE6187">
        <w:rPr>
          <w:rFonts w:cs="Arial"/>
          <w:iCs/>
          <w:color w:val="000000" w:themeColor="text1"/>
          <w:sz w:val="18"/>
          <w:szCs w:val="18"/>
          <w:shd w:val="clear" w:color="auto" w:fill="FFFFFF"/>
        </w:rPr>
        <w:t>Dilemma Not Trilemma: The Global Financial Cycle and Monetary Policy</w:t>
      </w:r>
      <w:r w:rsidRPr="00FE6187">
        <w:rPr>
          <w:rFonts w:cs="Arial" w:hint="eastAsia"/>
          <w:iCs/>
          <w:color w:val="000000" w:themeColor="text1"/>
          <w:sz w:val="18"/>
          <w:szCs w:val="18"/>
          <w:shd w:val="clear" w:color="auto" w:fill="FFFFFF"/>
          <w:lang w:eastAsia="ko-KR"/>
        </w:rPr>
        <w:t xml:space="preserve"> </w:t>
      </w:r>
      <w:r w:rsidRPr="00FE6187">
        <w:rPr>
          <w:rFonts w:cs="Arial"/>
          <w:iCs/>
          <w:color w:val="000000" w:themeColor="text1"/>
          <w:sz w:val="18"/>
          <w:szCs w:val="18"/>
          <w:shd w:val="clear" w:color="auto" w:fill="FFFFFF"/>
        </w:rPr>
        <w:t>Independence,”</w:t>
      </w:r>
      <w:r w:rsidRPr="00FE6187">
        <w:rPr>
          <w:rFonts w:cs="Arial" w:hint="eastAsia"/>
          <w:iCs/>
          <w:color w:val="000000" w:themeColor="text1"/>
          <w:sz w:val="18"/>
          <w:szCs w:val="18"/>
          <w:shd w:val="clear" w:color="auto" w:fill="FFFFFF"/>
          <w:lang w:eastAsia="ko-KR"/>
        </w:rPr>
        <w:t xml:space="preserve"> </w:t>
      </w:r>
      <w:r w:rsidRPr="00FE6187">
        <w:rPr>
          <w:rFonts w:cs="Arial"/>
          <w:iCs/>
          <w:color w:val="000000" w:themeColor="text1"/>
          <w:sz w:val="18"/>
          <w:szCs w:val="18"/>
          <w:shd w:val="clear" w:color="auto" w:fill="FFFFFF"/>
        </w:rPr>
        <w:t xml:space="preserve"> </w:t>
      </w:r>
      <w:r w:rsidR="004B7131" w:rsidRPr="00FE6187">
        <w:rPr>
          <w:sz w:val="18"/>
          <w:szCs w:val="18"/>
        </w:rPr>
        <w:t xml:space="preserve"> in </w:t>
      </w:r>
      <w:r w:rsidR="004B7131" w:rsidRPr="00FE6187">
        <w:rPr>
          <w:rFonts w:ascii="Arial" w:hAnsi="Arial" w:cs="Arial"/>
          <w:i/>
          <w:iCs/>
          <w:color w:val="222222"/>
          <w:sz w:val="18"/>
          <w:szCs w:val="18"/>
          <w:shd w:val="clear" w:color="auto" w:fill="FFFFFF"/>
        </w:rPr>
        <w:t>Jackson Hole Economic Symposium 2013</w:t>
      </w:r>
      <w:r w:rsidR="004B7131" w:rsidRPr="00FE6187">
        <w:rPr>
          <w:rFonts w:ascii="Arial" w:hAnsi="Arial" w:cs="Arial"/>
          <w:color w:val="222222"/>
          <w:sz w:val="18"/>
          <w:szCs w:val="18"/>
          <w:shd w:val="clear" w:color="auto" w:fill="FFFFFF"/>
        </w:rPr>
        <w:t xml:space="preserve"> (Federal Reserve Bank of Kansas City).  </w:t>
      </w:r>
      <w:r w:rsidRPr="00FE6187">
        <w:rPr>
          <w:rFonts w:cs="Arial"/>
          <w:iCs/>
          <w:color w:val="000000" w:themeColor="text1"/>
          <w:sz w:val="18"/>
          <w:szCs w:val="18"/>
          <w:shd w:val="clear" w:color="auto" w:fill="FFFFFF"/>
        </w:rPr>
        <w:t>National Bureau of Economic Research</w:t>
      </w:r>
      <w:r w:rsidRPr="00FE6187">
        <w:rPr>
          <w:rFonts w:cs="Arial" w:hint="eastAsia"/>
          <w:iCs/>
          <w:color w:val="000000" w:themeColor="text1"/>
          <w:sz w:val="18"/>
          <w:szCs w:val="18"/>
          <w:shd w:val="clear" w:color="auto" w:fill="FFFFFF"/>
          <w:lang w:eastAsia="ko-KR"/>
        </w:rPr>
        <w:t xml:space="preserve"> WP No.</w:t>
      </w:r>
      <w:r w:rsidRPr="00FE6187">
        <w:rPr>
          <w:rFonts w:cs="Arial"/>
          <w:iCs/>
          <w:color w:val="000000" w:themeColor="text1"/>
          <w:sz w:val="18"/>
          <w:szCs w:val="18"/>
          <w:shd w:val="clear" w:color="auto" w:fill="FFFFFF"/>
        </w:rPr>
        <w:t xml:space="preserve"> </w:t>
      </w:r>
      <w:r w:rsidR="004B7131" w:rsidRPr="00FE6187">
        <w:rPr>
          <w:rFonts w:cs="Arial"/>
          <w:color w:val="000000" w:themeColor="text1"/>
          <w:sz w:val="18"/>
          <w:szCs w:val="18"/>
          <w:shd w:val="clear" w:color="auto" w:fill="FFFFFF"/>
        </w:rPr>
        <w:t>21162, 2015.</w:t>
      </w:r>
    </w:p>
    <w:p w14:paraId="0B4D96CF" w14:textId="6FD78937" w:rsidR="00D722BA" w:rsidRPr="00D722BA" w:rsidRDefault="00D722BA" w:rsidP="00155D83">
      <w:pPr>
        <w:spacing w:line="240" w:lineRule="auto"/>
        <w:rPr>
          <w:color w:val="000000" w:themeColor="text1"/>
          <w:sz w:val="18"/>
          <w:szCs w:val="18"/>
        </w:rPr>
      </w:pPr>
      <w:r w:rsidRPr="00D722BA">
        <w:rPr>
          <w:rFonts w:cs="Arial"/>
          <w:color w:val="222222"/>
          <w:sz w:val="18"/>
          <w:szCs w:val="18"/>
          <w:shd w:val="clear" w:color="auto" w:fill="FFFFFF"/>
        </w:rPr>
        <w:t>Rodrik, Dani</w:t>
      </w:r>
      <w:r>
        <w:rPr>
          <w:rFonts w:cs="Arial"/>
          <w:color w:val="222222"/>
          <w:sz w:val="18"/>
          <w:szCs w:val="18"/>
          <w:shd w:val="clear" w:color="auto" w:fill="FFFFFF"/>
        </w:rPr>
        <w:t>, 2006,</w:t>
      </w:r>
      <w:r w:rsidRPr="00D722BA">
        <w:rPr>
          <w:rFonts w:cs="Arial"/>
          <w:color w:val="222222"/>
          <w:sz w:val="18"/>
          <w:szCs w:val="18"/>
          <w:shd w:val="clear" w:color="auto" w:fill="FFFFFF"/>
        </w:rPr>
        <w:t xml:space="preserve"> "The social cost of foreign exchange reserves."</w:t>
      </w:r>
      <w:r w:rsidRPr="00D722BA">
        <w:rPr>
          <w:rStyle w:val="apple-converted-space"/>
          <w:rFonts w:cs="Arial"/>
          <w:color w:val="222222"/>
          <w:sz w:val="18"/>
          <w:szCs w:val="18"/>
          <w:shd w:val="clear" w:color="auto" w:fill="FFFFFF"/>
        </w:rPr>
        <w:t> </w:t>
      </w:r>
      <w:r w:rsidRPr="00D722BA">
        <w:rPr>
          <w:rFonts w:cs="Arial"/>
          <w:i/>
          <w:iCs/>
          <w:color w:val="222222"/>
          <w:sz w:val="18"/>
          <w:szCs w:val="18"/>
          <w:shd w:val="clear" w:color="auto" w:fill="FFFFFF"/>
        </w:rPr>
        <w:t>International Economic Journal</w:t>
      </w:r>
      <w:r w:rsidRPr="00D722BA">
        <w:rPr>
          <w:rStyle w:val="apple-converted-space"/>
          <w:rFonts w:cs="Arial"/>
          <w:color w:val="222222"/>
          <w:sz w:val="18"/>
          <w:szCs w:val="18"/>
          <w:shd w:val="clear" w:color="auto" w:fill="FFFFFF"/>
        </w:rPr>
        <w:t> </w:t>
      </w:r>
      <w:r>
        <w:rPr>
          <w:rFonts w:cs="Arial"/>
          <w:color w:val="222222"/>
          <w:sz w:val="18"/>
          <w:szCs w:val="18"/>
          <w:shd w:val="clear" w:color="auto" w:fill="FFFFFF"/>
        </w:rPr>
        <w:t xml:space="preserve">20.3 , pp. </w:t>
      </w:r>
      <w:r w:rsidRPr="00D722BA">
        <w:rPr>
          <w:rFonts w:cs="Arial"/>
          <w:color w:val="222222"/>
          <w:sz w:val="18"/>
          <w:szCs w:val="18"/>
          <w:shd w:val="clear" w:color="auto" w:fill="FFFFFF"/>
        </w:rPr>
        <w:t>253-266</w:t>
      </w:r>
      <w:r w:rsidRPr="00D722BA">
        <w:rPr>
          <w:rFonts w:cs="Arial"/>
          <w:color w:val="222222"/>
          <w:sz w:val="20"/>
          <w:szCs w:val="20"/>
          <w:shd w:val="clear" w:color="auto" w:fill="FFFFFF"/>
        </w:rPr>
        <w:t>.</w:t>
      </w:r>
    </w:p>
    <w:p w14:paraId="77FB5DDD" w14:textId="77777777" w:rsidR="007A17D3" w:rsidRPr="00FE6187" w:rsidRDefault="00C94EDB" w:rsidP="00155D83">
      <w:pPr>
        <w:pStyle w:val="NormalWeb"/>
        <w:spacing w:before="0" w:beforeAutospacing="0" w:after="0" w:afterAutospacing="0"/>
        <w:textAlignment w:val="baseline"/>
        <w:rPr>
          <w:sz w:val="18"/>
          <w:szCs w:val="18"/>
        </w:rPr>
      </w:pPr>
      <w:r w:rsidRPr="00FE6187">
        <w:rPr>
          <w:rFonts w:asciiTheme="minorHAnsi" w:hAnsi="Calibri"/>
          <w:color w:val="000000" w:themeColor="text1"/>
          <w:kern w:val="24"/>
          <w:sz w:val="18"/>
          <w:szCs w:val="18"/>
        </w:rPr>
        <w:t>Rose, Andrew</w:t>
      </w:r>
      <w:r w:rsidR="00A32F4B" w:rsidRPr="00FE6187">
        <w:rPr>
          <w:rFonts w:asciiTheme="minorHAnsi" w:hAnsi="Calibri"/>
          <w:color w:val="000000" w:themeColor="text1"/>
          <w:kern w:val="24"/>
          <w:sz w:val="18"/>
          <w:szCs w:val="18"/>
        </w:rPr>
        <w:t>, 2011, "Exchange Rate Regimes in the Modern Era: Fixed, Floating, and Flaky,”</w:t>
      </w:r>
      <w:r w:rsidR="00A32F4B" w:rsidRPr="00FE6187">
        <w:rPr>
          <w:rFonts w:asciiTheme="minorHAnsi" w:hAnsi="Calibri"/>
          <w:color w:val="000000" w:themeColor="text1"/>
          <w:kern w:val="24"/>
          <w:sz w:val="18"/>
          <w:szCs w:val="18"/>
        </w:rPr>
        <w:br/>
        <w:t xml:space="preserve"> </w:t>
      </w:r>
      <w:r w:rsidR="00A32F4B" w:rsidRPr="00FE6187">
        <w:rPr>
          <w:rFonts w:asciiTheme="minorHAnsi" w:hAnsi="Calibri"/>
          <w:i/>
          <w:iCs/>
          <w:color w:val="000000" w:themeColor="text1"/>
          <w:kern w:val="24"/>
          <w:sz w:val="18"/>
          <w:szCs w:val="18"/>
        </w:rPr>
        <w:t>J. Ec. Literature</w:t>
      </w:r>
      <w:r w:rsidR="00A32F4B" w:rsidRPr="00FE6187">
        <w:rPr>
          <w:rFonts w:asciiTheme="minorHAnsi" w:hAnsi="Calibri"/>
          <w:color w:val="000000" w:themeColor="text1"/>
          <w:kern w:val="24"/>
          <w:sz w:val="18"/>
          <w:szCs w:val="18"/>
        </w:rPr>
        <w:t xml:space="preserve">, Vol. 49, No. 3, Sept., pp. 652-672.  </w:t>
      </w:r>
      <w:r w:rsidR="00155D83" w:rsidRPr="00FE6187">
        <w:rPr>
          <w:rFonts w:asciiTheme="minorHAnsi" w:hAnsi="Calibri"/>
          <w:color w:val="000000" w:themeColor="text1"/>
          <w:kern w:val="24"/>
          <w:sz w:val="18"/>
          <w:szCs w:val="18"/>
        </w:rPr>
        <w:br/>
      </w:r>
    </w:p>
    <w:p w14:paraId="014CE4DE" w14:textId="77777777" w:rsidR="001E555A" w:rsidRPr="00FE6187" w:rsidRDefault="001E555A" w:rsidP="00B82868">
      <w:pPr>
        <w:rPr>
          <w:sz w:val="18"/>
          <w:szCs w:val="18"/>
        </w:rPr>
      </w:pPr>
      <w:r w:rsidRPr="00FE6187">
        <w:rPr>
          <w:sz w:val="18"/>
          <w:szCs w:val="18"/>
        </w:rPr>
        <w:t xml:space="preserve">Sarno, Lucio, and Mark P. Taylor, 2001, "Official Intervention in the FX Markets: Is It Effective and, If So, How Does It Work?" </w:t>
      </w:r>
      <w:r w:rsidRPr="00FE6187">
        <w:rPr>
          <w:i/>
          <w:sz w:val="18"/>
          <w:szCs w:val="18"/>
        </w:rPr>
        <w:t>Journal of Economic Literature</w:t>
      </w:r>
      <w:r w:rsidRPr="00FE6187">
        <w:rPr>
          <w:sz w:val="18"/>
          <w:szCs w:val="18"/>
        </w:rPr>
        <w:t>, 34(3), 839-868.</w:t>
      </w:r>
    </w:p>
    <w:p w14:paraId="7DF4DC9B" w14:textId="77777777" w:rsidR="003C2706" w:rsidRPr="00FE6187" w:rsidRDefault="003C2706" w:rsidP="003C2706">
      <w:pPr>
        <w:rPr>
          <w:sz w:val="18"/>
          <w:szCs w:val="18"/>
        </w:rPr>
      </w:pPr>
      <w:r w:rsidRPr="00FE6187">
        <w:rPr>
          <w:sz w:val="18"/>
          <w:szCs w:val="18"/>
        </w:rPr>
        <w:t xml:space="preserve">Subramanian, Arvind, 2011a, “Renminbi Rules: The Conditional Imminence of the Reserve Currency Transition.” </w:t>
      </w:r>
      <w:r w:rsidRPr="00FE6187">
        <w:rPr>
          <w:i/>
          <w:sz w:val="18"/>
          <w:szCs w:val="18"/>
        </w:rPr>
        <w:t>Working Paper Series</w:t>
      </w:r>
      <w:r w:rsidRPr="00FE6187">
        <w:rPr>
          <w:sz w:val="18"/>
          <w:szCs w:val="18"/>
        </w:rPr>
        <w:t xml:space="preserve"> No. 11-14 (Washington, D.C.: Peterson Institute for International Economics, September).</w:t>
      </w:r>
    </w:p>
    <w:p w14:paraId="35C01CD9" w14:textId="77777777" w:rsidR="003C2706" w:rsidRPr="00FE6187" w:rsidRDefault="003C2706" w:rsidP="003C2706">
      <w:pPr>
        <w:rPr>
          <w:sz w:val="18"/>
          <w:szCs w:val="18"/>
        </w:rPr>
      </w:pPr>
      <w:r w:rsidRPr="00FE6187">
        <w:rPr>
          <w:sz w:val="18"/>
          <w:szCs w:val="18"/>
        </w:rPr>
        <w:t>Subramanian, Arvind, 2011b,</w:t>
      </w:r>
      <w:r w:rsidRPr="00FE6187">
        <w:rPr>
          <w:i/>
          <w:sz w:val="18"/>
          <w:szCs w:val="18"/>
        </w:rPr>
        <w:t xml:space="preserve"> Eclipse: Living in the Shadow of China’s Economic Dominance </w:t>
      </w:r>
      <w:r w:rsidRPr="00FE6187">
        <w:rPr>
          <w:sz w:val="18"/>
          <w:szCs w:val="18"/>
        </w:rPr>
        <w:t>(Washington, DC: Peterson Institute for International Economics).</w:t>
      </w:r>
    </w:p>
    <w:p w14:paraId="261F7D7C" w14:textId="77777777" w:rsidR="005228E0" w:rsidRPr="00FE6187" w:rsidRDefault="005228E0" w:rsidP="005228E0">
      <w:pPr>
        <w:spacing w:line="240" w:lineRule="auto"/>
        <w:jc w:val="both"/>
        <w:rPr>
          <w:sz w:val="18"/>
          <w:szCs w:val="18"/>
        </w:rPr>
      </w:pPr>
      <w:r w:rsidRPr="00FE6187">
        <w:rPr>
          <w:sz w:val="18"/>
          <w:szCs w:val="18"/>
        </w:rPr>
        <w:t>Summers, Lawrence. 1999, “Building an International Financial Architecture for the 21</w:t>
      </w:r>
      <w:r w:rsidRPr="00FE6187">
        <w:rPr>
          <w:sz w:val="18"/>
          <w:szCs w:val="18"/>
          <w:vertAlign w:val="superscript"/>
        </w:rPr>
        <w:t>st</w:t>
      </w:r>
      <w:r w:rsidRPr="00FE6187">
        <w:rPr>
          <w:sz w:val="18"/>
          <w:szCs w:val="18"/>
        </w:rPr>
        <w:t xml:space="preserve"> Century.” </w:t>
      </w:r>
      <w:r w:rsidRPr="00FE6187">
        <w:rPr>
          <w:i/>
          <w:sz w:val="18"/>
          <w:szCs w:val="18"/>
        </w:rPr>
        <w:t>Cato Journal</w:t>
      </w:r>
      <w:r w:rsidRPr="00FE6187">
        <w:rPr>
          <w:sz w:val="18"/>
          <w:szCs w:val="18"/>
        </w:rPr>
        <w:t>, 18(3):321-330.</w:t>
      </w:r>
    </w:p>
    <w:p w14:paraId="211DD0EB" w14:textId="77777777" w:rsidR="005228E0" w:rsidRPr="00FE6187" w:rsidRDefault="005228E0" w:rsidP="005228E0">
      <w:pPr>
        <w:spacing w:before="100" w:beforeAutospacing="1" w:after="100" w:afterAutospacing="1" w:line="240" w:lineRule="auto"/>
        <w:rPr>
          <w:sz w:val="18"/>
          <w:szCs w:val="18"/>
        </w:rPr>
      </w:pPr>
      <w:r w:rsidRPr="00FE6187">
        <w:rPr>
          <w:sz w:val="18"/>
          <w:szCs w:val="18"/>
        </w:rPr>
        <w:t>Tavlas, George, Dellas, Harris, and Stockman, Alan, 2008. "</w:t>
      </w:r>
      <w:hyperlink r:id="rId27" w:history="1">
        <w:r w:rsidRPr="00FE6187">
          <w:rPr>
            <w:sz w:val="18"/>
            <w:szCs w:val="18"/>
          </w:rPr>
          <w:t>The Classification and Performance of Alternative Exchange-Rate Systems</w:t>
        </w:r>
      </w:hyperlink>
      <w:r w:rsidRPr="00FE6187">
        <w:rPr>
          <w:sz w:val="18"/>
          <w:szCs w:val="18"/>
        </w:rPr>
        <w:t xml:space="preserve">," </w:t>
      </w:r>
      <w:hyperlink r:id="rId28" w:history="1">
        <w:r w:rsidRPr="00FE6187">
          <w:rPr>
            <w:i/>
            <w:sz w:val="18"/>
            <w:szCs w:val="18"/>
          </w:rPr>
          <w:t>European Economic Review</w:t>
        </w:r>
      </w:hyperlink>
      <w:r w:rsidRPr="00FE6187">
        <w:rPr>
          <w:sz w:val="18"/>
          <w:szCs w:val="18"/>
        </w:rPr>
        <w:t xml:space="preserve">, 52(6): 941-63, August. </w:t>
      </w:r>
    </w:p>
    <w:p w14:paraId="0FE49D2B" w14:textId="77777777" w:rsidR="008226DA" w:rsidRPr="00FE6187" w:rsidRDefault="008226DA" w:rsidP="005228E0">
      <w:pPr>
        <w:spacing w:before="100" w:beforeAutospacing="1" w:after="100" w:afterAutospacing="1" w:line="240" w:lineRule="auto"/>
        <w:rPr>
          <w:sz w:val="18"/>
          <w:szCs w:val="18"/>
        </w:rPr>
      </w:pPr>
      <w:r w:rsidRPr="00FE6187">
        <w:rPr>
          <w:sz w:val="18"/>
          <w:szCs w:val="18"/>
        </w:rPr>
        <w:t xml:space="preserve">Taylor, Alan M., 2002, “A Century of Purchasing Power Parity.” </w:t>
      </w:r>
      <w:r w:rsidRPr="00FE6187">
        <w:rPr>
          <w:i/>
          <w:sz w:val="18"/>
          <w:szCs w:val="18"/>
        </w:rPr>
        <w:t>Review of Economics and Statistics</w:t>
      </w:r>
      <w:r w:rsidRPr="00FE6187">
        <w:rPr>
          <w:sz w:val="18"/>
          <w:szCs w:val="18"/>
        </w:rPr>
        <w:t xml:space="preserve"> 84</w:t>
      </w:r>
      <w:r w:rsidR="008B1E72" w:rsidRPr="00FE6187">
        <w:rPr>
          <w:sz w:val="18"/>
          <w:szCs w:val="18"/>
        </w:rPr>
        <w:t>,</w:t>
      </w:r>
      <w:r w:rsidRPr="00FE6187">
        <w:rPr>
          <w:sz w:val="18"/>
          <w:szCs w:val="18"/>
        </w:rPr>
        <w:t xml:space="preserve"> February, pp.: 139–50.</w:t>
      </w:r>
    </w:p>
    <w:p w14:paraId="506E2D46" w14:textId="77777777" w:rsidR="00483AE6" w:rsidRPr="00FE6187" w:rsidRDefault="00573318" w:rsidP="00155D83">
      <w:pPr>
        <w:pStyle w:val="Bibliography"/>
        <w:spacing w:before="80" w:after="0" w:line="240" w:lineRule="auto"/>
        <w:rPr>
          <w:rFonts w:cs="Times New Roman"/>
          <w:noProof/>
          <w:color w:val="000000" w:themeColor="text1"/>
          <w:sz w:val="18"/>
          <w:szCs w:val="18"/>
        </w:rPr>
      </w:pPr>
      <w:r w:rsidRPr="00FE6187">
        <w:rPr>
          <w:sz w:val="18"/>
          <w:szCs w:val="18"/>
        </w:rPr>
        <w:t xml:space="preserve">Truman </w:t>
      </w:r>
      <w:r w:rsidR="008C3435" w:rsidRPr="00FE6187">
        <w:rPr>
          <w:rFonts w:cs="Times New Roman"/>
          <w:noProof/>
          <w:color w:val="000000" w:themeColor="text1"/>
          <w:sz w:val="18"/>
          <w:szCs w:val="18"/>
        </w:rPr>
        <w:t xml:space="preserve">, Edwin, 2003, “The Limits of Exchange Market Intervention,: in </w:t>
      </w:r>
      <w:r w:rsidR="008C3435" w:rsidRPr="00FE6187">
        <w:rPr>
          <w:rFonts w:cs="Times New Roman"/>
          <w:i/>
          <w:iCs/>
          <w:noProof/>
          <w:color w:val="000000" w:themeColor="text1"/>
          <w:sz w:val="18"/>
          <w:szCs w:val="18"/>
        </w:rPr>
        <w:t>Dollar Overvaluation and the World Economy</w:t>
      </w:r>
      <w:r w:rsidR="008C3435" w:rsidRPr="00FE6187">
        <w:rPr>
          <w:rFonts w:cs="Times New Roman"/>
          <w:noProof/>
          <w:color w:val="000000" w:themeColor="text1"/>
          <w:sz w:val="18"/>
          <w:szCs w:val="18"/>
        </w:rPr>
        <w:t>, C. Fred Bergsten and John Williamson, eds., 247–65 (Washington: Peterson Institute for International Economics).</w:t>
      </w:r>
      <w:r w:rsidR="00155D83" w:rsidRPr="00FE6187">
        <w:rPr>
          <w:rFonts w:cs="Times New Roman"/>
          <w:noProof/>
          <w:color w:val="000000" w:themeColor="text1"/>
          <w:sz w:val="18"/>
          <w:szCs w:val="18"/>
        </w:rPr>
        <w:br/>
      </w:r>
    </w:p>
    <w:p w14:paraId="2DCBA82E" w14:textId="77777777" w:rsidR="00D254ED" w:rsidRDefault="00483AE6" w:rsidP="00B82868">
      <w:pPr>
        <w:rPr>
          <w:sz w:val="18"/>
          <w:szCs w:val="18"/>
        </w:rPr>
      </w:pPr>
      <w:r w:rsidRPr="00FE6187">
        <w:rPr>
          <w:sz w:val="18"/>
          <w:szCs w:val="18"/>
        </w:rPr>
        <w:t xml:space="preserve">Williamson, John, 2001. “The Case for a Basket, Band and Crawl (BBC) Regime for East Asia,” </w:t>
      </w:r>
      <w:r w:rsidRPr="00FE6187">
        <w:rPr>
          <w:i/>
          <w:sz w:val="18"/>
          <w:szCs w:val="18"/>
        </w:rPr>
        <w:t>In Future Directions for Monetary Policies in East Asia</w:t>
      </w:r>
      <w:r w:rsidRPr="00FE6187">
        <w:rPr>
          <w:sz w:val="18"/>
          <w:szCs w:val="18"/>
        </w:rPr>
        <w:t>, edited by David Gruen and John Simon. Sydney: Reserve Bank of Australia: 97-111.</w:t>
      </w:r>
    </w:p>
    <w:p w14:paraId="78FFA6B4" w14:textId="77777777" w:rsidR="009B671E" w:rsidRDefault="009B671E" w:rsidP="00B82868">
      <w:pPr>
        <w:rPr>
          <w:sz w:val="18"/>
          <w:szCs w:val="18"/>
        </w:rPr>
      </w:pPr>
    </w:p>
    <w:p w14:paraId="02AB37DD" w14:textId="77777777" w:rsidR="009B671E" w:rsidRDefault="009B671E" w:rsidP="00B82868">
      <w:pPr>
        <w:rPr>
          <w:sz w:val="18"/>
          <w:szCs w:val="18"/>
        </w:rPr>
      </w:pPr>
    </w:p>
    <w:p w14:paraId="7D8ABF1F" w14:textId="77777777" w:rsidR="00DA0453" w:rsidRDefault="00DA0453" w:rsidP="00B82868">
      <w:pPr>
        <w:rPr>
          <w:sz w:val="18"/>
          <w:szCs w:val="18"/>
        </w:rPr>
      </w:pPr>
    </w:p>
    <w:p w14:paraId="4ED2FE0D" w14:textId="77777777" w:rsidR="009B671E" w:rsidRDefault="009B671E" w:rsidP="00B82868">
      <w:pPr>
        <w:rPr>
          <w:sz w:val="18"/>
          <w:szCs w:val="18"/>
        </w:rPr>
      </w:pPr>
    </w:p>
    <w:p w14:paraId="0F6917F6" w14:textId="77777777" w:rsidR="00D43014" w:rsidRDefault="00D43014" w:rsidP="009B671E">
      <w:pPr>
        <w:jc w:val="center"/>
        <w:rPr>
          <w:rFonts w:cs="Times New Roman"/>
          <w:b/>
          <w:i/>
          <w:sz w:val="40"/>
          <w:szCs w:val="40"/>
        </w:rPr>
      </w:pPr>
    </w:p>
    <w:p w14:paraId="4DC8E6AC" w14:textId="77777777" w:rsidR="00D43014" w:rsidRDefault="00D43014" w:rsidP="009B671E">
      <w:pPr>
        <w:jc w:val="center"/>
        <w:rPr>
          <w:rFonts w:cs="Times New Roman"/>
          <w:b/>
          <w:i/>
          <w:sz w:val="40"/>
          <w:szCs w:val="40"/>
        </w:rPr>
      </w:pPr>
    </w:p>
    <w:p w14:paraId="2F463811" w14:textId="77777777" w:rsidR="00D43014" w:rsidRDefault="00D43014" w:rsidP="009B671E">
      <w:pPr>
        <w:jc w:val="center"/>
        <w:rPr>
          <w:rFonts w:cs="Times New Roman"/>
          <w:b/>
          <w:i/>
          <w:sz w:val="40"/>
          <w:szCs w:val="40"/>
        </w:rPr>
      </w:pPr>
    </w:p>
    <w:p w14:paraId="33E1A703" w14:textId="77777777" w:rsidR="00D43014" w:rsidRDefault="00D43014" w:rsidP="009B671E">
      <w:pPr>
        <w:jc w:val="center"/>
        <w:rPr>
          <w:rFonts w:cs="Times New Roman"/>
          <w:b/>
          <w:i/>
          <w:sz w:val="40"/>
          <w:szCs w:val="40"/>
        </w:rPr>
      </w:pPr>
    </w:p>
    <w:p w14:paraId="72D0F8D3" w14:textId="77777777" w:rsidR="00D43014" w:rsidRDefault="00D43014" w:rsidP="009B671E">
      <w:pPr>
        <w:jc w:val="center"/>
        <w:rPr>
          <w:rFonts w:cs="Times New Roman"/>
          <w:b/>
          <w:i/>
          <w:sz w:val="40"/>
          <w:szCs w:val="40"/>
        </w:rPr>
        <w:sectPr w:rsidR="00D43014">
          <w:footerReference w:type="default" r:id="rId29"/>
          <w:pgSz w:w="12240" w:h="15840"/>
          <w:pgMar w:top="1440" w:right="1440" w:bottom="1440" w:left="1440" w:header="720" w:footer="720" w:gutter="0"/>
          <w:cols w:space="720"/>
          <w:docGrid w:linePitch="360"/>
        </w:sectPr>
      </w:pPr>
    </w:p>
    <w:p w14:paraId="55E6B594" w14:textId="77777777" w:rsidR="009B671E" w:rsidRPr="009B671E" w:rsidRDefault="00D43014" w:rsidP="00D43014">
      <w:pPr>
        <w:jc w:val="center"/>
        <w:rPr>
          <w:sz w:val="40"/>
          <w:szCs w:val="40"/>
        </w:rPr>
      </w:pPr>
      <w:r>
        <w:rPr>
          <w:rFonts w:cs="Times New Roman"/>
          <w:b/>
          <w:sz w:val="40"/>
          <w:szCs w:val="40"/>
        </w:rPr>
        <w:lastRenderedPageBreak/>
        <w:t xml:space="preserve">Appendix Tables A and B: </w:t>
      </w:r>
      <w:r w:rsidR="009B671E" w:rsidRPr="009B671E">
        <w:rPr>
          <w:rFonts w:cs="Times New Roman"/>
          <w:b/>
          <w:sz w:val="40"/>
          <w:szCs w:val="40"/>
        </w:rPr>
        <w:t>Effect of Shocks on Real Exchange Rates</w:t>
      </w:r>
    </w:p>
    <w:p w14:paraId="0ED0E395" w14:textId="4EDB1197" w:rsidR="00D43014" w:rsidRPr="0068332E" w:rsidRDefault="00D43014" w:rsidP="00D43014">
      <w:pPr>
        <w:ind w:left="720"/>
        <w:rPr>
          <w:rFonts w:cs="Times New Roman"/>
          <w:b/>
          <w:sz w:val="28"/>
        </w:rPr>
      </w:pPr>
      <w:r w:rsidRPr="002F0B8D">
        <w:rPr>
          <w:rFonts w:cs="Times New Roman"/>
          <w:b/>
          <w:sz w:val="8"/>
          <w:szCs w:val="8"/>
        </w:rPr>
        <w:br/>
      </w:r>
      <w:r>
        <w:rPr>
          <w:rFonts w:cs="Times New Roman"/>
          <w:b/>
          <w:sz w:val="28"/>
        </w:rPr>
        <w:t xml:space="preserve">Appendix Tables A:   Effect of Shocks on Real Exchange Rates </w:t>
      </w:r>
      <w:r w:rsidR="004C7BE5">
        <w:rPr>
          <w:rFonts w:cs="Times New Roman"/>
          <w:b/>
          <w:sz w:val="28"/>
        </w:rPr>
        <w:t>among</w:t>
      </w:r>
      <w:r>
        <w:rPr>
          <w:rFonts w:cs="Times New Roman"/>
          <w:b/>
          <w:sz w:val="28"/>
        </w:rPr>
        <w:t xml:space="preserve"> Asia</w:t>
      </w:r>
      <w:r w:rsidRPr="0068332E">
        <w:rPr>
          <w:rFonts w:cs="Times New Roman"/>
          <w:b/>
          <w:sz w:val="28"/>
        </w:rPr>
        <w:t xml:space="preserve"> </w:t>
      </w:r>
      <w:r>
        <w:rPr>
          <w:rFonts w:cs="Times New Roman"/>
          <w:b/>
          <w:sz w:val="28"/>
        </w:rPr>
        <w:t>Non-Commodity</w:t>
      </w:r>
      <w:r w:rsidRPr="0068332E">
        <w:rPr>
          <w:rFonts w:cs="Times New Roman"/>
          <w:b/>
          <w:sz w:val="28"/>
        </w:rPr>
        <w:t>-Exporters</w:t>
      </w:r>
      <w:r>
        <w:rPr>
          <w:rFonts w:cs="Times New Roman"/>
          <w:b/>
          <w:sz w:val="28"/>
        </w:rPr>
        <w:br/>
        <w:t xml:space="preserve">A1) </w:t>
      </w:r>
      <w:r w:rsidRPr="0068332E">
        <w:rPr>
          <w:rFonts w:cs="Times New Roman"/>
          <w:b/>
          <w:sz w:val="28"/>
        </w:rPr>
        <w:t>OLS: Log of REER on Log of VIX and lagged REER</w:t>
      </w:r>
    </w:p>
    <w:tbl>
      <w:tblPr>
        <w:tblStyle w:val="PlainTable41"/>
        <w:tblW w:w="9738" w:type="dxa"/>
        <w:tblInd w:w="1440" w:type="dxa"/>
        <w:tblLayout w:type="fixed"/>
        <w:tblLook w:val="04A0" w:firstRow="1" w:lastRow="0" w:firstColumn="1" w:lastColumn="0" w:noHBand="0" w:noVBand="1"/>
      </w:tblPr>
      <w:tblGrid>
        <w:gridCol w:w="1278"/>
        <w:gridCol w:w="990"/>
        <w:gridCol w:w="990"/>
        <w:gridCol w:w="1090"/>
        <w:gridCol w:w="1002"/>
        <w:gridCol w:w="1148"/>
        <w:gridCol w:w="1074"/>
        <w:gridCol w:w="1086"/>
        <w:gridCol w:w="1080"/>
      </w:tblGrid>
      <w:tr w:rsidR="00D43014" w:rsidRPr="00C33A50" w14:paraId="799E61E9"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tcBorders>
          </w:tcPr>
          <w:p w14:paraId="7EB7856B" w14:textId="77777777" w:rsidR="00D43014" w:rsidRPr="00C33A50" w:rsidRDefault="00D43014" w:rsidP="002F782A">
            <w:pPr>
              <w:rPr>
                <w:rFonts w:cs="Times New Roman"/>
                <w:sz w:val="20"/>
                <w:szCs w:val="20"/>
              </w:rPr>
            </w:pPr>
          </w:p>
        </w:tc>
        <w:tc>
          <w:tcPr>
            <w:tcW w:w="990" w:type="dxa"/>
            <w:tcBorders>
              <w:top w:val="single" w:sz="4" w:space="0" w:color="auto"/>
            </w:tcBorders>
          </w:tcPr>
          <w:p w14:paraId="61866636"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(1)</w:t>
            </w:r>
          </w:p>
        </w:tc>
        <w:tc>
          <w:tcPr>
            <w:tcW w:w="990" w:type="dxa"/>
            <w:tcBorders>
              <w:top w:val="single" w:sz="4" w:space="0" w:color="auto"/>
            </w:tcBorders>
          </w:tcPr>
          <w:p w14:paraId="7C0C07B2"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(2)</w:t>
            </w:r>
          </w:p>
        </w:tc>
        <w:tc>
          <w:tcPr>
            <w:tcW w:w="1090" w:type="dxa"/>
            <w:tcBorders>
              <w:top w:val="single" w:sz="4" w:space="0" w:color="auto"/>
            </w:tcBorders>
          </w:tcPr>
          <w:p w14:paraId="74902EF2"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(3)</w:t>
            </w:r>
          </w:p>
        </w:tc>
        <w:tc>
          <w:tcPr>
            <w:tcW w:w="1002" w:type="dxa"/>
            <w:tcBorders>
              <w:top w:val="single" w:sz="4" w:space="0" w:color="auto"/>
            </w:tcBorders>
          </w:tcPr>
          <w:p w14:paraId="5A6600B5"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(4)</w:t>
            </w:r>
          </w:p>
        </w:tc>
        <w:tc>
          <w:tcPr>
            <w:tcW w:w="1148" w:type="dxa"/>
            <w:tcBorders>
              <w:top w:val="single" w:sz="4" w:space="0" w:color="auto"/>
            </w:tcBorders>
          </w:tcPr>
          <w:p w14:paraId="16361744"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(5)</w:t>
            </w:r>
          </w:p>
        </w:tc>
        <w:tc>
          <w:tcPr>
            <w:tcW w:w="1074" w:type="dxa"/>
            <w:tcBorders>
              <w:top w:val="single" w:sz="4" w:space="0" w:color="auto"/>
            </w:tcBorders>
          </w:tcPr>
          <w:p w14:paraId="34275AAE"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(6)</w:t>
            </w:r>
          </w:p>
        </w:tc>
        <w:tc>
          <w:tcPr>
            <w:tcW w:w="1086" w:type="dxa"/>
            <w:tcBorders>
              <w:top w:val="single" w:sz="4" w:space="0" w:color="auto"/>
            </w:tcBorders>
          </w:tcPr>
          <w:p w14:paraId="64CE89EB"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(7)</w:t>
            </w:r>
          </w:p>
        </w:tc>
        <w:tc>
          <w:tcPr>
            <w:tcW w:w="1080" w:type="dxa"/>
            <w:tcBorders>
              <w:top w:val="single" w:sz="4" w:space="0" w:color="auto"/>
            </w:tcBorders>
          </w:tcPr>
          <w:p w14:paraId="628DEBDD"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(8)</w:t>
            </w:r>
          </w:p>
        </w:tc>
      </w:tr>
      <w:tr w:rsidR="00D43014" w:rsidRPr="00C33A50" w14:paraId="63E44371"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Borders>
              <w:bottom w:val="single" w:sz="4" w:space="0" w:color="auto"/>
            </w:tcBorders>
          </w:tcPr>
          <w:p w14:paraId="4C1F25AC" w14:textId="77777777" w:rsidR="00D43014" w:rsidRPr="00C33A50" w:rsidRDefault="00D43014" w:rsidP="002F782A">
            <w:pPr>
              <w:rPr>
                <w:rFonts w:cs="Times New Roman"/>
                <w:sz w:val="20"/>
                <w:szCs w:val="20"/>
              </w:rPr>
            </w:pPr>
            <w:r w:rsidRPr="00C33A50">
              <w:rPr>
                <w:rFonts w:cs="Times New Roman"/>
                <w:sz w:val="20"/>
                <w:szCs w:val="20"/>
              </w:rPr>
              <w:t>VARIABLES</w:t>
            </w:r>
          </w:p>
        </w:tc>
        <w:tc>
          <w:tcPr>
            <w:tcW w:w="990" w:type="dxa"/>
            <w:tcBorders>
              <w:bottom w:val="single" w:sz="4" w:space="0" w:color="auto"/>
            </w:tcBorders>
          </w:tcPr>
          <w:p w14:paraId="61F52567"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HKG</w:t>
            </w:r>
          </w:p>
        </w:tc>
        <w:tc>
          <w:tcPr>
            <w:tcW w:w="990" w:type="dxa"/>
            <w:tcBorders>
              <w:bottom w:val="single" w:sz="4" w:space="0" w:color="auto"/>
            </w:tcBorders>
          </w:tcPr>
          <w:p w14:paraId="14A8CC2B"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India</w:t>
            </w:r>
          </w:p>
        </w:tc>
        <w:tc>
          <w:tcPr>
            <w:tcW w:w="1090" w:type="dxa"/>
            <w:tcBorders>
              <w:bottom w:val="single" w:sz="4" w:space="0" w:color="auto"/>
            </w:tcBorders>
          </w:tcPr>
          <w:p w14:paraId="2AAD48BE"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Korea, R</w:t>
            </w:r>
          </w:p>
        </w:tc>
        <w:tc>
          <w:tcPr>
            <w:tcW w:w="1002" w:type="dxa"/>
            <w:tcBorders>
              <w:bottom w:val="single" w:sz="4" w:space="0" w:color="auto"/>
            </w:tcBorders>
          </w:tcPr>
          <w:p w14:paraId="54CC6090"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Malaysia</w:t>
            </w:r>
          </w:p>
        </w:tc>
        <w:tc>
          <w:tcPr>
            <w:tcW w:w="1148" w:type="dxa"/>
            <w:tcBorders>
              <w:bottom w:val="single" w:sz="4" w:space="0" w:color="auto"/>
            </w:tcBorders>
          </w:tcPr>
          <w:p w14:paraId="3FA14F5A"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Philippines</w:t>
            </w:r>
          </w:p>
        </w:tc>
        <w:tc>
          <w:tcPr>
            <w:tcW w:w="1074" w:type="dxa"/>
            <w:tcBorders>
              <w:bottom w:val="single" w:sz="4" w:space="0" w:color="auto"/>
            </w:tcBorders>
          </w:tcPr>
          <w:p w14:paraId="2A6DFDC6"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Singapore</w:t>
            </w:r>
          </w:p>
        </w:tc>
        <w:tc>
          <w:tcPr>
            <w:tcW w:w="1086" w:type="dxa"/>
            <w:tcBorders>
              <w:bottom w:val="single" w:sz="4" w:space="0" w:color="auto"/>
            </w:tcBorders>
          </w:tcPr>
          <w:p w14:paraId="58AD52BF"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Thailand</w:t>
            </w:r>
          </w:p>
        </w:tc>
        <w:tc>
          <w:tcPr>
            <w:tcW w:w="1080" w:type="dxa"/>
            <w:tcBorders>
              <w:bottom w:val="single" w:sz="4" w:space="0" w:color="auto"/>
            </w:tcBorders>
          </w:tcPr>
          <w:p w14:paraId="0C4C3D9C"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Turkey</w:t>
            </w:r>
          </w:p>
        </w:tc>
      </w:tr>
      <w:tr w:rsidR="00D43014" w:rsidRPr="00C33A50" w14:paraId="6142A4E1" w14:textId="77777777" w:rsidTr="002F782A">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tcBorders>
          </w:tcPr>
          <w:p w14:paraId="46FC219D" w14:textId="77777777" w:rsidR="00D43014" w:rsidRPr="00C33A50" w:rsidRDefault="00D43014" w:rsidP="002F782A">
            <w:pPr>
              <w:rPr>
                <w:rFonts w:cs="Times New Roman"/>
                <w:sz w:val="20"/>
                <w:szCs w:val="20"/>
              </w:rPr>
            </w:pPr>
          </w:p>
        </w:tc>
        <w:tc>
          <w:tcPr>
            <w:tcW w:w="990" w:type="dxa"/>
            <w:tcBorders>
              <w:top w:val="single" w:sz="4" w:space="0" w:color="auto"/>
            </w:tcBorders>
          </w:tcPr>
          <w:p w14:paraId="51A25C86"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990" w:type="dxa"/>
            <w:tcBorders>
              <w:top w:val="single" w:sz="4" w:space="0" w:color="auto"/>
            </w:tcBorders>
          </w:tcPr>
          <w:p w14:paraId="5CC46E60"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90" w:type="dxa"/>
            <w:tcBorders>
              <w:top w:val="single" w:sz="4" w:space="0" w:color="auto"/>
            </w:tcBorders>
          </w:tcPr>
          <w:p w14:paraId="76CB2FB7"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02" w:type="dxa"/>
            <w:tcBorders>
              <w:top w:val="single" w:sz="4" w:space="0" w:color="auto"/>
            </w:tcBorders>
          </w:tcPr>
          <w:p w14:paraId="6BF26D53"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148" w:type="dxa"/>
            <w:tcBorders>
              <w:top w:val="single" w:sz="4" w:space="0" w:color="auto"/>
            </w:tcBorders>
          </w:tcPr>
          <w:p w14:paraId="4E58EE15"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74" w:type="dxa"/>
            <w:tcBorders>
              <w:top w:val="single" w:sz="4" w:space="0" w:color="auto"/>
            </w:tcBorders>
          </w:tcPr>
          <w:p w14:paraId="44B268E1"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86" w:type="dxa"/>
            <w:tcBorders>
              <w:top w:val="single" w:sz="4" w:space="0" w:color="auto"/>
            </w:tcBorders>
          </w:tcPr>
          <w:p w14:paraId="0B6E63FF"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80" w:type="dxa"/>
            <w:tcBorders>
              <w:top w:val="single" w:sz="4" w:space="0" w:color="auto"/>
            </w:tcBorders>
          </w:tcPr>
          <w:p w14:paraId="24FEE277"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D43014" w:rsidRPr="00C33A50" w14:paraId="70B2EB40"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54BC27AD" w14:textId="77777777" w:rsidR="00D43014" w:rsidRPr="00C33A50" w:rsidRDefault="00D43014" w:rsidP="002F782A">
            <w:pPr>
              <w:rPr>
                <w:rFonts w:cs="Times New Roman"/>
                <w:sz w:val="20"/>
                <w:szCs w:val="20"/>
              </w:rPr>
            </w:pPr>
            <w:r w:rsidRPr="00C33A50">
              <w:rPr>
                <w:rFonts w:cs="Times New Roman"/>
                <w:sz w:val="20"/>
                <w:szCs w:val="20"/>
              </w:rPr>
              <w:t>Log of VIX</w:t>
            </w:r>
          </w:p>
        </w:tc>
        <w:tc>
          <w:tcPr>
            <w:tcW w:w="990" w:type="dxa"/>
          </w:tcPr>
          <w:p w14:paraId="514AECD1"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0.002</w:t>
            </w:r>
          </w:p>
        </w:tc>
        <w:tc>
          <w:tcPr>
            <w:tcW w:w="990" w:type="dxa"/>
          </w:tcPr>
          <w:p w14:paraId="426BE704"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-0.006*</w:t>
            </w:r>
          </w:p>
        </w:tc>
        <w:tc>
          <w:tcPr>
            <w:tcW w:w="1090" w:type="dxa"/>
          </w:tcPr>
          <w:p w14:paraId="408A5D2B"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-0.047***</w:t>
            </w:r>
          </w:p>
        </w:tc>
        <w:tc>
          <w:tcPr>
            <w:tcW w:w="1002" w:type="dxa"/>
          </w:tcPr>
          <w:p w14:paraId="172516DC"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-0.009*</w:t>
            </w:r>
          </w:p>
        </w:tc>
        <w:tc>
          <w:tcPr>
            <w:tcW w:w="1148" w:type="dxa"/>
          </w:tcPr>
          <w:p w14:paraId="04EAC068"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-0.011***</w:t>
            </w:r>
          </w:p>
        </w:tc>
        <w:tc>
          <w:tcPr>
            <w:tcW w:w="1074" w:type="dxa"/>
          </w:tcPr>
          <w:p w14:paraId="3CE3F806"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-0.005***</w:t>
            </w:r>
          </w:p>
        </w:tc>
        <w:tc>
          <w:tcPr>
            <w:tcW w:w="1086" w:type="dxa"/>
          </w:tcPr>
          <w:p w14:paraId="10AED866"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-0.011***</w:t>
            </w:r>
          </w:p>
        </w:tc>
        <w:tc>
          <w:tcPr>
            <w:tcW w:w="1080" w:type="dxa"/>
          </w:tcPr>
          <w:p w14:paraId="1EB068D8"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-0.019***</w:t>
            </w:r>
          </w:p>
        </w:tc>
      </w:tr>
      <w:tr w:rsidR="00D43014" w:rsidRPr="00C33A50" w14:paraId="3B8DEB84" w14:textId="77777777" w:rsidTr="002F782A">
        <w:tc>
          <w:tcPr>
            <w:cnfStyle w:val="001000000000" w:firstRow="0" w:lastRow="0" w:firstColumn="1" w:lastColumn="0" w:oddVBand="0" w:evenVBand="0" w:oddHBand="0" w:evenHBand="0" w:firstRowFirstColumn="0" w:firstRowLastColumn="0" w:lastRowFirstColumn="0" w:lastRowLastColumn="0"/>
            <w:tcW w:w="1278" w:type="dxa"/>
          </w:tcPr>
          <w:p w14:paraId="1AF7ECB7" w14:textId="77777777" w:rsidR="00D43014" w:rsidRPr="00C33A50" w:rsidRDefault="00D43014" w:rsidP="002F782A">
            <w:pPr>
              <w:rPr>
                <w:rFonts w:cs="Times New Roman"/>
                <w:sz w:val="20"/>
                <w:szCs w:val="20"/>
              </w:rPr>
            </w:pPr>
          </w:p>
        </w:tc>
        <w:tc>
          <w:tcPr>
            <w:tcW w:w="990" w:type="dxa"/>
          </w:tcPr>
          <w:p w14:paraId="3440E2B3"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(0.004)</w:t>
            </w:r>
          </w:p>
        </w:tc>
        <w:tc>
          <w:tcPr>
            <w:tcW w:w="990" w:type="dxa"/>
          </w:tcPr>
          <w:p w14:paraId="3845CC0A"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(0.003)</w:t>
            </w:r>
          </w:p>
        </w:tc>
        <w:tc>
          <w:tcPr>
            <w:tcW w:w="1090" w:type="dxa"/>
          </w:tcPr>
          <w:p w14:paraId="68B15B65"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(0.009)</w:t>
            </w:r>
          </w:p>
        </w:tc>
        <w:tc>
          <w:tcPr>
            <w:tcW w:w="1002" w:type="dxa"/>
          </w:tcPr>
          <w:p w14:paraId="770C21A2"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(0.005)</w:t>
            </w:r>
          </w:p>
        </w:tc>
        <w:tc>
          <w:tcPr>
            <w:tcW w:w="1148" w:type="dxa"/>
          </w:tcPr>
          <w:p w14:paraId="27732BEE"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(0.003)</w:t>
            </w:r>
          </w:p>
        </w:tc>
        <w:tc>
          <w:tcPr>
            <w:tcW w:w="1074" w:type="dxa"/>
          </w:tcPr>
          <w:p w14:paraId="0869087B"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(0.002)</w:t>
            </w:r>
          </w:p>
        </w:tc>
        <w:tc>
          <w:tcPr>
            <w:tcW w:w="1086" w:type="dxa"/>
          </w:tcPr>
          <w:p w14:paraId="407700F2"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(0.003)</w:t>
            </w:r>
          </w:p>
        </w:tc>
        <w:tc>
          <w:tcPr>
            <w:tcW w:w="1080" w:type="dxa"/>
          </w:tcPr>
          <w:p w14:paraId="306C087A"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(0.006)</w:t>
            </w:r>
          </w:p>
        </w:tc>
      </w:tr>
      <w:tr w:rsidR="00D43014" w:rsidRPr="00C33A50" w14:paraId="437F5843"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4E90ED76" w14:textId="77777777" w:rsidR="00D43014" w:rsidRPr="00C33A50" w:rsidRDefault="00D43014" w:rsidP="002F782A">
            <w:pPr>
              <w:rPr>
                <w:rFonts w:cs="Times New Roman"/>
                <w:sz w:val="20"/>
                <w:szCs w:val="20"/>
              </w:rPr>
            </w:pPr>
            <w:r w:rsidRPr="00C33A50">
              <w:rPr>
                <w:rFonts w:cs="Times New Roman"/>
                <w:sz w:val="20"/>
                <w:szCs w:val="20"/>
              </w:rPr>
              <w:t>REER Lag</w:t>
            </w:r>
          </w:p>
        </w:tc>
        <w:tc>
          <w:tcPr>
            <w:tcW w:w="990" w:type="dxa"/>
          </w:tcPr>
          <w:p w14:paraId="28F29EC9"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0.993***</w:t>
            </w:r>
          </w:p>
        </w:tc>
        <w:tc>
          <w:tcPr>
            <w:tcW w:w="990" w:type="dxa"/>
          </w:tcPr>
          <w:p w14:paraId="7EC25377"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0.987***</w:t>
            </w:r>
          </w:p>
        </w:tc>
        <w:tc>
          <w:tcPr>
            <w:tcW w:w="1090" w:type="dxa"/>
          </w:tcPr>
          <w:p w14:paraId="00090341"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0.874***</w:t>
            </w:r>
          </w:p>
        </w:tc>
        <w:tc>
          <w:tcPr>
            <w:tcW w:w="1002" w:type="dxa"/>
          </w:tcPr>
          <w:p w14:paraId="74CE9460"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0.935***</w:t>
            </w:r>
          </w:p>
        </w:tc>
        <w:tc>
          <w:tcPr>
            <w:tcW w:w="1148" w:type="dxa"/>
          </w:tcPr>
          <w:p w14:paraId="341F16D2"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0.996***</w:t>
            </w:r>
          </w:p>
        </w:tc>
        <w:tc>
          <w:tcPr>
            <w:tcW w:w="1074" w:type="dxa"/>
          </w:tcPr>
          <w:p w14:paraId="27BB45CA"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0.997***</w:t>
            </w:r>
          </w:p>
        </w:tc>
        <w:tc>
          <w:tcPr>
            <w:tcW w:w="1086" w:type="dxa"/>
          </w:tcPr>
          <w:p w14:paraId="56712582"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0.970***</w:t>
            </w:r>
          </w:p>
        </w:tc>
        <w:tc>
          <w:tcPr>
            <w:tcW w:w="1080" w:type="dxa"/>
          </w:tcPr>
          <w:p w14:paraId="4DB8BEDF"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0.955***</w:t>
            </w:r>
          </w:p>
        </w:tc>
      </w:tr>
      <w:tr w:rsidR="00D43014" w:rsidRPr="00C33A50" w14:paraId="1042E818" w14:textId="77777777" w:rsidTr="002F782A">
        <w:tc>
          <w:tcPr>
            <w:cnfStyle w:val="001000000000" w:firstRow="0" w:lastRow="0" w:firstColumn="1" w:lastColumn="0" w:oddVBand="0" w:evenVBand="0" w:oddHBand="0" w:evenHBand="0" w:firstRowFirstColumn="0" w:firstRowLastColumn="0" w:lastRowFirstColumn="0" w:lastRowLastColumn="0"/>
            <w:tcW w:w="1278" w:type="dxa"/>
          </w:tcPr>
          <w:p w14:paraId="0769E7B9" w14:textId="77777777" w:rsidR="00D43014" w:rsidRPr="00C33A50" w:rsidRDefault="00D43014" w:rsidP="002F782A">
            <w:pPr>
              <w:rPr>
                <w:rFonts w:cs="Times New Roman"/>
                <w:sz w:val="20"/>
                <w:szCs w:val="20"/>
              </w:rPr>
            </w:pPr>
          </w:p>
        </w:tc>
        <w:tc>
          <w:tcPr>
            <w:tcW w:w="990" w:type="dxa"/>
          </w:tcPr>
          <w:p w14:paraId="04EB4E78"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(0.008)</w:t>
            </w:r>
          </w:p>
        </w:tc>
        <w:tc>
          <w:tcPr>
            <w:tcW w:w="990" w:type="dxa"/>
          </w:tcPr>
          <w:p w14:paraId="522E1627"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(0.012)</w:t>
            </w:r>
          </w:p>
        </w:tc>
        <w:tc>
          <w:tcPr>
            <w:tcW w:w="1090" w:type="dxa"/>
          </w:tcPr>
          <w:p w14:paraId="4D14B7B9"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(0.027)</w:t>
            </w:r>
          </w:p>
        </w:tc>
        <w:tc>
          <w:tcPr>
            <w:tcW w:w="1002" w:type="dxa"/>
          </w:tcPr>
          <w:p w14:paraId="2ED92114"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(0.028)</w:t>
            </w:r>
          </w:p>
        </w:tc>
        <w:tc>
          <w:tcPr>
            <w:tcW w:w="1148" w:type="dxa"/>
          </w:tcPr>
          <w:p w14:paraId="5AD6D32E"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(0.007)</w:t>
            </w:r>
          </w:p>
        </w:tc>
        <w:tc>
          <w:tcPr>
            <w:tcW w:w="1074" w:type="dxa"/>
          </w:tcPr>
          <w:p w14:paraId="7E708085"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(0.005)</w:t>
            </w:r>
          </w:p>
        </w:tc>
        <w:tc>
          <w:tcPr>
            <w:tcW w:w="1086" w:type="dxa"/>
          </w:tcPr>
          <w:p w14:paraId="3CFF7556"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(0.024)</w:t>
            </w:r>
          </w:p>
        </w:tc>
        <w:tc>
          <w:tcPr>
            <w:tcW w:w="1080" w:type="dxa"/>
          </w:tcPr>
          <w:p w14:paraId="2F454A5F"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(0.016)</w:t>
            </w:r>
          </w:p>
        </w:tc>
      </w:tr>
      <w:tr w:rsidR="00D43014" w:rsidRPr="00C33A50" w14:paraId="2AC2236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71CEA26E" w14:textId="77777777" w:rsidR="00D43014" w:rsidRPr="00C33A50" w:rsidRDefault="00D43014" w:rsidP="002F782A">
            <w:pPr>
              <w:rPr>
                <w:rFonts w:cs="Times New Roman"/>
                <w:sz w:val="20"/>
                <w:szCs w:val="20"/>
              </w:rPr>
            </w:pPr>
            <w:r w:rsidRPr="00C33A50">
              <w:rPr>
                <w:rFonts w:cs="Times New Roman"/>
                <w:sz w:val="20"/>
                <w:szCs w:val="20"/>
              </w:rPr>
              <w:t>Constant</w:t>
            </w:r>
          </w:p>
        </w:tc>
        <w:tc>
          <w:tcPr>
            <w:tcW w:w="990" w:type="dxa"/>
          </w:tcPr>
          <w:p w14:paraId="1F3A3B44"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0.027</w:t>
            </w:r>
          </w:p>
        </w:tc>
        <w:tc>
          <w:tcPr>
            <w:tcW w:w="990" w:type="dxa"/>
          </w:tcPr>
          <w:p w14:paraId="1800695C"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0.080</w:t>
            </w:r>
          </w:p>
        </w:tc>
        <w:tc>
          <w:tcPr>
            <w:tcW w:w="1090" w:type="dxa"/>
          </w:tcPr>
          <w:p w14:paraId="62D6B71A"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0.703***</w:t>
            </w:r>
          </w:p>
        </w:tc>
        <w:tc>
          <w:tcPr>
            <w:tcW w:w="1002" w:type="dxa"/>
          </w:tcPr>
          <w:p w14:paraId="623B41A0"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0.326**</w:t>
            </w:r>
          </w:p>
        </w:tc>
        <w:tc>
          <w:tcPr>
            <w:tcW w:w="1148" w:type="dxa"/>
          </w:tcPr>
          <w:p w14:paraId="16518785"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0.053</w:t>
            </w:r>
          </w:p>
        </w:tc>
        <w:tc>
          <w:tcPr>
            <w:tcW w:w="1074" w:type="dxa"/>
          </w:tcPr>
          <w:p w14:paraId="50C8BE79"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0.028</w:t>
            </w:r>
          </w:p>
        </w:tc>
        <w:tc>
          <w:tcPr>
            <w:tcW w:w="1086" w:type="dxa"/>
          </w:tcPr>
          <w:p w14:paraId="40401AE6"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0.171</w:t>
            </w:r>
          </w:p>
        </w:tc>
        <w:tc>
          <w:tcPr>
            <w:tcW w:w="1080" w:type="dxa"/>
          </w:tcPr>
          <w:p w14:paraId="7654B574"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0.254***</w:t>
            </w:r>
          </w:p>
        </w:tc>
      </w:tr>
      <w:tr w:rsidR="00D43014" w:rsidRPr="00C33A50" w14:paraId="01450650" w14:textId="77777777" w:rsidTr="002F782A">
        <w:tc>
          <w:tcPr>
            <w:cnfStyle w:val="001000000000" w:firstRow="0" w:lastRow="0" w:firstColumn="1" w:lastColumn="0" w:oddVBand="0" w:evenVBand="0" w:oddHBand="0" w:evenHBand="0" w:firstRowFirstColumn="0" w:firstRowLastColumn="0" w:lastRowFirstColumn="0" w:lastRowLastColumn="0"/>
            <w:tcW w:w="1278" w:type="dxa"/>
          </w:tcPr>
          <w:p w14:paraId="74D59882" w14:textId="77777777" w:rsidR="00D43014" w:rsidRPr="00C33A50" w:rsidRDefault="00D43014" w:rsidP="002F782A">
            <w:pPr>
              <w:rPr>
                <w:rFonts w:cs="Times New Roman"/>
                <w:sz w:val="20"/>
                <w:szCs w:val="20"/>
              </w:rPr>
            </w:pPr>
          </w:p>
        </w:tc>
        <w:tc>
          <w:tcPr>
            <w:tcW w:w="990" w:type="dxa"/>
          </w:tcPr>
          <w:p w14:paraId="4148AEDC"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(0.035)</w:t>
            </w:r>
          </w:p>
        </w:tc>
        <w:tc>
          <w:tcPr>
            <w:tcW w:w="990" w:type="dxa"/>
          </w:tcPr>
          <w:p w14:paraId="1C68FCAD"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(0.056)</w:t>
            </w:r>
          </w:p>
        </w:tc>
        <w:tc>
          <w:tcPr>
            <w:tcW w:w="1090" w:type="dxa"/>
          </w:tcPr>
          <w:p w14:paraId="02B228A8"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(0.141)</w:t>
            </w:r>
          </w:p>
        </w:tc>
        <w:tc>
          <w:tcPr>
            <w:tcW w:w="1002" w:type="dxa"/>
          </w:tcPr>
          <w:p w14:paraId="07CE642A"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(0.126)</w:t>
            </w:r>
          </w:p>
        </w:tc>
        <w:tc>
          <w:tcPr>
            <w:tcW w:w="1148" w:type="dxa"/>
          </w:tcPr>
          <w:p w14:paraId="13E55C68"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(0.033)</w:t>
            </w:r>
          </w:p>
        </w:tc>
        <w:tc>
          <w:tcPr>
            <w:tcW w:w="1074" w:type="dxa"/>
          </w:tcPr>
          <w:p w14:paraId="6116AE47"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(0.026)</w:t>
            </w:r>
          </w:p>
        </w:tc>
        <w:tc>
          <w:tcPr>
            <w:tcW w:w="1086" w:type="dxa"/>
          </w:tcPr>
          <w:p w14:paraId="3E28C6B4"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(0.112)</w:t>
            </w:r>
          </w:p>
        </w:tc>
        <w:tc>
          <w:tcPr>
            <w:tcW w:w="1080" w:type="dxa"/>
          </w:tcPr>
          <w:p w14:paraId="3D5BAE93"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(0.077)</w:t>
            </w:r>
          </w:p>
        </w:tc>
      </w:tr>
      <w:tr w:rsidR="00D43014" w:rsidRPr="00C33A50" w14:paraId="6E50D04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tcBorders>
          </w:tcPr>
          <w:p w14:paraId="500FD46C" w14:textId="77777777" w:rsidR="00D43014" w:rsidRPr="00C33A50" w:rsidRDefault="00D43014" w:rsidP="002F782A">
            <w:pPr>
              <w:rPr>
                <w:rFonts w:cs="Times New Roman"/>
                <w:sz w:val="18"/>
                <w:szCs w:val="18"/>
              </w:rPr>
            </w:pPr>
            <w:r w:rsidRPr="00C33A50">
              <w:rPr>
                <w:rFonts w:cs="Times New Roman"/>
                <w:sz w:val="18"/>
                <w:szCs w:val="18"/>
              </w:rPr>
              <w:t>Observations</w:t>
            </w:r>
          </w:p>
        </w:tc>
        <w:tc>
          <w:tcPr>
            <w:tcW w:w="990" w:type="dxa"/>
            <w:tcBorders>
              <w:top w:val="single" w:sz="4" w:space="0" w:color="auto"/>
            </w:tcBorders>
          </w:tcPr>
          <w:p w14:paraId="0A551745"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c>
          <w:tcPr>
            <w:tcW w:w="990" w:type="dxa"/>
            <w:tcBorders>
              <w:top w:val="single" w:sz="4" w:space="0" w:color="auto"/>
            </w:tcBorders>
          </w:tcPr>
          <w:p w14:paraId="7D6A5D72"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c>
          <w:tcPr>
            <w:tcW w:w="1090" w:type="dxa"/>
            <w:tcBorders>
              <w:top w:val="single" w:sz="4" w:space="0" w:color="auto"/>
            </w:tcBorders>
          </w:tcPr>
          <w:p w14:paraId="748FE522"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c>
          <w:tcPr>
            <w:tcW w:w="1002" w:type="dxa"/>
            <w:tcBorders>
              <w:top w:val="single" w:sz="4" w:space="0" w:color="auto"/>
            </w:tcBorders>
          </w:tcPr>
          <w:p w14:paraId="4F5639F8"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c>
          <w:tcPr>
            <w:tcW w:w="1148" w:type="dxa"/>
            <w:tcBorders>
              <w:top w:val="single" w:sz="4" w:space="0" w:color="auto"/>
            </w:tcBorders>
          </w:tcPr>
          <w:p w14:paraId="39FAB93C"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c>
          <w:tcPr>
            <w:tcW w:w="1074" w:type="dxa"/>
            <w:tcBorders>
              <w:top w:val="single" w:sz="4" w:space="0" w:color="auto"/>
            </w:tcBorders>
          </w:tcPr>
          <w:p w14:paraId="62A0F9FA"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c>
          <w:tcPr>
            <w:tcW w:w="1086" w:type="dxa"/>
            <w:tcBorders>
              <w:top w:val="single" w:sz="4" w:space="0" w:color="auto"/>
            </w:tcBorders>
          </w:tcPr>
          <w:p w14:paraId="54A2DB16"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c>
          <w:tcPr>
            <w:tcW w:w="1080" w:type="dxa"/>
            <w:tcBorders>
              <w:top w:val="single" w:sz="4" w:space="0" w:color="auto"/>
            </w:tcBorders>
          </w:tcPr>
          <w:p w14:paraId="06BBD115"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r>
      <w:tr w:rsidR="00D43014" w:rsidRPr="00C33A50" w14:paraId="1B5B54D6" w14:textId="77777777" w:rsidTr="002F782A">
        <w:tc>
          <w:tcPr>
            <w:cnfStyle w:val="001000000000" w:firstRow="0" w:lastRow="0" w:firstColumn="1" w:lastColumn="0" w:oddVBand="0" w:evenVBand="0" w:oddHBand="0" w:evenHBand="0" w:firstRowFirstColumn="0" w:firstRowLastColumn="0" w:lastRowFirstColumn="0" w:lastRowLastColumn="0"/>
            <w:tcW w:w="1278" w:type="dxa"/>
            <w:tcBorders>
              <w:bottom w:val="single" w:sz="4" w:space="0" w:color="auto"/>
            </w:tcBorders>
          </w:tcPr>
          <w:p w14:paraId="2D53B9E5" w14:textId="77777777" w:rsidR="00D43014" w:rsidRPr="00C33A50" w:rsidRDefault="00D43014" w:rsidP="002F782A">
            <w:pPr>
              <w:rPr>
                <w:rFonts w:cs="Times New Roman"/>
                <w:sz w:val="18"/>
                <w:szCs w:val="18"/>
              </w:rPr>
            </w:pPr>
            <w:r w:rsidRPr="00C33A50">
              <w:rPr>
                <w:rFonts w:cs="Times New Roman"/>
                <w:sz w:val="18"/>
                <w:szCs w:val="18"/>
              </w:rPr>
              <w:t>R-squared</w:t>
            </w:r>
          </w:p>
        </w:tc>
        <w:tc>
          <w:tcPr>
            <w:tcW w:w="990" w:type="dxa"/>
            <w:tcBorders>
              <w:bottom w:val="single" w:sz="4" w:space="0" w:color="auto"/>
            </w:tcBorders>
          </w:tcPr>
          <w:p w14:paraId="000F485B"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0.990</w:t>
            </w:r>
          </w:p>
        </w:tc>
        <w:tc>
          <w:tcPr>
            <w:tcW w:w="990" w:type="dxa"/>
            <w:tcBorders>
              <w:bottom w:val="single" w:sz="4" w:space="0" w:color="auto"/>
            </w:tcBorders>
          </w:tcPr>
          <w:p w14:paraId="65578D71"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0.968</w:t>
            </w:r>
          </w:p>
        </w:tc>
        <w:tc>
          <w:tcPr>
            <w:tcW w:w="1090" w:type="dxa"/>
            <w:tcBorders>
              <w:bottom w:val="single" w:sz="4" w:space="0" w:color="auto"/>
            </w:tcBorders>
          </w:tcPr>
          <w:p w14:paraId="6ADA25B4"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0.928</w:t>
            </w:r>
          </w:p>
        </w:tc>
        <w:tc>
          <w:tcPr>
            <w:tcW w:w="1002" w:type="dxa"/>
            <w:tcBorders>
              <w:bottom w:val="single" w:sz="4" w:space="0" w:color="auto"/>
            </w:tcBorders>
          </w:tcPr>
          <w:p w14:paraId="4DE56952"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0.904</w:t>
            </w:r>
          </w:p>
        </w:tc>
        <w:tc>
          <w:tcPr>
            <w:tcW w:w="1148" w:type="dxa"/>
            <w:tcBorders>
              <w:bottom w:val="single" w:sz="4" w:space="0" w:color="auto"/>
            </w:tcBorders>
          </w:tcPr>
          <w:p w14:paraId="75063D3C"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0.986</w:t>
            </w:r>
          </w:p>
        </w:tc>
        <w:tc>
          <w:tcPr>
            <w:tcW w:w="1074" w:type="dxa"/>
            <w:tcBorders>
              <w:bottom w:val="single" w:sz="4" w:space="0" w:color="auto"/>
            </w:tcBorders>
          </w:tcPr>
          <w:p w14:paraId="0B682DD2"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0.992</w:t>
            </w:r>
          </w:p>
        </w:tc>
        <w:tc>
          <w:tcPr>
            <w:tcW w:w="1086" w:type="dxa"/>
            <w:tcBorders>
              <w:bottom w:val="single" w:sz="4" w:space="0" w:color="auto"/>
            </w:tcBorders>
          </w:tcPr>
          <w:p w14:paraId="36B2910E"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0.954</w:t>
            </w:r>
          </w:p>
        </w:tc>
        <w:tc>
          <w:tcPr>
            <w:tcW w:w="1080" w:type="dxa"/>
            <w:tcBorders>
              <w:bottom w:val="single" w:sz="4" w:space="0" w:color="auto"/>
            </w:tcBorders>
          </w:tcPr>
          <w:p w14:paraId="7B738FAA"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0.956</w:t>
            </w:r>
          </w:p>
        </w:tc>
      </w:tr>
    </w:tbl>
    <w:p w14:paraId="19D254C2" w14:textId="77777777" w:rsidR="00D43014" w:rsidRPr="002F0B8D" w:rsidRDefault="00D43014" w:rsidP="00D43014">
      <w:pPr>
        <w:spacing w:after="0"/>
        <w:ind w:left="1440"/>
        <w:rPr>
          <w:rFonts w:cs="Times New Roman"/>
          <w:b/>
          <w:sz w:val="8"/>
          <w:szCs w:val="8"/>
        </w:rPr>
      </w:pPr>
    </w:p>
    <w:p w14:paraId="350A671A" w14:textId="77777777" w:rsidR="00D43014" w:rsidRDefault="00D43014" w:rsidP="00D43014">
      <w:pPr>
        <w:ind w:left="1440"/>
        <w:rPr>
          <w:rFonts w:cs="Times New Roman"/>
          <w:b/>
          <w:sz w:val="20"/>
          <w:szCs w:val="20"/>
        </w:rPr>
      </w:pPr>
    </w:p>
    <w:p w14:paraId="6B221501" w14:textId="77777777" w:rsidR="00D43014" w:rsidRPr="009F125E" w:rsidRDefault="00D43014" w:rsidP="002F0B8D">
      <w:pPr>
        <w:spacing w:after="0" w:line="360" w:lineRule="auto"/>
        <w:ind w:left="720"/>
        <w:rPr>
          <w:rFonts w:cs="Times New Roman"/>
          <w:b/>
          <w:sz w:val="28"/>
        </w:rPr>
      </w:pPr>
      <w:r>
        <w:rPr>
          <w:rFonts w:cs="Times New Roman"/>
          <w:b/>
          <w:sz w:val="28"/>
        </w:rPr>
        <w:t xml:space="preserve">A2) </w:t>
      </w:r>
      <w:r w:rsidRPr="009F125E">
        <w:rPr>
          <w:rFonts w:cs="Times New Roman"/>
          <w:b/>
          <w:sz w:val="28"/>
        </w:rPr>
        <w:t xml:space="preserve">IV: Log of REER on </w:t>
      </w:r>
      <m:oMath>
        <m:r>
          <w:rPr>
            <w:rFonts w:ascii="Cambria Math" w:hAnsi="Cambria Math" w:cs="Times New Roman"/>
            <w:sz w:val="24"/>
            <w:szCs w:val="24"/>
          </w:rPr>
          <m:t>∆</m:t>
        </m:r>
        <m:r>
          <m:rPr>
            <m:sty m:val="bi"/>
          </m:rPr>
          <w:rPr>
            <w:rFonts w:ascii="Cambria Math" w:hAnsi="Cambria Math" w:cs="Times New Roman"/>
            <w:sz w:val="24"/>
            <w:szCs w:val="24"/>
          </w:rPr>
          <m:t>Res</m:t>
        </m:r>
        <m:r>
          <w:rPr>
            <w:rFonts w:ascii="Cambria Math" w:hAnsi="Cambria Math" w:cs="Times New Roman"/>
            <w:sz w:val="24"/>
            <w:szCs w:val="24"/>
          </w:rPr>
          <m:t>/</m:t>
        </m:r>
        <m:r>
          <m:rPr>
            <m:sty m:val="bi"/>
          </m:rPr>
          <w:rPr>
            <w:rFonts w:ascii="Cambria Math" w:hAnsi="Cambria Math" w:cs="Times New Roman"/>
            <w:sz w:val="24"/>
            <w:szCs w:val="24"/>
          </w:rPr>
          <m:t>GDP</m:t>
        </m:r>
      </m:oMath>
      <w:r w:rsidRPr="009F125E">
        <w:rPr>
          <w:rFonts w:cs="Times New Roman"/>
          <w:b/>
          <w:sz w:val="28"/>
        </w:rPr>
        <w:t xml:space="preserve"> and lagged REER</w:t>
      </w:r>
    </w:p>
    <w:p w14:paraId="50392C64" w14:textId="5FB0E609" w:rsidR="00D43014" w:rsidRPr="002F0B8D" w:rsidRDefault="00D43014" w:rsidP="002F0B8D">
      <w:pPr>
        <w:pStyle w:val="ListParagraph"/>
        <w:spacing w:after="0" w:line="360" w:lineRule="auto"/>
        <w:ind w:left="2160"/>
      </w:pPr>
      <w:r w:rsidRPr="0068332E">
        <w:rPr>
          <w:rFonts w:cs="Times New Roman"/>
          <w:sz w:val="24"/>
        </w:rPr>
        <w:t xml:space="preserve">Instrument: log of VIX </w:t>
      </w:r>
    </w:p>
    <w:tbl>
      <w:tblPr>
        <w:tblStyle w:val="PlainTable41"/>
        <w:tblW w:w="10188" w:type="dxa"/>
        <w:tblInd w:w="1440" w:type="dxa"/>
        <w:tblLayout w:type="fixed"/>
        <w:tblLook w:val="04A0" w:firstRow="1" w:lastRow="0" w:firstColumn="1" w:lastColumn="0" w:noHBand="0" w:noVBand="1"/>
      </w:tblPr>
      <w:tblGrid>
        <w:gridCol w:w="1548"/>
        <w:gridCol w:w="990"/>
        <w:gridCol w:w="990"/>
        <w:gridCol w:w="990"/>
        <w:gridCol w:w="1170"/>
        <w:gridCol w:w="1260"/>
        <w:gridCol w:w="1080"/>
        <w:gridCol w:w="990"/>
        <w:gridCol w:w="1170"/>
      </w:tblGrid>
      <w:tr w:rsidR="00D43014" w:rsidRPr="009F125E" w14:paraId="3C65E58F"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auto"/>
            </w:tcBorders>
          </w:tcPr>
          <w:p w14:paraId="3C68DD2F" w14:textId="77777777" w:rsidR="00D43014" w:rsidRPr="009F125E" w:rsidRDefault="00D43014" w:rsidP="002F782A">
            <w:pPr>
              <w:pStyle w:val="ListParagraph"/>
              <w:ind w:left="0"/>
              <w:rPr>
                <w:rFonts w:cs="Times New Roman"/>
                <w:sz w:val="20"/>
                <w:szCs w:val="20"/>
              </w:rPr>
            </w:pPr>
          </w:p>
        </w:tc>
        <w:tc>
          <w:tcPr>
            <w:tcW w:w="990" w:type="dxa"/>
            <w:tcBorders>
              <w:top w:val="single" w:sz="4" w:space="0" w:color="auto"/>
            </w:tcBorders>
          </w:tcPr>
          <w:p w14:paraId="1DFA1A49"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(1)</w:t>
            </w:r>
          </w:p>
        </w:tc>
        <w:tc>
          <w:tcPr>
            <w:tcW w:w="990" w:type="dxa"/>
            <w:tcBorders>
              <w:top w:val="single" w:sz="4" w:space="0" w:color="auto"/>
            </w:tcBorders>
          </w:tcPr>
          <w:p w14:paraId="1ECF1D91"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(2)</w:t>
            </w:r>
          </w:p>
        </w:tc>
        <w:tc>
          <w:tcPr>
            <w:tcW w:w="990" w:type="dxa"/>
            <w:tcBorders>
              <w:top w:val="single" w:sz="4" w:space="0" w:color="auto"/>
            </w:tcBorders>
          </w:tcPr>
          <w:p w14:paraId="0AADFC40"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(3)</w:t>
            </w:r>
          </w:p>
        </w:tc>
        <w:tc>
          <w:tcPr>
            <w:tcW w:w="1170" w:type="dxa"/>
            <w:tcBorders>
              <w:top w:val="single" w:sz="4" w:space="0" w:color="auto"/>
            </w:tcBorders>
          </w:tcPr>
          <w:p w14:paraId="4FB2DC0C"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(4)</w:t>
            </w:r>
          </w:p>
        </w:tc>
        <w:tc>
          <w:tcPr>
            <w:tcW w:w="1260" w:type="dxa"/>
            <w:tcBorders>
              <w:top w:val="single" w:sz="4" w:space="0" w:color="auto"/>
            </w:tcBorders>
          </w:tcPr>
          <w:p w14:paraId="1BB08610"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(5)</w:t>
            </w:r>
          </w:p>
        </w:tc>
        <w:tc>
          <w:tcPr>
            <w:tcW w:w="1080" w:type="dxa"/>
            <w:tcBorders>
              <w:top w:val="single" w:sz="4" w:space="0" w:color="auto"/>
            </w:tcBorders>
          </w:tcPr>
          <w:p w14:paraId="5E13D526"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(6)</w:t>
            </w:r>
          </w:p>
        </w:tc>
        <w:tc>
          <w:tcPr>
            <w:tcW w:w="990" w:type="dxa"/>
            <w:tcBorders>
              <w:top w:val="single" w:sz="4" w:space="0" w:color="auto"/>
            </w:tcBorders>
          </w:tcPr>
          <w:p w14:paraId="39E4FBA1"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(7)</w:t>
            </w:r>
          </w:p>
        </w:tc>
        <w:tc>
          <w:tcPr>
            <w:tcW w:w="1170" w:type="dxa"/>
            <w:tcBorders>
              <w:top w:val="single" w:sz="4" w:space="0" w:color="auto"/>
            </w:tcBorders>
          </w:tcPr>
          <w:p w14:paraId="20962DC0"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(8)</w:t>
            </w:r>
          </w:p>
        </w:tc>
      </w:tr>
      <w:tr w:rsidR="00D43014" w:rsidRPr="009F125E" w14:paraId="13234637"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bottom w:val="single" w:sz="4" w:space="0" w:color="auto"/>
            </w:tcBorders>
          </w:tcPr>
          <w:p w14:paraId="2C246B61" w14:textId="77777777" w:rsidR="00D43014" w:rsidRPr="009F125E" w:rsidRDefault="00D43014" w:rsidP="002F782A">
            <w:pPr>
              <w:pStyle w:val="ListParagraph"/>
              <w:ind w:left="0"/>
              <w:rPr>
                <w:rFonts w:cs="Times New Roman"/>
                <w:sz w:val="20"/>
                <w:szCs w:val="20"/>
              </w:rPr>
            </w:pPr>
            <w:r w:rsidRPr="009F125E">
              <w:rPr>
                <w:rFonts w:cs="Times New Roman"/>
                <w:sz w:val="20"/>
                <w:szCs w:val="20"/>
              </w:rPr>
              <w:t>VARIABLES</w:t>
            </w:r>
          </w:p>
        </w:tc>
        <w:tc>
          <w:tcPr>
            <w:tcW w:w="990" w:type="dxa"/>
            <w:tcBorders>
              <w:bottom w:val="single" w:sz="4" w:space="0" w:color="auto"/>
            </w:tcBorders>
          </w:tcPr>
          <w:p w14:paraId="0C382635"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HKG</w:t>
            </w:r>
          </w:p>
        </w:tc>
        <w:tc>
          <w:tcPr>
            <w:tcW w:w="990" w:type="dxa"/>
            <w:tcBorders>
              <w:bottom w:val="single" w:sz="4" w:space="0" w:color="auto"/>
            </w:tcBorders>
          </w:tcPr>
          <w:p w14:paraId="611E7B0C"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India</w:t>
            </w:r>
          </w:p>
        </w:tc>
        <w:tc>
          <w:tcPr>
            <w:tcW w:w="990" w:type="dxa"/>
            <w:tcBorders>
              <w:bottom w:val="single" w:sz="4" w:space="0" w:color="auto"/>
            </w:tcBorders>
          </w:tcPr>
          <w:p w14:paraId="69635340"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Korea, R.</w:t>
            </w:r>
          </w:p>
        </w:tc>
        <w:tc>
          <w:tcPr>
            <w:tcW w:w="1170" w:type="dxa"/>
            <w:tcBorders>
              <w:bottom w:val="single" w:sz="4" w:space="0" w:color="auto"/>
            </w:tcBorders>
          </w:tcPr>
          <w:p w14:paraId="227D9A90"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Malaysia</w:t>
            </w:r>
          </w:p>
        </w:tc>
        <w:tc>
          <w:tcPr>
            <w:tcW w:w="1260" w:type="dxa"/>
            <w:tcBorders>
              <w:bottom w:val="single" w:sz="4" w:space="0" w:color="auto"/>
            </w:tcBorders>
          </w:tcPr>
          <w:p w14:paraId="479F57C2"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Philippines</w:t>
            </w:r>
          </w:p>
        </w:tc>
        <w:tc>
          <w:tcPr>
            <w:tcW w:w="1080" w:type="dxa"/>
            <w:tcBorders>
              <w:bottom w:val="single" w:sz="4" w:space="0" w:color="auto"/>
            </w:tcBorders>
          </w:tcPr>
          <w:p w14:paraId="46F69853"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Singapore</w:t>
            </w:r>
          </w:p>
        </w:tc>
        <w:tc>
          <w:tcPr>
            <w:tcW w:w="990" w:type="dxa"/>
            <w:tcBorders>
              <w:bottom w:val="single" w:sz="4" w:space="0" w:color="auto"/>
            </w:tcBorders>
          </w:tcPr>
          <w:p w14:paraId="7D3E82BD"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Thailand</w:t>
            </w:r>
          </w:p>
        </w:tc>
        <w:tc>
          <w:tcPr>
            <w:tcW w:w="1170" w:type="dxa"/>
            <w:tcBorders>
              <w:bottom w:val="single" w:sz="4" w:space="0" w:color="auto"/>
            </w:tcBorders>
          </w:tcPr>
          <w:p w14:paraId="622A7DA6"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Turkey</w:t>
            </w:r>
          </w:p>
        </w:tc>
      </w:tr>
      <w:tr w:rsidR="00D43014" w:rsidRPr="009F125E" w14:paraId="1884197F" w14:textId="77777777" w:rsidTr="002F782A">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auto"/>
            </w:tcBorders>
          </w:tcPr>
          <w:p w14:paraId="4B495797" w14:textId="77777777" w:rsidR="00D43014" w:rsidRPr="009F125E" w:rsidRDefault="00D43014" w:rsidP="002F782A">
            <w:pPr>
              <w:pStyle w:val="ListParagraph"/>
              <w:ind w:left="0"/>
              <w:rPr>
                <w:rFonts w:cs="Times New Roman"/>
                <w:b w:val="0"/>
                <w:sz w:val="20"/>
                <w:szCs w:val="20"/>
              </w:rPr>
            </w:pPr>
          </w:p>
        </w:tc>
        <w:tc>
          <w:tcPr>
            <w:tcW w:w="990" w:type="dxa"/>
            <w:tcBorders>
              <w:top w:val="single" w:sz="4" w:space="0" w:color="auto"/>
            </w:tcBorders>
          </w:tcPr>
          <w:p w14:paraId="57B20AC1"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990" w:type="dxa"/>
            <w:tcBorders>
              <w:top w:val="single" w:sz="4" w:space="0" w:color="auto"/>
            </w:tcBorders>
          </w:tcPr>
          <w:p w14:paraId="64537237"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990" w:type="dxa"/>
            <w:tcBorders>
              <w:top w:val="single" w:sz="4" w:space="0" w:color="auto"/>
            </w:tcBorders>
          </w:tcPr>
          <w:p w14:paraId="70519B98"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170" w:type="dxa"/>
            <w:tcBorders>
              <w:top w:val="single" w:sz="4" w:space="0" w:color="auto"/>
            </w:tcBorders>
          </w:tcPr>
          <w:p w14:paraId="05CAFA7A"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260" w:type="dxa"/>
            <w:tcBorders>
              <w:top w:val="single" w:sz="4" w:space="0" w:color="auto"/>
            </w:tcBorders>
          </w:tcPr>
          <w:p w14:paraId="56F7CF4B"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80" w:type="dxa"/>
            <w:tcBorders>
              <w:top w:val="single" w:sz="4" w:space="0" w:color="auto"/>
            </w:tcBorders>
          </w:tcPr>
          <w:p w14:paraId="7BD85A31"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990" w:type="dxa"/>
            <w:tcBorders>
              <w:top w:val="single" w:sz="4" w:space="0" w:color="auto"/>
            </w:tcBorders>
          </w:tcPr>
          <w:p w14:paraId="360903DC"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170" w:type="dxa"/>
            <w:tcBorders>
              <w:top w:val="single" w:sz="4" w:space="0" w:color="auto"/>
            </w:tcBorders>
          </w:tcPr>
          <w:p w14:paraId="12E5E4B8"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D43014" w:rsidRPr="009F125E" w14:paraId="5F491966"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14:paraId="1ED2EEE3" w14:textId="77777777" w:rsidR="00D43014" w:rsidRPr="009F125E" w:rsidRDefault="00D43014" w:rsidP="002F782A">
            <w:pPr>
              <w:pStyle w:val="ListParagraph"/>
              <w:ind w:left="0"/>
              <w:rPr>
                <w:rFonts w:cs="Times New Roman"/>
                <w:sz w:val="20"/>
                <w:szCs w:val="20"/>
              </w:rPr>
            </w:pPr>
            <m:oMathPara>
              <m:oMathParaPr>
                <m:jc m:val="left"/>
              </m:oMathParaPr>
              <m:oMath>
                <m:r>
                  <m:rPr>
                    <m:sty m:val="bi"/>
                  </m:rPr>
                  <w:rPr>
                    <w:rFonts w:ascii="Cambria Math" w:hAnsi="Cambria Math" w:cs="Times New Roman"/>
                    <w:sz w:val="20"/>
                    <w:szCs w:val="20"/>
                  </w:rPr>
                  <m:t>∆Res/GDP</m:t>
                </m:r>
              </m:oMath>
            </m:oMathPara>
          </w:p>
        </w:tc>
        <w:tc>
          <w:tcPr>
            <w:tcW w:w="990" w:type="dxa"/>
          </w:tcPr>
          <w:p w14:paraId="1D233476"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0.074</w:t>
            </w:r>
          </w:p>
        </w:tc>
        <w:tc>
          <w:tcPr>
            <w:tcW w:w="990" w:type="dxa"/>
          </w:tcPr>
          <w:p w14:paraId="6AA05CF8"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0.396</w:t>
            </w:r>
          </w:p>
        </w:tc>
        <w:tc>
          <w:tcPr>
            <w:tcW w:w="990" w:type="dxa"/>
          </w:tcPr>
          <w:p w14:paraId="251B8896"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1.754***</w:t>
            </w:r>
          </w:p>
        </w:tc>
        <w:tc>
          <w:tcPr>
            <w:tcW w:w="1170" w:type="dxa"/>
          </w:tcPr>
          <w:p w14:paraId="2C53AAF3"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0.291</w:t>
            </w:r>
          </w:p>
        </w:tc>
        <w:tc>
          <w:tcPr>
            <w:tcW w:w="1260" w:type="dxa"/>
          </w:tcPr>
          <w:p w14:paraId="20D1F88E"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11.118</w:t>
            </w:r>
          </w:p>
        </w:tc>
        <w:tc>
          <w:tcPr>
            <w:tcW w:w="1080" w:type="dxa"/>
          </w:tcPr>
          <w:p w14:paraId="323935FB"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0.220</w:t>
            </w:r>
          </w:p>
        </w:tc>
        <w:tc>
          <w:tcPr>
            <w:tcW w:w="990" w:type="dxa"/>
          </w:tcPr>
          <w:p w14:paraId="57D8A238"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-6.360</w:t>
            </w:r>
          </w:p>
        </w:tc>
        <w:tc>
          <w:tcPr>
            <w:tcW w:w="1170" w:type="dxa"/>
          </w:tcPr>
          <w:p w14:paraId="2CD4157D"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1.785***</w:t>
            </w:r>
          </w:p>
        </w:tc>
      </w:tr>
      <w:tr w:rsidR="00D43014" w:rsidRPr="009F125E" w14:paraId="71F06FB8" w14:textId="77777777" w:rsidTr="002F782A">
        <w:tc>
          <w:tcPr>
            <w:cnfStyle w:val="001000000000" w:firstRow="0" w:lastRow="0" w:firstColumn="1" w:lastColumn="0" w:oddVBand="0" w:evenVBand="0" w:oddHBand="0" w:evenHBand="0" w:firstRowFirstColumn="0" w:firstRowLastColumn="0" w:lastRowFirstColumn="0" w:lastRowLastColumn="0"/>
            <w:tcW w:w="1548" w:type="dxa"/>
          </w:tcPr>
          <w:p w14:paraId="126058B7" w14:textId="77777777" w:rsidR="00D43014" w:rsidRPr="009F125E" w:rsidRDefault="00D43014" w:rsidP="002F782A">
            <w:pPr>
              <w:pStyle w:val="ListParagraph"/>
              <w:ind w:left="0"/>
              <w:rPr>
                <w:rFonts w:cs="Times New Roman"/>
                <w:sz w:val="20"/>
                <w:szCs w:val="20"/>
              </w:rPr>
            </w:pPr>
          </w:p>
        </w:tc>
        <w:tc>
          <w:tcPr>
            <w:tcW w:w="990" w:type="dxa"/>
          </w:tcPr>
          <w:p w14:paraId="15382539"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(0.139)</w:t>
            </w:r>
          </w:p>
        </w:tc>
        <w:tc>
          <w:tcPr>
            <w:tcW w:w="990" w:type="dxa"/>
          </w:tcPr>
          <w:p w14:paraId="25F8ACC9"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(0.419)</w:t>
            </w:r>
          </w:p>
        </w:tc>
        <w:tc>
          <w:tcPr>
            <w:tcW w:w="990" w:type="dxa"/>
          </w:tcPr>
          <w:p w14:paraId="500973E2"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(0.411)</w:t>
            </w:r>
          </w:p>
        </w:tc>
        <w:tc>
          <w:tcPr>
            <w:tcW w:w="1170" w:type="dxa"/>
          </w:tcPr>
          <w:p w14:paraId="15AF8F47"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(0.209)</w:t>
            </w:r>
          </w:p>
        </w:tc>
        <w:tc>
          <w:tcPr>
            <w:tcW w:w="1260" w:type="dxa"/>
          </w:tcPr>
          <w:p w14:paraId="0B185908"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(43.304)</w:t>
            </w:r>
          </w:p>
        </w:tc>
        <w:tc>
          <w:tcPr>
            <w:tcW w:w="1080" w:type="dxa"/>
          </w:tcPr>
          <w:p w14:paraId="401C5143"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(0.193)</w:t>
            </w:r>
          </w:p>
        </w:tc>
        <w:tc>
          <w:tcPr>
            <w:tcW w:w="990" w:type="dxa"/>
          </w:tcPr>
          <w:p w14:paraId="19664A83"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(26.523)</w:t>
            </w:r>
          </w:p>
        </w:tc>
        <w:tc>
          <w:tcPr>
            <w:tcW w:w="1170" w:type="dxa"/>
          </w:tcPr>
          <w:p w14:paraId="04454EE6"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(0.653)</w:t>
            </w:r>
          </w:p>
        </w:tc>
      </w:tr>
      <w:tr w:rsidR="00D43014" w:rsidRPr="009F125E" w14:paraId="708A647F"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14:paraId="2FFADF74" w14:textId="77777777" w:rsidR="00D43014" w:rsidRPr="009F125E" w:rsidRDefault="00D43014" w:rsidP="002F782A">
            <w:pPr>
              <w:pStyle w:val="ListParagraph"/>
              <w:ind w:left="0"/>
              <w:rPr>
                <w:rFonts w:cs="Times New Roman"/>
                <w:sz w:val="20"/>
                <w:szCs w:val="20"/>
              </w:rPr>
            </w:pPr>
            <w:r w:rsidRPr="009F125E">
              <w:rPr>
                <w:rFonts w:cs="Times New Roman"/>
                <w:sz w:val="20"/>
                <w:szCs w:val="20"/>
              </w:rPr>
              <w:t>REER Lag</w:t>
            </w:r>
          </w:p>
        </w:tc>
        <w:tc>
          <w:tcPr>
            <w:tcW w:w="990" w:type="dxa"/>
          </w:tcPr>
          <w:p w14:paraId="465B377D"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0.997***</w:t>
            </w:r>
          </w:p>
        </w:tc>
        <w:tc>
          <w:tcPr>
            <w:tcW w:w="990" w:type="dxa"/>
          </w:tcPr>
          <w:p w14:paraId="346C81CA"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0.993***</w:t>
            </w:r>
          </w:p>
        </w:tc>
        <w:tc>
          <w:tcPr>
            <w:tcW w:w="990" w:type="dxa"/>
          </w:tcPr>
          <w:p w14:paraId="41BBF1E2"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1.039***</w:t>
            </w:r>
          </w:p>
        </w:tc>
        <w:tc>
          <w:tcPr>
            <w:tcW w:w="1170" w:type="dxa"/>
          </w:tcPr>
          <w:p w14:paraId="623B3A39"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0.979***</w:t>
            </w:r>
          </w:p>
        </w:tc>
        <w:tc>
          <w:tcPr>
            <w:tcW w:w="1260" w:type="dxa"/>
          </w:tcPr>
          <w:p w14:paraId="153595B8"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0.962***</w:t>
            </w:r>
          </w:p>
        </w:tc>
        <w:tc>
          <w:tcPr>
            <w:tcW w:w="1080" w:type="dxa"/>
          </w:tcPr>
          <w:p w14:paraId="43BD74BB"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1.029***</w:t>
            </w:r>
          </w:p>
        </w:tc>
        <w:tc>
          <w:tcPr>
            <w:tcW w:w="990" w:type="dxa"/>
          </w:tcPr>
          <w:p w14:paraId="56340F4F"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0.748</w:t>
            </w:r>
          </w:p>
        </w:tc>
        <w:tc>
          <w:tcPr>
            <w:tcW w:w="1170" w:type="dxa"/>
          </w:tcPr>
          <w:p w14:paraId="263C40B0"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0.967***</w:t>
            </w:r>
          </w:p>
        </w:tc>
      </w:tr>
      <w:tr w:rsidR="00D43014" w:rsidRPr="009F125E" w14:paraId="39F2304F" w14:textId="77777777" w:rsidTr="002F782A">
        <w:tc>
          <w:tcPr>
            <w:cnfStyle w:val="001000000000" w:firstRow="0" w:lastRow="0" w:firstColumn="1" w:lastColumn="0" w:oddVBand="0" w:evenVBand="0" w:oddHBand="0" w:evenHBand="0" w:firstRowFirstColumn="0" w:firstRowLastColumn="0" w:lastRowFirstColumn="0" w:lastRowLastColumn="0"/>
            <w:tcW w:w="1548" w:type="dxa"/>
          </w:tcPr>
          <w:p w14:paraId="083E3DB2" w14:textId="77777777" w:rsidR="00D43014" w:rsidRPr="009F125E" w:rsidRDefault="00D43014" w:rsidP="002F782A">
            <w:pPr>
              <w:pStyle w:val="ListParagraph"/>
              <w:ind w:left="0"/>
              <w:rPr>
                <w:rFonts w:cs="Times New Roman"/>
                <w:sz w:val="20"/>
                <w:szCs w:val="20"/>
              </w:rPr>
            </w:pPr>
          </w:p>
        </w:tc>
        <w:tc>
          <w:tcPr>
            <w:tcW w:w="990" w:type="dxa"/>
          </w:tcPr>
          <w:p w14:paraId="56D19C52"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(0.008)</w:t>
            </w:r>
          </w:p>
        </w:tc>
        <w:tc>
          <w:tcPr>
            <w:tcW w:w="990" w:type="dxa"/>
          </w:tcPr>
          <w:p w14:paraId="4266DAA5"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(0.020)</w:t>
            </w:r>
          </w:p>
        </w:tc>
        <w:tc>
          <w:tcPr>
            <w:tcW w:w="990" w:type="dxa"/>
          </w:tcPr>
          <w:p w14:paraId="7EDEB225"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(0.029)</w:t>
            </w:r>
          </w:p>
        </w:tc>
        <w:tc>
          <w:tcPr>
            <w:tcW w:w="1170" w:type="dxa"/>
          </w:tcPr>
          <w:p w14:paraId="40653D36"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(0.049)</w:t>
            </w:r>
          </w:p>
        </w:tc>
        <w:tc>
          <w:tcPr>
            <w:tcW w:w="1260" w:type="dxa"/>
          </w:tcPr>
          <w:p w14:paraId="06EA1F8E"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(0.162)</w:t>
            </w:r>
          </w:p>
        </w:tc>
        <w:tc>
          <w:tcPr>
            <w:tcW w:w="1080" w:type="dxa"/>
          </w:tcPr>
          <w:p w14:paraId="5EC94361"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(0.024)</w:t>
            </w:r>
          </w:p>
        </w:tc>
        <w:tc>
          <w:tcPr>
            <w:tcW w:w="990" w:type="dxa"/>
          </w:tcPr>
          <w:p w14:paraId="6A2AD44D"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(0.946)</w:t>
            </w:r>
          </w:p>
        </w:tc>
        <w:tc>
          <w:tcPr>
            <w:tcW w:w="1170" w:type="dxa"/>
          </w:tcPr>
          <w:p w14:paraId="081F75AD"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(0.020)</w:t>
            </w:r>
          </w:p>
        </w:tc>
      </w:tr>
      <w:tr w:rsidR="00D43014" w:rsidRPr="009F125E" w14:paraId="34FD27F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14:paraId="1B3424F6" w14:textId="77777777" w:rsidR="00D43014" w:rsidRPr="009F125E" w:rsidRDefault="00D43014" w:rsidP="002F782A">
            <w:pPr>
              <w:pStyle w:val="ListParagraph"/>
              <w:ind w:left="0"/>
              <w:rPr>
                <w:rFonts w:cs="Times New Roman"/>
                <w:sz w:val="20"/>
                <w:szCs w:val="20"/>
              </w:rPr>
            </w:pPr>
            <w:r w:rsidRPr="009F125E">
              <w:rPr>
                <w:rFonts w:cs="Times New Roman"/>
                <w:sz w:val="20"/>
                <w:szCs w:val="20"/>
              </w:rPr>
              <w:t>Constant</w:t>
            </w:r>
          </w:p>
        </w:tc>
        <w:tc>
          <w:tcPr>
            <w:tcW w:w="990" w:type="dxa"/>
          </w:tcPr>
          <w:p w14:paraId="3A7AB82D"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0.011</w:t>
            </w:r>
          </w:p>
        </w:tc>
        <w:tc>
          <w:tcPr>
            <w:tcW w:w="990" w:type="dxa"/>
          </w:tcPr>
          <w:p w14:paraId="10F862C7"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0.030</w:t>
            </w:r>
          </w:p>
        </w:tc>
        <w:tc>
          <w:tcPr>
            <w:tcW w:w="990" w:type="dxa"/>
          </w:tcPr>
          <w:p w14:paraId="23F22A43"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-0.188</w:t>
            </w:r>
          </w:p>
        </w:tc>
        <w:tc>
          <w:tcPr>
            <w:tcW w:w="1170" w:type="dxa"/>
          </w:tcPr>
          <w:p w14:paraId="1C4C0823"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0.093</w:t>
            </w:r>
          </w:p>
        </w:tc>
        <w:tc>
          <w:tcPr>
            <w:tcW w:w="1260" w:type="dxa"/>
          </w:tcPr>
          <w:p w14:paraId="2BE0D83E"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0.098</w:t>
            </w:r>
          </w:p>
        </w:tc>
        <w:tc>
          <w:tcPr>
            <w:tcW w:w="1080" w:type="dxa"/>
          </w:tcPr>
          <w:p w14:paraId="6BD49ED5"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-0.137</w:t>
            </w:r>
          </w:p>
        </w:tc>
        <w:tc>
          <w:tcPr>
            <w:tcW w:w="990" w:type="dxa"/>
          </w:tcPr>
          <w:p w14:paraId="56DE4930"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1.207</w:t>
            </w:r>
          </w:p>
        </w:tc>
        <w:tc>
          <w:tcPr>
            <w:tcW w:w="1170" w:type="dxa"/>
          </w:tcPr>
          <w:p w14:paraId="28AAA15D"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0.139</w:t>
            </w:r>
          </w:p>
        </w:tc>
      </w:tr>
      <w:tr w:rsidR="00D43014" w:rsidRPr="009F125E" w14:paraId="3085EF07" w14:textId="77777777" w:rsidTr="002F782A">
        <w:tc>
          <w:tcPr>
            <w:cnfStyle w:val="001000000000" w:firstRow="0" w:lastRow="0" w:firstColumn="1" w:lastColumn="0" w:oddVBand="0" w:evenVBand="0" w:oddHBand="0" w:evenHBand="0" w:firstRowFirstColumn="0" w:firstRowLastColumn="0" w:lastRowFirstColumn="0" w:lastRowLastColumn="0"/>
            <w:tcW w:w="1548" w:type="dxa"/>
          </w:tcPr>
          <w:p w14:paraId="6EF38EB0" w14:textId="77777777" w:rsidR="00D43014" w:rsidRPr="009F125E" w:rsidRDefault="00D43014" w:rsidP="002F782A">
            <w:pPr>
              <w:pStyle w:val="ListParagraph"/>
              <w:ind w:left="0"/>
              <w:rPr>
                <w:rFonts w:cs="Times New Roman"/>
                <w:sz w:val="20"/>
                <w:szCs w:val="20"/>
              </w:rPr>
            </w:pPr>
          </w:p>
        </w:tc>
        <w:tc>
          <w:tcPr>
            <w:tcW w:w="990" w:type="dxa"/>
          </w:tcPr>
          <w:p w14:paraId="10B5F339"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(0.042)</w:t>
            </w:r>
          </w:p>
        </w:tc>
        <w:tc>
          <w:tcPr>
            <w:tcW w:w="990" w:type="dxa"/>
          </w:tcPr>
          <w:p w14:paraId="2F4079CC"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(0.092)</w:t>
            </w:r>
          </w:p>
        </w:tc>
        <w:tc>
          <w:tcPr>
            <w:tcW w:w="990" w:type="dxa"/>
          </w:tcPr>
          <w:p w14:paraId="578D4167"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(0.131)</w:t>
            </w:r>
          </w:p>
        </w:tc>
        <w:tc>
          <w:tcPr>
            <w:tcW w:w="1170" w:type="dxa"/>
          </w:tcPr>
          <w:p w14:paraId="6112F265"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(0.227)</w:t>
            </w:r>
          </w:p>
        </w:tc>
        <w:tc>
          <w:tcPr>
            <w:tcW w:w="1260" w:type="dxa"/>
          </w:tcPr>
          <w:p w14:paraId="2EE9EEB3"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(0.493)</w:t>
            </w:r>
          </w:p>
        </w:tc>
        <w:tc>
          <w:tcPr>
            <w:tcW w:w="1080" w:type="dxa"/>
          </w:tcPr>
          <w:p w14:paraId="5F7712FB"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(0.116)</w:t>
            </w:r>
          </w:p>
        </w:tc>
        <w:tc>
          <w:tcPr>
            <w:tcW w:w="990" w:type="dxa"/>
          </w:tcPr>
          <w:p w14:paraId="76200BBC"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(4.551)</w:t>
            </w:r>
          </w:p>
        </w:tc>
        <w:tc>
          <w:tcPr>
            <w:tcW w:w="1170" w:type="dxa"/>
          </w:tcPr>
          <w:p w14:paraId="466F225C"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(0.090)</w:t>
            </w:r>
          </w:p>
        </w:tc>
      </w:tr>
      <w:tr w:rsidR="00D43014" w:rsidRPr="009F125E" w14:paraId="1FAAB527"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auto"/>
            </w:tcBorders>
          </w:tcPr>
          <w:p w14:paraId="1D2F9D96" w14:textId="77777777" w:rsidR="00D43014" w:rsidRPr="009F125E" w:rsidRDefault="00D43014" w:rsidP="002F782A">
            <w:pPr>
              <w:pStyle w:val="ListParagraph"/>
              <w:ind w:left="0"/>
              <w:rPr>
                <w:rFonts w:cs="Times New Roman"/>
                <w:sz w:val="20"/>
                <w:szCs w:val="20"/>
              </w:rPr>
            </w:pPr>
            <w:r w:rsidRPr="009F125E">
              <w:rPr>
                <w:rFonts w:cs="Times New Roman"/>
                <w:sz w:val="20"/>
                <w:szCs w:val="20"/>
              </w:rPr>
              <w:t>Observations</w:t>
            </w:r>
          </w:p>
        </w:tc>
        <w:tc>
          <w:tcPr>
            <w:tcW w:w="990" w:type="dxa"/>
            <w:tcBorders>
              <w:top w:val="single" w:sz="4" w:space="0" w:color="auto"/>
            </w:tcBorders>
          </w:tcPr>
          <w:p w14:paraId="46BD4641"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227</w:t>
            </w:r>
          </w:p>
        </w:tc>
        <w:tc>
          <w:tcPr>
            <w:tcW w:w="990" w:type="dxa"/>
            <w:tcBorders>
              <w:top w:val="single" w:sz="4" w:space="0" w:color="auto"/>
            </w:tcBorders>
          </w:tcPr>
          <w:p w14:paraId="663CFF62"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144</w:t>
            </w:r>
          </w:p>
        </w:tc>
        <w:tc>
          <w:tcPr>
            <w:tcW w:w="990" w:type="dxa"/>
            <w:tcBorders>
              <w:top w:val="single" w:sz="4" w:space="0" w:color="auto"/>
            </w:tcBorders>
          </w:tcPr>
          <w:p w14:paraId="4D1E2F4A"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227</w:t>
            </w:r>
          </w:p>
        </w:tc>
        <w:tc>
          <w:tcPr>
            <w:tcW w:w="1170" w:type="dxa"/>
            <w:tcBorders>
              <w:top w:val="single" w:sz="4" w:space="0" w:color="auto"/>
            </w:tcBorders>
          </w:tcPr>
          <w:p w14:paraId="1A08F7D0"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227</w:t>
            </w:r>
          </w:p>
        </w:tc>
        <w:tc>
          <w:tcPr>
            <w:tcW w:w="1260" w:type="dxa"/>
            <w:tcBorders>
              <w:top w:val="single" w:sz="4" w:space="0" w:color="auto"/>
            </w:tcBorders>
          </w:tcPr>
          <w:p w14:paraId="65179671"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227</w:t>
            </w:r>
          </w:p>
        </w:tc>
        <w:tc>
          <w:tcPr>
            <w:tcW w:w="1080" w:type="dxa"/>
            <w:tcBorders>
              <w:top w:val="single" w:sz="4" w:space="0" w:color="auto"/>
            </w:tcBorders>
          </w:tcPr>
          <w:p w14:paraId="54F34983"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219</w:t>
            </w:r>
          </w:p>
        </w:tc>
        <w:tc>
          <w:tcPr>
            <w:tcW w:w="990" w:type="dxa"/>
            <w:tcBorders>
              <w:top w:val="single" w:sz="4" w:space="0" w:color="auto"/>
            </w:tcBorders>
          </w:tcPr>
          <w:p w14:paraId="145805FA"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225</w:t>
            </w:r>
          </w:p>
        </w:tc>
        <w:tc>
          <w:tcPr>
            <w:tcW w:w="1170" w:type="dxa"/>
            <w:tcBorders>
              <w:top w:val="single" w:sz="4" w:space="0" w:color="auto"/>
            </w:tcBorders>
          </w:tcPr>
          <w:p w14:paraId="0FEA0411"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225</w:t>
            </w:r>
          </w:p>
        </w:tc>
      </w:tr>
      <w:tr w:rsidR="00D43014" w:rsidRPr="009F125E" w14:paraId="4B904F99" w14:textId="77777777" w:rsidTr="002F782A">
        <w:tc>
          <w:tcPr>
            <w:cnfStyle w:val="001000000000" w:firstRow="0" w:lastRow="0" w:firstColumn="1" w:lastColumn="0" w:oddVBand="0" w:evenVBand="0" w:oddHBand="0" w:evenHBand="0" w:firstRowFirstColumn="0" w:firstRowLastColumn="0" w:lastRowFirstColumn="0" w:lastRowLastColumn="0"/>
            <w:tcW w:w="1548" w:type="dxa"/>
            <w:tcBorders>
              <w:bottom w:val="single" w:sz="4" w:space="0" w:color="auto"/>
            </w:tcBorders>
          </w:tcPr>
          <w:p w14:paraId="72F45CC0" w14:textId="77777777" w:rsidR="00D43014" w:rsidRPr="009F125E" w:rsidRDefault="00D43014" w:rsidP="002F782A">
            <w:pPr>
              <w:pStyle w:val="ListParagraph"/>
              <w:ind w:left="0"/>
              <w:rPr>
                <w:rFonts w:cs="Times New Roman"/>
                <w:sz w:val="20"/>
                <w:szCs w:val="20"/>
              </w:rPr>
            </w:pPr>
            <w:r w:rsidRPr="009F125E">
              <w:rPr>
                <w:rFonts w:cs="Times New Roman"/>
                <w:sz w:val="20"/>
                <w:szCs w:val="20"/>
              </w:rPr>
              <w:t>R-squared</w:t>
            </w:r>
          </w:p>
        </w:tc>
        <w:tc>
          <w:tcPr>
            <w:tcW w:w="990" w:type="dxa"/>
            <w:tcBorders>
              <w:bottom w:val="single" w:sz="4" w:space="0" w:color="auto"/>
            </w:tcBorders>
          </w:tcPr>
          <w:p w14:paraId="23972BCF"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0.987</w:t>
            </w:r>
          </w:p>
        </w:tc>
        <w:tc>
          <w:tcPr>
            <w:tcW w:w="990" w:type="dxa"/>
            <w:tcBorders>
              <w:bottom w:val="single" w:sz="4" w:space="0" w:color="auto"/>
            </w:tcBorders>
          </w:tcPr>
          <w:p w14:paraId="797879FD"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0.960</w:t>
            </w:r>
          </w:p>
        </w:tc>
        <w:tc>
          <w:tcPr>
            <w:tcW w:w="990" w:type="dxa"/>
            <w:tcBorders>
              <w:bottom w:val="single" w:sz="4" w:space="0" w:color="auto"/>
            </w:tcBorders>
          </w:tcPr>
          <w:p w14:paraId="1DECDE4A"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0.912</w:t>
            </w:r>
          </w:p>
        </w:tc>
        <w:tc>
          <w:tcPr>
            <w:tcW w:w="1170" w:type="dxa"/>
            <w:tcBorders>
              <w:bottom w:val="single" w:sz="4" w:space="0" w:color="auto"/>
            </w:tcBorders>
          </w:tcPr>
          <w:p w14:paraId="23188EA2"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0.882</w:t>
            </w:r>
          </w:p>
        </w:tc>
        <w:tc>
          <w:tcPr>
            <w:tcW w:w="1260" w:type="dxa"/>
            <w:tcBorders>
              <w:bottom w:val="single" w:sz="4" w:space="0" w:color="auto"/>
            </w:tcBorders>
          </w:tcPr>
          <w:p w14:paraId="002496DA"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80" w:type="dxa"/>
            <w:tcBorders>
              <w:bottom w:val="single" w:sz="4" w:space="0" w:color="auto"/>
            </w:tcBorders>
          </w:tcPr>
          <w:p w14:paraId="16BBCCF0"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0.975</w:t>
            </w:r>
          </w:p>
        </w:tc>
        <w:tc>
          <w:tcPr>
            <w:tcW w:w="990" w:type="dxa"/>
            <w:tcBorders>
              <w:bottom w:val="single" w:sz="4" w:space="0" w:color="auto"/>
            </w:tcBorders>
          </w:tcPr>
          <w:p w14:paraId="3DB1DF51"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170" w:type="dxa"/>
            <w:tcBorders>
              <w:bottom w:val="single" w:sz="4" w:space="0" w:color="auto"/>
            </w:tcBorders>
          </w:tcPr>
          <w:p w14:paraId="6BD0FD3F"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0.937</w:t>
            </w:r>
          </w:p>
        </w:tc>
      </w:tr>
      <w:tr w:rsidR="00D43014" w:rsidRPr="009F125E" w14:paraId="18583B1D"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88" w:type="dxa"/>
            <w:gridSpan w:val="9"/>
            <w:tcBorders>
              <w:top w:val="single" w:sz="4" w:space="0" w:color="auto"/>
            </w:tcBorders>
          </w:tcPr>
          <w:p w14:paraId="7A4A8834" w14:textId="3FA81837" w:rsidR="00D43014" w:rsidRPr="00837E67" w:rsidRDefault="00E85C88" w:rsidP="002F782A">
            <w:pPr>
              <w:pStyle w:val="ListParagraph"/>
              <w:ind w:left="0"/>
              <w:rPr>
                <w:rFonts w:cs="Times New Roman"/>
                <w:sz w:val="24"/>
                <w:szCs w:val="24"/>
              </w:rPr>
            </w:pPr>
            <w:r>
              <w:rPr>
                <w:rFonts w:cs="Times New Roman"/>
                <w:sz w:val="8"/>
                <w:szCs w:val="8"/>
              </w:rPr>
              <w:br/>
            </w:r>
            <w:r>
              <w:rPr>
                <w:rFonts w:cs="Times New Roman"/>
                <w:sz w:val="24"/>
                <w:szCs w:val="24"/>
              </w:rPr>
              <w:t xml:space="preserve"> </w:t>
            </w:r>
            <w:r w:rsidR="00D43014" w:rsidRPr="00837E67">
              <w:rPr>
                <w:rFonts w:cs="Times New Roman"/>
                <w:sz w:val="24"/>
                <w:szCs w:val="24"/>
              </w:rPr>
              <w:t>Robust standard errors in parentheses; *** p&lt;0.01, ** p&lt;0.05, * p&lt;0.1</w:t>
            </w:r>
          </w:p>
        </w:tc>
      </w:tr>
    </w:tbl>
    <w:p w14:paraId="3F2964C3" w14:textId="77777777" w:rsidR="00D43014" w:rsidRPr="00C505F5" w:rsidRDefault="00D43014" w:rsidP="00D43014">
      <w:pPr>
        <w:ind w:firstLine="720"/>
        <w:rPr>
          <w:rFonts w:cs="Times New Roman"/>
          <w:b/>
          <w:sz w:val="28"/>
        </w:rPr>
      </w:pPr>
      <w:r>
        <w:rPr>
          <w:rFonts w:cs="Times New Roman"/>
          <w:b/>
          <w:sz w:val="28"/>
        </w:rPr>
        <w:br w:type="page"/>
      </w:r>
      <w:r w:rsidRPr="00C505F5">
        <w:rPr>
          <w:rFonts w:cs="Times New Roman"/>
          <w:b/>
          <w:sz w:val="28"/>
        </w:rPr>
        <w:lastRenderedPageBreak/>
        <w:t xml:space="preserve">Appendix Tables B:   </w:t>
      </w:r>
      <w:r>
        <w:rPr>
          <w:rFonts w:cs="Times New Roman"/>
          <w:b/>
          <w:sz w:val="28"/>
        </w:rPr>
        <w:t xml:space="preserve">Effect of Shocks on Real Exchange Rates Among </w:t>
      </w:r>
      <w:r w:rsidRPr="00C505F5">
        <w:rPr>
          <w:rFonts w:cs="Times New Roman"/>
          <w:b/>
          <w:sz w:val="28"/>
        </w:rPr>
        <w:t>Commodity-Exporters</w:t>
      </w:r>
    </w:p>
    <w:p w14:paraId="320B548C" w14:textId="77777777" w:rsidR="00D43014" w:rsidRPr="00C505F5" w:rsidRDefault="00D43014" w:rsidP="00D43014">
      <w:pPr>
        <w:pStyle w:val="ListParagraph"/>
        <w:rPr>
          <w:rFonts w:cs="Times New Roman"/>
          <w:b/>
          <w:sz w:val="28"/>
        </w:rPr>
      </w:pPr>
      <w:r w:rsidRPr="00C505F5">
        <w:rPr>
          <w:rFonts w:cs="Times New Roman"/>
          <w:b/>
          <w:sz w:val="28"/>
        </w:rPr>
        <w:t>B1) OLS: Log of REER on a country-specific commodity price index and lagged REER</w:t>
      </w:r>
    </w:p>
    <w:tbl>
      <w:tblPr>
        <w:tblStyle w:val="PlainTable41"/>
        <w:tblW w:w="14593" w:type="dxa"/>
        <w:tblInd w:w="-72" w:type="dxa"/>
        <w:tblLayout w:type="fixed"/>
        <w:tblLook w:val="04A0" w:firstRow="1" w:lastRow="0" w:firstColumn="1" w:lastColumn="0" w:noHBand="0" w:noVBand="1"/>
      </w:tblPr>
      <w:tblGrid>
        <w:gridCol w:w="1620"/>
        <w:gridCol w:w="1185"/>
        <w:gridCol w:w="1296"/>
        <w:gridCol w:w="1126"/>
        <w:gridCol w:w="1116"/>
        <w:gridCol w:w="1116"/>
        <w:gridCol w:w="1217"/>
        <w:gridCol w:w="1116"/>
        <w:gridCol w:w="1116"/>
        <w:gridCol w:w="1116"/>
        <w:gridCol w:w="1217"/>
        <w:gridCol w:w="1352"/>
      </w:tblGrid>
      <w:tr w:rsidR="00D43014" w:rsidRPr="00C505F5" w14:paraId="1717481B" w14:textId="77777777" w:rsidTr="002F0B8D">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620" w:type="dxa"/>
            <w:tcBorders>
              <w:top w:val="single" w:sz="4" w:space="0" w:color="auto"/>
            </w:tcBorders>
          </w:tcPr>
          <w:p w14:paraId="77B7522D" w14:textId="77777777" w:rsidR="00D43014" w:rsidRPr="00C505F5" w:rsidRDefault="00D43014" w:rsidP="002F782A">
            <w:pPr>
              <w:rPr>
                <w:rFonts w:cs="Times New Roman"/>
                <w:sz w:val="24"/>
                <w:szCs w:val="24"/>
              </w:rPr>
            </w:pPr>
          </w:p>
        </w:tc>
        <w:tc>
          <w:tcPr>
            <w:tcW w:w="1185" w:type="dxa"/>
            <w:tcBorders>
              <w:top w:val="single" w:sz="4" w:space="0" w:color="auto"/>
            </w:tcBorders>
          </w:tcPr>
          <w:p w14:paraId="4ED887F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w:t>
            </w:r>
          </w:p>
        </w:tc>
        <w:tc>
          <w:tcPr>
            <w:tcW w:w="1296" w:type="dxa"/>
            <w:tcBorders>
              <w:top w:val="single" w:sz="4" w:space="0" w:color="auto"/>
            </w:tcBorders>
          </w:tcPr>
          <w:p w14:paraId="63E45C01"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w:t>
            </w:r>
          </w:p>
        </w:tc>
        <w:tc>
          <w:tcPr>
            <w:tcW w:w="1126" w:type="dxa"/>
            <w:tcBorders>
              <w:top w:val="single" w:sz="4" w:space="0" w:color="auto"/>
            </w:tcBorders>
          </w:tcPr>
          <w:p w14:paraId="4AAA6D5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(3)</w:t>
            </w:r>
          </w:p>
        </w:tc>
        <w:tc>
          <w:tcPr>
            <w:tcW w:w="1116" w:type="dxa"/>
            <w:tcBorders>
              <w:top w:val="single" w:sz="4" w:space="0" w:color="auto"/>
            </w:tcBorders>
          </w:tcPr>
          <w:p w14:paraId="0730F6A0"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(4)</w:t>
            </w:r>
          </w:p>
        </w:tc>
        <w:tc>
          <w:tcPr>
            <w:tcW w:w="1116" w:type="dxa"/>
            <w:tcBorders>
              <w:top w:val="single" w:sz="4" w:space="0" w:color="auto"/>
            </w:tcBorders>
          </w:tcPr>
          <w:p w14:paraId="7C721A0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(5)</w:t>
            </w:r>
          </w:p>
        </w:tc>
        <w:tc>
          <w:tcPr>
            <w:tcW w:w="1217" w:type="dxa"/>
            <w:tcBorders>
              <w:top w:val="single" w:sz="4" w:space="0" w:color="auto"/>
            </w:tcBorders>
          </w:tcPr>
          <w:p w14:paraId="405EABA8"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(6)</w:t>
            </w:r>
          </w:p>
        </w:tc>
        <w:tc>
          <w:tcPr>
            <w:tcW w:w="1116" w:type="dxa"/>
            <w:tcBorders>
              <w:top w:val="single" w:sz="4" w:space="0" w:color="auto"/>
            </w:tcBorders>
          </w:tcPr>
          <w:p w14:paraId="0AEC2FC4"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w:t>
            </w:r>
          </w:p>
        </w:tc>
        <w:tc>
          <w:tcPr>
            <w:tcW w:w="1116" w:type="dxa"/>
            <w:tcBorders>
              <w:top w:val="single" w:sz="4" w:space="0" w:color="auto"/>
            </w:tcBorders>
          </w:tcPr>
          <w:p w14:paraId="21F11C9D"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(8)</w:t>
            </w:r>
          </w:p>
        </w:tc>
        <w:tc>
          <w:tcPr>
            <w:tcW w:w="1116" w:type="dxa"/>
            <w:tcBorders>
              <w:top w:val="single" w:sz="4" w:space="0" w:color="auto"/>
            </w:tcBorders>
          </w:tcPr>
          <w:p w14:paraId="39E38588"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(9)</w:t>
            </w:r>
          </w:p>
        </w:tc>
        <w:tc>
          <w:tcPr>
            <w:tcW w:w="1217" w:type="dxa"/>
            <w:tcBorders>
              <w:top w:val="single" w:sz="4" w:space="0" w:color="auto"/>
            </w:tcBorders>
          </w:tcPr>
          <w:p w14:paraId="68868BB8"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(10)</w:t>
            </w:r>
          </w:p>
        </w:tc>
        <w:tc>
          <w:tcPr>
            <w:tcW w:w="1352" w:type="dxa"/>
            <w:tcBorders>
              <w:top w:val="single" w:sz="4" w:space="0" w:color="auto"/>
            </w:tcBorders>
          </w:tcPr>
          <w:p w14:paraId="0CAAFF78"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(11)</w:t>
            </w:r>
          </w:p>
        </w:tc>
      </w:tr>
      <w:tr w:rsidR="00D43014" w:rsidRPr="00C505F5" w14:paraId="1FAED9FC" w14:textId="77777777" w:rsidTr="002F0B8D">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1620" w:type="dxa"/>
            <w:tcBorders>
              <w:bottom w:val="single" w:sz="4" w:space="0" w:color="auto"/>
            </w:tcBorders>
          </w:tcPr>
          <w:p w14:paraId="7335FF69" w14:textId="77777777" w:rsidR="00D43014" w:rsidRPr="00C505F5" w:rsidRDefault="00D43014" w:rsidP="002F782A">
            <w:pPr>
              <w:rPr>
                <w:rFonts w:cs="Times New Roman"/>
                <w:sz w:val="24"/>
                <w:szCs w:val="24"/>
              </w:rPr>
            </w:pPr>
            <w:r w:rsidRPr="00C505F5">
              <w:rPr>
                <w:rFonts w:cs="Times New Roman"/>
                <w:sz w:val="24"/>
                <w:szCs w:val="24"/>
              </w:rPr>
              <w:t>VARIABLES</w:t>
            </w:r>
          </w:p>
        </w:tc>
        <w:tc>
          <w:tcPr>
            <w:tcW w:w="1185" w:type="dxa"/>
            <w:tcBorders>
              <w:bottom w:val="single" w:sz="4" w:space="0" w:color="auto"/>
            </w:tcBorders>
          </w:tcPr>
          <w:p w14:paraId="7994438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Austral.</w:t>
            </w:r>
          </w:p>
        </w:tc>
        <w:tc>
          <w:tcPr>
            <w:tcW w:w="1296" w:type="dxa"/>
            <w:tcBorders>
              <w:bottom w:val="single" w:sz="4" w:space="0" w:color="auto"/>
            </w:tcBorders>
          </w:tcPr>
          <w:p w14:paraId="47F03AF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New Zea.</w:t>
            </w:r>
          </w:p>
        </w:tc>
        <w:tc>
          <w:tcPr>
            <w:tcW w:w="1126" w:type="dxa"/>
            <w:tcBorders>
              <w:bottom w:val="single" w:sz="4" w:space="0" w:color="auto"/>
            </w:tcBorders>
          </w:tcPr>
          <w:p w14:paraId="6613A96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 Africa</w:t>
            </w:r>
          </w:p>
        </w:tc>
        <w:tc>
          <w:tcPr>
            <w:tcW w:w="1116" w:type="dxa"/>
            <w:tcBorders>
              <w:bottom w:val="single" w:sz="4" w:space="0" w:color="auto"/>
            </w:tcBorders>
          </w:tcPr>
          <w:p w14:paraId="1B5644F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Brazil</w:t>
            </w:r>
          </w:p>
        </w:tc>
        <w:tc>
          <w:tcPr>
            <w:tcW w:w="1116" w:type="dxa"/>
            <w:tcBorders>
              <w:bottom w:val="single" w:sz="4" w:space="0" w:color="auto"/>
            </w:tcBorders>
          </w:tcPr>
          <w:p w14:paraId="57A1415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Chile</w:t>
            </w:r>
          </w:p>
        </w:tc>
        <w:tc>
          <w:tcPr>
            <w:tcW w:w="1217" w:type="dxa"/>
            <w:tcBorders>
              <w:bottom w:val="single" w:sz="4" w:space="0" w:color="auto"/>
            </w:tcBorders>
          </w:tcPr>
          <w:p w14:paraId="6054F05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Colombia</w:t>
            </w:r>
          </w:p>
        </w:tc>
        <w:tc>
          <w:tcPr>
            <w:tcW w:w="1116" w:type="dxa"/>
            <w:tcBorders>
              <w:bottom w:val="single" w:sz="4" w:space="0" w:color="auto"/>
            </w:tcBorders>
          </w:tcPr>
          <w:p w14:paraId="3594060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Ecuador</w:t>
            </w:r>
          </w:p>
        </w:tc>
        <w:tc>
          <w:tcPr>
            <w:tcW w:w="1116" w:type="dxa"/>
            <w:tcBorders>
              <w:bottom w:val="single" w:sz="4" w:space="0" w:color="auto"/>
            </w:tcBorders>
          </w:tcPr>
          <w:p w14:paraId="0AB71F2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Peru</w:t>
            </w:r>
          </w:p>
        </w:tc>
        <w:tc>
          <w:tcPr>
            <w:tcW w:w="1116" w:type="dxa"/>
            <w:tcBorders>
              <w:bottom w:val="single" w:sz="4" w:space="0" w:color="auto"/>
            </w:tcBorders>
          </w:tcPr>
          <w:p w14:paraId="2E328C8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UAE</w:t>
            </w:r>
          </w:p>
        </w:tc>
        <w:tc>
          <w:tcPr>
            <w:tcW w:w="1217" w:type="dxa"/>
            <w:tcBorders>
              <w:bottom w:val="single" w:sz="4" w:space="0" w:color="auto"/>
            </w:tcBorders>
          </w:tcPr>
          <w:p w14:paraId="644713A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Indonesia</w:t>
            </w:r>
          </w:p>
        </w:tc>
        <w:tc>
          <w:tcPr>
            <w:tcW w:w="1352" w:type="dxa"/>
            <w:tcBorders>
              <w:bottom w:val="single" w:sz="4" w:space="0" w:color="auto"/>
            </w:tcBorders>
          </w:tcPr>
          <w:p w14:paraId="15CAC9D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Papua NG</w:t>
            </w:r>
          </w:p>
        </w:tc>
      </w:tr>
      <w:tr w:rsidR="00D43014" w:rsidRPr="00C505F5" w14:paraId="52B23D93" w14:textId="77777777" w:rsidTr="002F0B8D">
        <w:trPr>
          <w:trHeight w:val="305"/>
        </w:trPr>
        <w:tc>
          <w:tcPr>
            <w:cnfStyle w:val="001000000000" w:firstRow="0" w:lastRow="0" w:firstColumn="1" w:lastColumn="0" w:oddVBand="0" w:evenVBand="0" w:oddHBand="0" w:evenHBand="0" w:firstRowFirstColumn="0" w:firstRowLastColumn="0" w:lastRowFirstColumn="0" w:lastRowLastColumn="0"/>
            <w:tcW w:w="1620" w:type="dxa"/>
            <w:vMerge w:val="restart"/>
            <w:tcBorders>
              <w:top w:val="single" w:sz="4" w:space="0" w:color="auto"/>
            </w:tcBorders>
          </w:tcPr>
          <w:p w14:paraId="11ED62F4" w14:textId="77777777" w:rsidR="00D43014" w:rsidRPr="00C505F5" w:rsidRDefault="00D43014" w:rsidP="002F782A">
            <w:pPr>
              <w:rPr>
                <w:rFonts w:cs="Times New Roman"/>
                <w:b w:val="0"/>
                <w:sz w:val="24"/>
                <w:szCs w:val="24"/>
              </w:rPr>
            </w:pPr>
            <w:r w:rsidRPr="00C505F5">
              <w:rPr>
                <w:rFonts w:cs="Times New Roman"/>
                <w:sz w:val="24"/>
                <w:szCs w:val="24"/>
              </w:rPr>
              <w:t>Commodity Price Indices</w:t>
            </w:r>
          </w:p>
        </w:tc>
        <w:tc>
          <w:tcPr>
            <w:tcW w:w="1185" w:type="dxa"/>
            <w:tcBorders>
              <w:top w:val="single" w:sz="4" w:space="0" w:color="auto"/>
            </w:tcBorders>
          </w:tcPr>
          <w:p w14:paraId="5AF9EC4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0.038***</w:t>
            </w:r>
          </w:p>
        </w:tc>
        <w:tc>
          <w:tcPr>
            <w:tcW w:w="1296" w:type="dxa"/>
            <w:tcBorders>
              <w:top w:val="single" w:sz="4" w:space="0" w:color="auto"/>
            </w:tcBorders>
          </w:tcPr>
          <w:p w14:paraId="40EA3E2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0.086**</w:t>
            </w:r>
          </w:p>
        </w:tc>
        <w:tc>
          <w:tcPr>
            <w:tcW w:w="1126" w:type="dxa"/>
            <w:tcBorders>
              <w:top w:val="single" w:sz="4" w:space="0" w:color="auto"/>
            </w:tcBorders>
          </w:tcPr>
          <w:p w14:paraId="755E45C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116" w:type="dxa"/>
            <w:tcBorders>
              <w:top w:val="single" w:sz="4" w:space="0" w:color="auto"/>
            </w:tcBorders>
          </w:tcPr>
          <w:p w14:paraId="3CA7388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0.144***</w:t>
            </w:r>
          </w:p>
        </w:tc>
        <w:tc>
          <w:tcPr>
            <w:tcW w:w="1116" w:type="dxa"/>
            <w:tcBorders>
              <w:top w:val="single" w:sz="4" w:space="0" w:color="auto"/>
            </w:tcBorders>
          </w:tcPr>
          <w:p w14:paraId="762FB80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0.012*</w:t>
            </w:r>
          </w:p>
        </w:tc>
        <w:tc>
          <w:tcPr>
            <w:tcW w:w="1217" w:type="dxa"/>
            <w:tcBorders>
              <w:top w:val="single" w:sz="4" w:space="0" w:color="auto"/>
            </w:tcBorders>
          </w:tcPr>
          <w:p w14:paraId="1FB2E3F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0.011</w:t>
            </w:r>
          </w:p>
        </w:tc>
        <w:tc>
          <w:tcPr>
            <w:tcW w:w="1116" w:type="dxa"/>
            <w:tcBorders>
              <w:top w:val="single" w:sz="4" w:space="0" w:color="auto"/>
            </w:tcBorders>
          </w:tcPr>
          <w:p w14:paraId="2CE0604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0.010</w:t>
            </w:r>
          </w:p>
        </w:tc>
        <w:tc>
          <w:tcPr>
            <w:tcW w:w="1116" w:type="dxa"/>
            <w:tcBorders>
              <w:top w:val="single" w:sz="4" w:space="0" w:color="auto"/>
            </w:tcBorders>
          </w:tcPr>
          <w:p w14:paraId="36D9A28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0.008**</w:t>
            </w:r>
          </w:p>
        </w:tc>
        <w:tc>
          <w:tcPr>
            <w:tcW w:w="1116" w:type="dxa"/>
            <w:tcBorders>
              <w:top w:val="single" w:sz="4" w:space="0" w:color="auto"/>
            </w:tcBorders>
          </w:tcPr>
          <w:p w14:paraId="563D447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-0.030</w:t>
            </w:r>
          </w:p>
        </w:tc>
        <w:tc>
          <w:tcPr>
            <w:tcW w:w="1217" w:type="dxa"/>
            <w:tcBorders>
              <w:top w:val="single" w:sz="4" w:space="0" w:color="auto"/>
            </w:tcBorders>
          </w:tcPr>
          <w:p w14:paraId="0777D21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0.091***</w:t>
            </w:r>
          </w:p>
        </w:tc>
        <w:tc>
          <w:tcPr>
            <w:tcW w:w="1352" w:type="dxa"/>
            <w:tcBorders>
              <w:top w:val="single" w:sz="4" w:space="0" w:color="auto"/>
            </w:tcBorders>
          </w:tcPr>
          <w:p w14:paraId="1AC3557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0.025***</w:t>
            </w:r>
          </w:p>
        </w:tc>
      </w:tr>
      <w:tr w:rsidR="00D43014" w:rsidRPr="00C505F5" w14:paraId="72D74B4E"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vMerge/>
          </w:tcPr>
          <w:p w14:paraId="1AF1029A" w14:textId="77777777" w:rsidR="00D43014" w:rsidRPr="00C505F5" w:rsidRDefault="00D43014" w:rsidP="002F782A">
            <w:pPr>
              <w:rPr>
                <w:rFonts w:cs="Times New Roman"/>
                <w:b w:val="0"/>
                <w:sz w:val="24"/>
                <w:szCs w:val="24"/>
              </w:rPr>
            </w:pPr>
          </w:p>
        </w:tc>
        <w:tc>
          <w:tcPr>
            <w:tcW w:w="1185" w:type="dxa"/>
          </w:tcPr>
          <w:p w14:paraId="2AFD8B6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(0.015)</w:t>
            </w:r>
          </w:p>
        </w:tc>
        <w:tc>
          <w:tcPr>
            <w:tcW w:w="1296" w:type="dxa"/>
          </w:tcPr>
          <w:p w14:paraId="5BD92CB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(0.042)</w:t>
            </w:r>
          </w:p>
        </w:tc>
        <w:tc>
          <w:tcPr>
            <w:tcW w:w="1126" w:type="dxa"/>
          </w:tcPr>
          <w:p w14:paraId="3594EA2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(0.010)</w:t>
            </w:r>
          </w:p>
        </w:tc>
        <w:tc>
          <w:tcPr>
            <w:tcW w:w="1116" w:type="dxa"/>
          </w:tcPr>
          <w:p w14:paraId="2CE6CDA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(0.052)</w:t>
            </w:r>
          </w:p>
        </w:tc>
        <w:tc>
          <w:tcPr>
            <w:tcW w:w="1116" w:type="dxa"/>
          </w:tcPr>
          <w:p w14:paraId="2D6D4FF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(0.006)</w:t>
            </w:r>
          </w:p>
        </w:tc>
        <w:tc>
          <w:tcPr>
            <w:tcW w:w="1217" w:type="dxa"/>
          </w:tcPr>
          <w:p w14:paraId="55A0D88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(0.008)</w:t>
            </w:r>
          </w:p>
        </w:tc>
        <w:tc>
          <w:tcPr>
            <w:tcW w:w="1116" w:type="dxa"/>
          </w:tcPr>
          <w:p w14:paraId="16A0405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(0.010)</w:t>
            </w:r>
          </w:p>
        </w:tc>
        <w:tc>
          <w:tcPr>
            <w:tcW w:w="1116" w:type="dxa"/>
          </w:tcPr>
          <w:p w14:paraId="1CD0F60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(0.004)</w:t>
            </w:r>
          </w:p>
        </w:tc>
        <w:tc>
          <w:tcPr>
            <w:tcW w:w="1116" w:type="dxa"/>
          </w:tcPr>
          <w:p w14:paraId="177BAC7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(0.020)</w:t>
            </w:r>
          </w:p>
        </w:tc>
        <w:tc>
          <w:tcPr>
            <w:tcW w:w="1217" w:type="dxa"/>
          </w:tcPr>
          <w:p w14:paraId="7E93E1A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(0.033)</w:t>
            </w:r>
          </w:p>
        </w:tc>
        <w:tc>
          <w:tcPr>
            <w:tcW w:w="1352" w:type="dxa"/>
          </w:tcPr>
          <w:p w14:paraId="0A4421F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(0.006)</w:t>
            </w:r>
          </w:p>
        </w:tc>
      </w:tr>
      <w:tr w:rsidR="00D43014" w:rsidRPr="00C505F5" w14:paraId="4C15CB84" w14:textId="77777777" w:rsidTr="002F0B8D">
        <w:tc>
          <w:tcPr>
            <w:cnfStyle w:val="001000000000" w:firstRow="0" w:lastRow="0" w:firstColumn="1" w:lastColumn="0" w:oddVBand="0" w:evenVBand="0" w:oddHBand="0" w:evenHBand="0" w:firstRowFirstColumn="0" w:firstRowLastColumn="0" w:lastRowFirstColumn="0" w:lastRowLastColumn="0"/>
            <w:tcW w:w="1620" w:type="dxa"/>
          </w:tcPr>
          <w:p w14:paraId="4870DBFB" w14:textId="77777777" w:rsidR="00D43014" w:rsidRPr="00C505F5" w:rsidRDefault="00D43014" w:rsidP="002F782A">
            <w:pPr>
              <w:rPr>
                <w:rFonts w:cs="Times New Roman"/>
                <w:b w:val="0"/>
                <w:sz w:val="24"/>
                <w:szCs w:val="24"/>
              </w:rPr>
            </w:pPr>
            <w:r w:rsidRPr="00C505F5">
              <w:rPr>
                <w:rFonts w:cs="Times New Roman"/>
                <w:sz w:val="24"/>
                <w:szCs w:val="24"/>
              </w:rPr>
              <w:t>REER Lag</w:t>
            </w:r>
          </w:p>
        </w:tc>
        <w:tc>
          <w:tcPr>
            <w:tcW w:w="1185" w:type="dxa"/>
          </w:tcPr>
          <w:p w14:paraId="2CB414B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0.944***</w:t>
            </w:r>
          </w:p>
        </w:tc>
        <w:tc>
          <w:tcPr>
            <w:tcW w:w="1296" w:type="dxa"/>
          </w:tcPr>
          <w:p w14:paraId="138B4C8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0.955***</w:t>
            </w:r>
          </w:p>
        </w:tc>
        <w:tc>
          <w:tcPr>
            <w:tcW w:w="1126" w:type="dxa"/>
          </w:tcPr>
          <w:p w14:paraId="6202C82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0.970***</w:t>
            </w:r>
          </w:p>
        </w:tc>
        <w:tc>
          <w:tcPr>
            <w:tcW w:w="1116" w:type="dxa"/>
          </w:tcPr>
          <w:p w14:paraId="1FC5717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0.952***</w:t>
            </w:r>
          </w:p>
        </w:tc>
        <w:tc>
          <w:tcPr>
            <w:tcW w:w="1116" w:type="dxa"/>
          </w:tcPr>
          <w:p w14:paraId="749E87E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0.960***</w:t>
            </w:r>
          </w:p>
        </w:tc>
        <w:tc>
          <w:tcPr>
            <w:tcW w:w="1217" w:type="dxa"/>
          </w:tcPr>
          <w:p w14:paraId="00D12A3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0.981***</w:t>
            </w:r>
          </w:p>
        </w:tc>
        <w:tc>
          <w:tcPr>
            <w:tcW w:w="1116" w:type="dxa"/>
          </w:tcPr>
          <w:p w14:paraId="734D9D4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0.965***</w:t>
            </w:r>
          </w:p>
        </w:tc>
        <w:tc>
          <w:tcPr>
            <w:tcW w:w="1116" w:type="dxa"/>
          </w:tcPr>
          <w:p w14:paraId="0396AA9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0.970***</w:t>
            </w:r>
          </w:p>
        </w:tc>
        <w:tc>
          <w:tcPr>
            <w:tcW w:w="1116" w:type="dxa"/>
          </w:tcPr>
          <w:p w14:paraId="461A6DE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0.942***</w:t>
            </w:r>
          </w:p>
        </w:tc>
        <w:tc>
          <w:tcPr>
            <w:tcW w:w="1217" w:type="dxa"/>
          </w:tcPr>
          <w:p w14:paraId="7EF6AF4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0.890***</w:t>
            </w:r>
          </w:p>
        </w:tc>
        <w:tc>
          <w:tcPr>
            <w:tcW w:w="1352" w:type="dxa"/>
          </w:tcPr>
          <w:p w14:paraId="58AEFC6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0.963***</w:t>
            </w:r>
          </w:p>
        </w:tc>
      </w:tr>
      <w:tr w:rsidR="00D43014" w:rsidRPr="00C505F5" w14:paraId="3A437383"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7B2D6775" w14:textId="77777777" w:rsidR="00D43014" w:rsidRPr="00C505F5" w:rsidRDefault="00D43014" w:rsidP="002F782A">
            <w:pPr>
              <w:rPr>
                <w:rFonts w:cs="Times New Roman"/>
                <w:b w:val="0"/>
                <w:sz w:val="24"/>
                <w:szCs w:val="24"/>
              </w:rPr>
            </w:pPr>
          </w:p>
        </w:tc>
        <w:tc>
          <w:tcPr>
            <w:tcW w:w="1185" w:type="dxa"/>
          </w:tcPr>
          <w:p w14:paraId="17E6F1E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(0.019)</w:t>
            </w:r>
          </w:p>
        </w:tc>
        <w:tc>
          <w:tcPr>
            <w:tcW w:w="1296" w:type="dxa"/>
          </w:tcPr>
          <w:p w14:paraId="11DB3B9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(0.022)</w:t>
            </w:r>
          </w:p>
        </w:tc>
        <w:tc>
          <w:tcPr>
            <w:tcW w:w="1126" w:type="dxa"/>
          </w:tcPr>
          <w:p w14:paraId="228A797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(0.021)</w:t>
            </w:r>
          </w:p>
        </w:tc>
        <w:tc>
          <w:tcPr>
            <w:tcW w:w="1116" w:type="dxa"/>
          </w:tcPr>
          <w:p w14:paraId="35634B2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(0.017)</w:t>
            </w:r>
          </w:p>
        </w:tc>
        <w:tc>
          <w:tcPr>
            <w:tcW w:w="1116" w:type="dxa"/>
          </w:tcPr>
          <w:p w14:paraId="3D4737D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(0.014)</w:t>
            </w:r>
          </w:p>
        </w:tc>
        <w:tc>
          <w:tcPr>
            <w:tcW w:w="1217" w:type="dxa"/>
          </w:tcPr>
          <w:p w14:paraId="7035112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(0.016)</w:t>
            </w:r>
          </w:p>
        </w:tc>
        <w:tc>
          <w:tcPr>
            <w:tcW w:w="1116" w:type="dxa"/>
          </w:tcPr>
          <w:p w14:paraId="3EE1241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(0.036)</w:t>
            </w:r>
          </w:p>
        </w:tc>
        <w:tc>
          <w:tcPr>
            <w:tcW w:w="1116" w:type="dxa"/>
          </w:tcPr>
          <w:p w14:paraId="5E33906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(0.013)</w:t>
            </w:r>
          </w:p>
        </w:tc>
        <w:tc>
          <w:tcPr>
            <w:tcW w:w="1116" w:type="dxa"/>
          </w:tcPr>
          <w:p w14:paraId="7B37A2C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(0.049)</w:t>
            </w:r>
          </w:p>
        </w:tc>
        <w:tc>
          <w:tcPr>
            <w:tcW w:w="1217" w:type="dxa"/>
          </w:tcPr>
          <w:p w14:paraId="206C5A3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(0.041)</w:t>
            </w:r>
          </w:p>
        </w:tc>
        <w:tc>
          <w:tcPr>
            <w:tcW w:w="1352" w:type="dxa"/>
          </w:tcPr>
          <w:p w14:paraId="77CE23E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(0.013)</w:t>
            </w:r>
          </w:p>
        </w:tc>
      </w:tr>
      <w:tr w:rsidR="00D43014" w:rsidRPr="00C505F5" w14:paraId="559B46B2" w14:textId="77777777" w:rsidTr="002F0B8D">
        <w:tc>
          <w:tcPr>
            <w:cnfStyle w:val="001000000000" w:firstRow="0" w:lastRow="0" w:firstColumn="1" w:lastColumn="0" w:oddVBand="0" w:evenVBand="0" w:oddHBand="0" w:evenHBand="0" w:firstRowFirstColumn="0" w:firstRowLastColumn="0" w:lastRowFirstColumn="0" w:lastRowLastColumn="0"/>
            <w:tcW w:w="1620" w:type="dxa"/>
          </w:tcPr>
          <w:p w14:paraId="48B33D55" w14:textId="77777777" w:rsidR="00D43014" w:rsidRPr="00C505F5" w:rsidRDefault="00D43014" w:rsidP="002F782A">
            <w:pPr>
              <w:rPr>
                <w:rFonts w:cs="Times New Roman"/>
                <w:sz w:val="24"/>
                <w:szCs w:val="24"/>
              </w:rPr>
            </w:pPr>
            <w:r w:rsidRPr="00C505F5">
              <w:rPr>
                <w:rFonts w:cs="Times New Roman"/>
                <w:sz w:val="24"/>
                <w:szCs w:val="24"/>
              </w:rPr>
              <w:t>Constant</w:t>
            </w:r>
          </w:p>
        </w:tc>
        <w:tc>
          <w:tcPr>
            <w:tcW w:w="1185" w:type="dxa"/>
          </w:tcPr>
          <w:p w14:paraId="1F44D06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0.269***</w:t>
            </w:r>
          </w:p>
        </w:tc>
        <w:tc>
          <w:tcPr>
            <w:tcW w:w="1296" w:type="dxa"/>
          </w:tcPr>
          <w:p w14:paraId="2DFCCAA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0.244**</w:t>
            </w:r>
          </w:p>
        </w:tc>
        <w:tc>
          <w:tcPr>
            <w:tcW w:w="1126" w:type="dxa"/>
          </w:tcPr>
          <w:p w14:paraId="55F829F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0.138</w:t>
            </w:r>
          </w:p>
        </w:tc>
        <w:tc>
          <w:tcPr>
            <w:tcW w:w="1116" w:type="dxa"/>
          </w:tcPr>
          <w:p w14:paraId="2C6E976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0.229***</w:t>
            </w:r>
          </w:p>
        </w:tc>
        <w:tc>
          <w:tcPr>
            <w:tcW w:w="1116" w:type="dxa"/>
          </w:tcPr>
          <w:p w14:paraId="29B3773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0.170***</w:t>
            </w:r>
          </w:p>
        </w:tc>
        <w:tc>
          <w:tcPr>
            <w:tcW w:w="1217" w:type="dxa"/>
          </w:tcPr>
          <w:p w14:paraId="64F0DA7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0.091</w:t>
            </w:r>
          </w:p>
        </w:tc>
        <w:tc>
          <w:tcPr>
            <w:tcW w:w="1116" w:type="dxa"/>
          </w:tcPr>
          <w:p w14:paraId="06FAA3A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0.170</w:t>
            </w:r>
          </w:p>
        </w:tc>
        <w:tc>
          <w:tcPr>
            <w:tcW w:w="1116" w:type="dxa"/>
          </w:tcPr>
          <w:p w14:paraId="5865515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0.138**</w:t>
            </w:r>
          </w:p>
        </w:tc>
        <w:tc>
          <w:tcPr>
            <w:tcW w:w="1116" w:type="dxa"/>
          </w:tcPr>
          <w:p w14:paraId="41EEC40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0.273</w:t>
            </w:r>
          </w:p>
        </w:tc>
        <w:tc>
          <w:tcPr>
            <w:tcW w:w="1217" w:type="dxa"/>
          </w:tcPr>
          <w:p w14:paraId="7FE44F8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0.535***</w:t>
            </w:r>
          </w:p>
        </w:tc>
        <w:tc>
          <w:tcPr>
            <w:tcW w:w="1352" w:type="dxa"/>
          </w:tcPr>
          <w:p w14:paraId="74CC1DA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0.187***</w:t>
            </w:r>
          </w:p>
        </w:tc>
      </w:tr>
      <w:tr w:rsidR="00D43014" w:rsidRPr="00C505F5" w14:paraId="2EBC631F"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40F3F434" w14:textId="77777777" w:rsidR="00D43014" w:rsidRPr="00C505F5" w:rsidRDefault="00D43014" w:rsidP="002F782A">
            <w:pPr>
              <w:rPr>
                <w:rFonts w:cs="Times New Roman"/>
                <w:sz w:val="24"/>
                <w:szCs w:val="24"/>
              </w:rPr>
            </w:pPr>
          </w:p>
        </w:tc>
        <w:tc>
          <w:tcPr>
            <w:tcW w:w="1185" w:type="dxa"/>
          </w:tcPr>
          <w:p w14:paraId="69EC4B0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(0.092)</w:t>
            </w:r>
          </w:p>
        </w:tc>
        <w:tc>
          <w:tcPr>
            <w:tcW w:w="1296" w:type="dxa"/>
          </w:tcPr>
          <w:p w14:paraId="29081B9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(0.114)</w:t>
            </w:r>
          </w:p>
        </w:tc>
        <w:tc>
          <w:tcPr>
            <w:tcW w:w="1126" w:type="dxa"/>
          </w:tcPr>
          <w:p w14:paraId="3717894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(0.095)</w:t>
            </w:r>
          </w:p>
        </w:tc>
        <w:tc>
          <w:tcPr>
            <w:tcW w:w="1116" w:type="dxa"/>
          </w:tcPr>
          <w:p w14:paraId="1CFB758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(0.079)</w:t>
            </w:r>
          </w:p>
        </w:tc>
        <w:tc>
          <w:tcPr>
            <w:tcW w:w="1116" w:type="dxa"/>
          </w:tcPr>
          <w:p w14:paraId="75D900C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(0.064)</w:t>
            </w:r>
          </w:p>
        </w:tc>
        <w:tc>
          <w:tcPr>
            <w:tcW w:w="1217" w:type="dxa"/>
          </w:tcPr>
          <w:p w14:paraId="2100B83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(0.077)</w:t>
            </w:r>
          </w:p>
        </w:tc>
        <w:tc>
          <w:tcPr>
            <w:tcW w:w="1116" w:type="dxa"/>
          </w:tcPr>
          <w:p w14:paraId="33A8575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(0.170)</w:t>
            </w:r>
          </w:p>
        </w:tc>
        <w:tc>
          <w:tcPr>
            <w:tcW w:w="1116" w:type="dxa"/>
          </w:tcPr>
          <w:p w14:paraId="5C2CAA3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(0.059)</w:t>
            </w:r>
          </w:p>
        </w:tc>
        <w:tc>
          <w:tcPr>
            <w:tcW w:w="1116" w:type="dxa"/>
          </w:tcPr>
          <w:p w14:paraId="388B87A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(0.233)</w:t>
            </w:r>
          </w:p>
        </w:tc>
        <w:tc>
          <w:tcPr>
            <w:tcW w:w="1217" w:type="dxa"/>
          </w:tcPr>
          <w:p w14:paraId="5BDFF2E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(0.197)</w:t>
            </w:r>
          </w:p>
        </w:tc>
        <w:tc>
          <w:tcPr>
            <w:tcW w:w="1352" w:type="dxa"/>
          </w:tcPr>
          <w:p w14:paraId="39773F1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(0.062)</w:t>
            </w:r>
          </w:p>
        </w:tc>
      </w:tr>
      <w:tr w:rsidR="00D43014" w:rsidRPr="00C505F5" w14:paraId="3C4CD0C7" w14:textId="77777777" w:rsidTr="002F0B8D">
        <w:tc>
          <w:tcPr>
            <w:cnfStyle w:val="001000000000" w:firstRow="0" w:lastRow="0" w:firstColumn="1" w:lastColumn="0" w:oddVBand="0" w:evenVBand="0" w:oddHBand="0" w:evenHBand="0" w:firstRowFirstColumn="0" w:firstRowLastColumn="0" w:lastRowFirstColumn="0" w:lastRowLastColumn="0"/>
            <w:tcW w:w="1620" w:type="dxa"/>
            <w:tcBorders>
              <w:top w:val="single" w:sz="4" w:space="0" w:color="auto"/>
            </w:tcBorders>
          </w:tcPr>
          <w:p w14:paraId="0C336937" w14:textId="77777777" w:rsidR="00D43014" w:rsidRPr="00C505F5" w:rsidRDefault="00D43014" w:rsidP="002F782A">
            <w:pPr>
              <w:rPr>
                <w:rFonts w:cs="Times New Roman"/>
                <w:sz w:val="24"/>
                <w:szCs w:val="24"/>
              </w:rPr>
            </w:pPr>
            <w:r w:rsidRPr="00C505F5">
              <w:rPr>
                <w:rFonts w:cs="Times New Roman"/>
                <w:sz w:val="24"/>
                <w:szCs w:val="24"/>
              </w:rPr>
              <w:t>Observations</w:t>
            </w:r>
          </w:p>
        </w:tc>
        <w:tc>
          <w:tcPr>
            <w:tcW w:w="1185" w:type="dxa"/>
            <w:tcBorders>
              <w:top w:val="single" w:sz="4" w:space="0" w:color="auto"/>
            </w:tcBorders>
          </w:tcPr>
          <w:p w14:paraId="2B582B5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226</w:t>
            </w:r>
          </w:p>
        </w:tc>
        <w:tc>
          <w:tcPr>
            <w:tcW w:w="1296" w:type="dxa"/>
            <w:tcBorders>
              <w:top w:val="single" w:sz="4" w:space="0" w:color="auto"/>
            </w:tcBorders>
          </w:tcPr>
          <w:p w14:paraId="7084541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226</w:t>
            </w:r>
          </w:p>
        </w:tc>
        <w:tc>
          <w:tcPr>
            <w:tcW w:w="1126" w:type="dxa"/>
            <w:tcBorders>
              <w:top w:val="single" w:sz="4" w:space="0" w:color="auto"/>
            </w:tcBorders>
          </w:tcPr>
          <w:p w14:paraId="1F9AF73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170B7C7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2EB26F2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17" w:type="dxa"/>
            <w:tcBorders>
              <w:top w:val="single" w:sz="4" w:space="0" w:color="auto"/>
            </w:tcBorders>
          </w:tcPr>
          <w:p w14:paraId="0E5F963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0412B4C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5CAD958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0A4F0D9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107</w:t>
            </w:r>
          </w:p>
        </w:tc>
        <w:tc>
          <w:tcPr>
            <w:tcW w:w="1217" w:type="dxa"/>
            <w:tcBorders>
              <w:top w:val="single" w:sz="4" w:space="0" w:color="auto"/>
            </w:tcBorders>
          </w:tcPr>
          <w:p w14:paraId="15C99C7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352" w:type="dxa"/>
            <w:tcBorders>
              <w:top w:val="single" w:sz="4" w:space="0" w:color="auto"/>
            </w:tcBorders>
          </w:tcPr>
          <w:p w14:paraId="7283908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r>
      <w:tr w:rsidR="00D43014" w:rsidRPr="00C505F5" w14:paraId="11AD8489"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Borders>
              <w:bottom w:val="single" w:sz="4" w:space="0" w:color="auto"/>
            </w:tcBorders>
          </w:tcPr>
          <w:p w14:paraId="69F2499E" w14:textId="77777777" w:rsidR="00D43014" w:rsidRPr="00C505F5" w:rsidRDefault="00D43014" w:rsidP="002F782A">
            <w:pPr>
              <w:rPr>
                <w:rFonts w:cs="Times New Roman"/>
                <w:sz w:val="24"/>
                <w:szCs w:val="24"/>
              </w:rPr>
            </w:pPr>
            <w:r w:rsidRPr="00C505F5">
              <w:rPr>
                <w:rFonts w:cs="Times New Roman"/>
                <w:sz w:val="24"/>
                <w:szCs w:val="24"/>
              </w:rPr>
              <w:t>R-squared</w:t>
            </w:r>
          </w:p>
        </w:tc>
        <w:tc>
          <w:tcPr>
            <w:tcW w:w="1185" w:type="dxa"/>
            <w:tcBorders>
              <w:bottom w:val="single" w:sz="4" w:space="0" w:color="auto"/>
            </w:tcBorders>
          </w:tcPr>
          <w:p w14:paraId="0EFF1EC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0.983</w:t>
            </w:r>
          </w:p>
        </w:tc>
        <w:tc>
          <w:tcPr>
            <w:tcW w:w="1296" w:type="dxa"/>
            <w:tcBorders>
              <w:bottom w:val="single" w:sz="4" w:space="0" w:color="auto"/>
            </w:tcBorders>
          </w:tcPr>
          <w:p w14:paraId="6C4B51E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0.975</w:t>
            </w:r>
          </w:p>
        </w:tc>
        <w:tc>
          <w:tcPr>
            <w:tcW w:w="1126" w:type="dxa"/>
            <w:tcBorders>
              <w:bottom w:val="single" w:sz="4" w:space="0" w:color="auto"/>
            </w:tcBorders>
          </w:tcPr>
          <w:p w14:paraId="20915CC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0.928</w:t>
            </w:r>
          </w:p>
        </w:tc>
        <w:tc>
          <w:tcPr>
            <w:tcW w:w="1116" w:type="dxa"/>
            <w:tcBorders>
              <w:bottom w:val="single" w:sz="4" w:space="0" w:color="auto"/>
            </w:tcBorders>
          </w:tcPr>
          <w:p w14:paraId="03A082E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0.973</w:t>
            </w:r>
          </w:p>
        </w:tc>
        <w:tc>
          <w:tcPr>
            <w:tcW w:w="1116" w:type="dxa"/>
            <w:tcBorders>
              <w:bottom w:val="single" w:sz="4" w:space="0" w:color="auto"/>
            </w:tcBorders>
          </w:tcPr>
          <w:p w14:paraId="3FC9A3A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0.949</w:t>
            </w:r>
          </w:p>
        </w:tc>
        <w:tc>
          <w:tcPr>
            <w:tcW w:w="1217" w:type="dxa"/>
            <w:tcBorders>
              <w:bottom w:val="single" w:sz="4" w:space="0" w:color="auto"/>
            </w:tcBorders>
          </w:tcPr>
          <w:p w14:paraId="3597A35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0.963</w:t>
            </w:r>
          </w:p>
        </w:tc>
        <w:tc>
          <w:tcPr>
            <w:tcW w:w="1116" w:type="dxa"/>
            <w:tcBorders>
              <w:bottom w:val="single" w:sz="4" w:space="0" w:color="auto"/>
            </w:tcBorders>
          </w:tcPr>
          <w:p w14:paraId="1563305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0.935</w:t>
            </w:r>
          </w:p>
        </w:tc>
        <w:tc>
          <w:tcPr>
            <w:tcW w:w="1116" w:type="dxa"/>
            <w:tcBorders>
              <w:bottom w:val="single" w:sz="4" w:space="0" w:color="auto"/>
            </w:tcBorders>
          </w:tcPr>
          <w:p w14:paraId="1942D96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0.965</w:t>
            </w:r>
          </w:p>
        </w:tc>
        <w:tc>
          <w:tcPr>
            <w:tcW w:w="1116" w:type="dxa"/>
            <w:tcBorders>
              <w:bottom w:val="single" w:sz="4" w:space="0" w:color="auto"/>
            </w:tcBorders>
          </w:tcPr>
          <w:p w14:paraId="349BA6D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0.936</w:t>
            </w:r>
          </w:p>
        </w:tc>
        <w:tc>
          <w:tcPr>
            <w:tcW w:w="1217" w:type="dxa"/>
            <w:tcBorders>
              <w:bottom w:val="single" w:sz="4" w:space="0" w:color="auto"/>
            </w:tcBorders>
          </w:tcPr>
          <w:p w14:paraId="525CCFE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0.908</w:t>
            </w:r>
          </w:p>
        </w:tc>
        <w:tc>
          <w:tcPr>
            <w:tcW w:w="1352" w:type="dxa"/>
            <w:tcBorders>
              <w:bottom w:val="single" w:sz="4" w:space="0" w:color="auto"/>
            </w:tcBorders>
          </w:tcPr>
          <w:p w14:paraId="4DA0175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0.973</w:t>
            </w:r>
          </w:p>
        </w:tc>
      </w:tr>
      <w:tr w:rsidR="00D43014" w:rsidRPr="00C505F5" w14:paraId="5E41E28C" w14:textId="77777777" w:rsidTr="002F0B8D">
        <w:tc>
          <w:tcPr>
            <w:cnfStyle w:val="001000000000" w:firstRow="0" w:lastRow="0" w:firstColumn="1" w:lastColumn="0" w:oddVBand="0" w:evenVBand="0" w:oddHBand="0" w:evenHBand="0" w:firstRowFirstColumn="0" w:firstRowLastColumn="0" w:lastRowFirstColumn="0" w:lastRowLastColumn="0"/>
            <w:tcW w:w="14593" w:type="dxa"/>
            <w:gridSpan w:val="12"/>
            <w:tcBorders>
              <w:top w:val="single" w:sz="4" w:space="0" w:color="auto"/>
            </w:tcBorders>
          </w:tcPr>
          <w:p w14:paraId="48C23A42" w14:textId="77777777" w:rsidR="00D43014" w:rsidRPr="00C505F5" w:rsidRDefault="00D43014" w:rsidP="002F782A">
            <w:pPr>
              <w:rPr>
                <w:rFonts w:cs="Times New Roman"/>
                <w:sz w:val="24"/>
                <w:szCs w:val="24"/>
              </w:rPr>
            </w:pPr>
            <w:r w:rsidRPr="00C505F5">
              <w:rPr>
                <w:rFonts w:cs="Times New Roman"/>
                <w:sz w:val="24"/>
                <w:szCs w:val="24"/>
              </w:rPr>
              <w:t>Robust standard errors in parentheses; *** p&lt;0.01, ** p&lt;0.05, * p&lt;0.1</w:t>
            </w:r>
          </w:p>
        </w:tc>
      </w:tr>
    </w:tbl>
    <w:p w14:paraId="209CF645" w14:textId="77777777" w:rsidR="00D43014" w:rsidRPr="00C505F5" w:rsidRDefault="00D43014" w:rsidP="00D43014">
      <w:pPr>
        <w:rPr>
          <w:rFonts w:cs="Times New Roman"/>
          <w:b/>
          <w:sz w:val="28"/>
        </w:rPr>
      </w:pPr>
    </w:p>
    <w:tbl>
      <w:tblPr>
        <w:tblStyle w:val="PlainTable41"/>
        <w:tblW w:w="14652" w:type="dxa"/>
        <w:tblInd w:w="-162" w:type="dxa"/>
        <w:tblLook w:val="04A0" w:firstRow="1" w:lastRow="0" w:firstColumn="1" w:lastColumn="0" w:noHBand="0" w:noVBand="1"/>
      </w:tblPr>
      <w:tblGrid>
        <w:gridCol w:w="1778"/>
        <w:gridCol w:w="1237"/>
        <w:gridCol w:w="1229"/>
        <w:gridCol w:w="1232"/>
        <w:gridCol w:w="1232"/>
        <w:gridCol w:w="1443"/>
        <w:gridCol w:w="1122"/>
        <w:gridCol w:w="1242"/>
        <w:gridCol w:w="1170"/>
        <w:gridCol w:w="1618"/>
        <w:gridCol w:w="1349"/>
      </w:tblGrid>
      <w:tr w:rsidR="00D43014" w:rsidRPr="00C505F5" w14:paraId="0F469970" w14:textId="77777777" w:rsidTr="002F0B8D">
        <w:trPr>
          <w:cnfStyle w:val="100000000000" w:firstRow="1" w:lastRow="0" w:firstColumn="0" w:lastColumn="0" w:oddVBand="0" w:evenVBand="0" w:oddHBand="0"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1778" w:type="dxa"/>
            <w:tcBorders>
              <w:top w:val="single" w:sz="4" w:space="0" w:color="auto"/>
            </w:tcBorders>
          </w:tcPr>
          <w:p w14:paraId="40A06DA3" w14:textId="77777777" w:rsidR="00D43014" w:rsidRPr="00C505F5" w:rsidRDefault="00D43014" w:rsidP="002F782A">
            <w:pPr>
              <w:rPr>
                <w:rFonts w:cs="Times New Roman"/>
                <w:sz w:val="24"/>
                <w:szCs w:val="24"/>
              </w:rPr>
            </w:pPr>
          </w:p>
        </w:tc>
        <w:tc>
          <w:tcPr>
            <w:tcW w:w="1237" w:type="dxa"/>
            <w:tcBorders>
              <w:top w:val="single" w:sz="4" w:space="0" w:color="auto"/>
            </w:tcBorders>
          </w:tcPr>
          <w:p w14:paraId="659AE55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(12)</w:t>
            </w:r>
          </w:p>
        </w:tc>
        <w:tc>
          <w:tcPr>
            <w:tcW w:w="1229" w:type="dxa"/>
            <w:tcBorders>
              <w:top w:val="single" w:sz="4" w:space="0" w:color="auto"/>
            </w:tcBorders>
          </w:tcPr>
          <w:p w14:paraId="025E6194"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(13)</w:t>
            </w:r>
          </w:p>
        </w:tc>
        <w:tc>
          <w:tcPr>
            <w:tcW w:w="1232" w:type="dxa"/>
            <w:tcBorders>
              <w:top w:val="single" w:sz="4" w:space="0" w:color="auto"/>
            </w:tcBorders>
          </w:tcPr>
          <w:p w14:paraId="79D22C1A"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(14)</w:t>
            </w:r>
          </w:p>
        </w:tc>
        <w:tc>
          <w:tcPr>
            <w:tcW w:w="1232" w:type="dxa"/>
            <w:tcBorders>
              <w:top w:val="single" w:sz="4" w:space="0" w:color="auto"/>
            </w:tcBorders>
          </w:tcPr>
          <w:p w14:paraId="0EF2CA47"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(15)</w:t>
            </w:r>
          </w:p>
        </w:tc>
        <w:tc>
          <w:tcPr>
            <w:tcW w:w="1443" w:type="dxa"/>
            <w:tcBorders>
              <w:top w:val="single" w:sz="4" w:space="0" w:color="auto"/>
            </w:tcBorders>
          </w:tcPr>
          <w:p w14:paraId="1346AE55"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(16)</w:t>
            </w:r>
          </w:p>
        </w:tc>
        <w:tc>
          <w:tcPr>
            <w:tcW w:w="1122" w:type="dxa"/>
            <w:tcBorders>
              <w:top w:val="single" w:sz="4" w:space="0" w:color="auto"/>
            </w:tcBorders>
          </w:tcPr>
          <w:p w14:paraId="199AB09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(17)</w:t>
            </w:r>
          </w:p>
        </w:tc>
        <w:tc>
          <w:tcPr>
            <w:tcW w:w="1242" w:type="dxa"/>
            <w:tcBorders>
              <w:top w:val="single" w:sz="4" w:space="0" w:color="auto"/>
            </w:tcBorders>
          </w:tcPr>
          <w:p w14:paraId="5E76910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(18)</w:t>
            </w:r>
          </w:p>
        </w:tc>
        <w:tc>
          <w:tcPr>
            <w:tcW w:w="1170" w:type="dxa"/>
            <w:tcBorders>
              <w:top w:val="single" w:sz="4" w:space="0" w:color="auto"/>
            </w:tcBorders>
          </w:tcPr>
          <w:p w14:paraId="05A60459"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(19)</w:t>
            </w:r>
          </w:p>
        </w:tc>
        <w:tc>
          <w:tcPr>
            <w:tcW w:w="1618" w:type="dxa"/>
            <w:tcBorders>
              <w:top w:val="single" w:sz="4" w:space="0" w:color="auto"/>
            </w:tcBorders>
          </w:tcPr>
          <w:p w14:paraId="4D017F28"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(20)</w:t>
            </w:r>
          </w:p>
        </w:tc>
        <w:tc>
          <w:tcPr>
            <w:tcW w:w="1349" w:type="dxa"/>
            <w:tcBorders>
              <w:top w:val="single" w:sz="4" w:space="0" w:color="auto"/>
            </w:tcBorders>
          </w:tcPr>
          <w:p w14:paraId="4D77FD8B"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b w:val="0"/>
                <w:sz w:val="24"/>
                <w:szCs w:val="24"/>
              </w:rPr>
            </w:pPr>
            <w:r w:rsidRPr="00C505F5">
              <w:rPr>
                <w:rFonts w:cs="Times New Roman"/>
                <w:sz w:val="24"/>
                <w:szCs w:val="24"/>
              </w:rPr>
              <w:t>(21</w:t>
            </w:r>
            <w:r w:rsidRPr="00C505F5">
              <w:rPr>
                <w:rFonts w:cs="Times New Roman"/>
                <w:b w:val="0"/>
                <w:sz w:val="24"/>
                <w:szCs w:val="24"/>
              </w:rPr>
              <w:t>)</w:t>
            </w:r>
          </w:p>
        </w:tc>
      </w:tr>
      <w:tr w:rsidR="00D43014" w:rsidRPr="00C505F5" w14:paraId="458629B4" w14:textId="77777777" w:rsidTr="002F0B8D">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778" w:type="dxa"/>
            <w:tcBorders>
              <w:bottom w:val="single" w:sz="4" w:space="0" w:color="auto"/>
            </w:tcBorders>
          </w:tcPr>
          <w:p w14:paraId="22790C4C" w14:textId="77777777" w:rsidR="00D43014" w:rsidRPr="00C505F5" w:rsidRDefault="00D43014" w:rsidP="002F782A">
            <w:pPr>
              <w:rPr>
                <w:rFonts w:cs="Times New Roman"/>
                <w:sz w:val="24"/>
                <w:szCs w:val="24"/>
              </w:rPr>
            </w:pPr>
            <w:r w:rsidRPr="00C505F5">
              <w:rPr>
                <w:rFonts w:cs="Times New Roman"/>
                <w:sz w:val="24"/>
                <w:szCs w:val="24"/>
              </w:rPr>
              <w:t>VARIABLES</w:t>
            </w:r>
          </w:p>
        </w:tc>
        <w:tc>
          <w:tcPr>
            <w:tcW w:w="1237" w:type="dxa"/>
            <w:tcBorders>
              <w:bottom w:val="single" w:sz="4" w:space="0" w:color="auto"/>
            </w:tcBorders>
          </w:tcPr>
          <w:p w14:paraId="18D9725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Azerbaij.</w:t>
            </w:r>
          </w:p>
        </w:tc>
        <w:tc>
          <w:tcPr>
            <w:tcW w:w="1229" w:type="dxa"/>
            <w:tcBorders>
              <w:bottom w:val="single" w:sz="4" w:space="0" w:color="auto"/>
            </w:tcBorders>
          </w:tcPr>
          <w:p w14:paraId="690425F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Bahrain</w:t>
            </w:r>
          </w:p>
        </w:tc>
        <w:tc>
          <w:tcPr>
            <w:tcW w:w="1232" w:type="dxa"/>
            <w:tcBorders>
              <w:bottom w:val="single" w:sz="4" w:space="0" w:color="auto"/>
            </w:tcBorders>
          </w:tcPr>
          <w:p w14:paraId="5F31043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Brunei</w:t>
            </w:r>
          </w:p>
        </w:tc>
        <w:tc>
          <w:tcPr>
            <w:tcW w:w="1232" w:type="dxa"/>
            <w:tcBorders>
              <w:bottom w:val="single" w:sz="4" w:space="0" w:color="auto"/>
            </w:tcBorders>
          </w:tcPr>
          <w:p w14:paraId="767C890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Canada</w:t>
            </w:r>
          </w:p>
        </w:tc>
        <w:tc>
          <w:tcPr>
            <w:tcW w:w="1443" w:type="dxa"/>
            <w:tcBorders>
              <w:bottom w:val="single" w:sz="4" w:space="0" w:color="auto"/>
            </w:tcBorders>
          </w:tcPr>
          <w:p w14:paraId="22A0B3F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Kazakhstan</w:t>
            </w:r>
          </w:p>
        </w:tc>
        <w:tc>
          <w:tcPr>
            <w:tcW w:w="1122" w:type="dxa"/>
            <w:tcBorders>
              <w:bottom w:val="single" w:sz="4" w:space="0" w:color="auto"/>
            </w:tcBorders>
          </w:tcPr>
          <w:p w14:paraId="0A250B6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Kuwait</w:t>
            </w:r>
          </w:p>
        </w:tc>
        <w:tc>
          <w:tcPr>
            <w:tcW w:w="1242" w:type="dxa"/>
            <w:tcBorders>
              <w:bottom w:val="single" w:sz="4" w:space="0" w:color="auto"/>
            </w:tcBorders>
          </w:tcPr>
          <w:p w14:paraId="4A3283B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Qatar</w:t>
            </w:r>
          </w:p>
        </w:tc>
        <w:tc>
          <w:tcPr>
            <w:tcW w:w="1170" w:type="dxa"/>
            <w:tcBorders>
              <w:bottom w:val="single" w:sz="4" w:space="0" w:color="auto"/>
            </w:tcBorders>
          </w:tcPr>
          <w:p w14:paraId="0EF410E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Russia</w:t>
            </w:r>
          </w:p>
        </w:tc>
        <w:tc>
          <w:tcPr>
            <w:tcW w:w="1618" w:type="dxa"/>
            <w:tcBorders>
              <w:bottom w:val="single" w:sz="4" w:space="0" w:color="auto"/>
            </w:tcBorders>
          </w:tcPr>
          <w:p w14:paraId="44380B7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Saudi Arabia</w:t>
            </w:r>
          </w:p>
        </w:tc>
        <w:tc>
          <w:tcPr>
            <w:tcW w:w="1349" w:type="dxa"/>
            <w:tcBorders>
              <w:bottom w:val="single" w:sz="4" w:space="0" w:color="auto"/>
            </w:tcBorders>
          </w:tcPr>
          <w:p w14:paraId="351D710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Mongolia</w:t>
            </w:r>
          </w:p>
        </w:tc>
      </w:tr>
      <w:tr w:rsidR="00D43014" w:rsidRPr="00C505F5" w14:paraId="60E12C1A" w14:textId="77777777" w:rsidTr="002F0B8D">
        <w:tc>
          <w:tcPr>
            <w:cnfStyle w:val="001000000000" w:firstRow="0" w:lastRow="0" w:firstColumn="1" w:lastColumn="0" w:oddVBand="0" w:evenVBand="0" w:oddHBand="0" w:evenHBand="0" w:firstRowFirstColumn="0" w:firstRowLastColumn="0" w:lastRowFirstColumn="0" w:lastRowLastColumn="0"/>
            <w:tcW w:w="1778" w:type="dxa"/>
            <w:vMerge w:val="restart"/>
          </w:tcPr>
          <w:p w14:paraId="46FACA83" w14:textId="77777777" w:rsidR="00D43014" w:rsidRPr="00C505F5" w:rsidRDefault="00D43014" w:rsidP="002F782A">
            <w:pPr>
              <w:rPr>
                <w:rFonts w:cs="Times New Roman"/>
                <w:sz w:val="24"/>
                <w:szCs w:val="24"/>
              </w:rPr>
            </w:pPr>
            <w:r w:rsidRPr="00C505F5">
              <w:rPr>
                <w:rFonts w:cs="Times New Roman"/>
                <w:sz w:val="24"/>
                <w:szCs w:val="24"/>
              </w:rPr>
              <w:t>Commodity Price Indices</w:t>
            </w:r>
          </w:p>
        </w:tc>
        <w:tc>
          <w:tcPr>
            <w:tcW w:w="1237" w:type="dxa"/>
          </w:tcPr>
          <w:p w14:paraId="1E37E18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0.011***</w:t>
            </w:r>
          </w:p>
        </w:tc>
        <w:tc>
          <w:tcPr>
            <w:tcW w:w="1229" w:type="dxa"/>
          </w:tcPr>
          <w:p w14:paraId="60D4AF8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232" w:type="dxa"/>
          </w:tcPr>
          <w:p w14:paraId="5A5E5E3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0.004***</w:t>
            </w:r>
          </w:p>
        </w:tc>
        <w:tc>
          <w:tcPr>
            <w:tcW w:w="1232" w:type="dxa"/>
          </w:tcPr>
          <w:p w14:paraId="7151B9E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0.013***</w:t>
            </w:r>
          </w:p>
        </w:tc>
        <w:tc>
          <w:tcPr>
            <w:tcW w:w="1443" w:type="dxa"/>
          </w:tcPr>
          <w:p w14:paraId="67559CC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0.014***</w:t>
            </w:r>
          </w:p>
        </w:tc>
        <w:tc>
          <w:tcPr>
            <w:tcW w:w="1122" w:type="dxa"/>
          </w:tcPr>
          <w:p w14:paraId="5A6D1BD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0.003*</w:t>
            </w:r>
          </w:p>
        </w:tc>
        <w:tc>
          <w:tcPr>
            <w:tcW w:w="1242" w:type="dxa"/>
          </w:tcPr>
          <w:p w14:paraId="26D2103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170" w:type="dxa"/>
          </w:tcPr>
          <w:p w14:paraId="63C543F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0.033**</w:t>
            </w:r>
          </w:p>
        </w:tc>
        <w:tc>
          <w:tcPr>
            <w:tcW w:w="1618" w:type="dxa"/>
          </w:tcPr>
          <w:p w14:paraId="21CDD5E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0.004**</w:t>
            </w:r>
          </w:p>
        </w:tc>
        <w:tc>
          <w:tcPr>
            <w:tcW w:w="1349" w:type="dxa"/>
          </w:tcPr>
          <w:p w14:paraId="7093604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0.044***</w:t>
            </w:r>
          </w:p>
        </w:tc>
      </w:tr>
      <w:tr w:rsidR="00D43014" w:rsidRPr="00C505F5" w14:paraId="4DE66FBD"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8" w:type="dxa"/>
            <w:vMerge/>
          </w:tcPr>
          <w:p w14:paraId="3965D729" w14:textId="77777777" w:rsidR="00D43014" w:rsidRPr="00C505F5" w:rsidRDefault="00D43014" w:rsidP="002F782A">
            <w:pPr>
              <w:rPr>
                <w:rFonts w:cs="Times New Roman"/>
                <w:sz w:val="24"/>
                <w:szCs w:val="24"/>
              </w:rPr>
            </w:pPr>
          </w:p>
        </w:tc>
        <w:tc>
          <w:tcPr>
            <w:tcW w:w="1237" w:type="dxa"/>
          </w:tcPr>
          <w:p w14:paraId="12FC011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(0.004)</w:t>
            </w:r>
          </w:p>
        </w:tc>
        <w:tc>
          <w:tcPr>
            <w:tcW w:w="1229" w:type="dxa"/>
          </w:tcPr>
          <w:p w14:paraId="68C25D8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(0.004)</w:t>
            </w:r>
          </w:p>
        </w:tc>
        <w:tc>
          <w:tcPr>
            <w:tcW w:w="1232" w:type="dxa"/>
          </w:tcPr>
          <w:p w14:paraId="038A777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232" w:type="dxa"/>
          </w:tcPr>
          <w:p w14:paraId="7215898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(0.004)</w:t>
            </w:r>
          </w:p>
        </w:tc>
        <w:tc>
          <w:tcPr>
            <w:tcW w:w="1443" w:type="dxa"/>
          </w:tcPr>
          <w:p w14:paraId="3F4B2CC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(0.005)</w:t>
            </w:r>
          </w:p>
        </w:tc>
        <w:tc>
          <w:tcPr>
            <w:tcW w:w="1122" w:type="dxa"/>
          </w:tcPr>
          <w:p w14:paraId="4201DBF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242" w:type="dxa"/>
          </w:tcPr>
          <w:p w14:paraId="5C61188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(0.003)</w:t>
            </w:r>
          </w:p>
        </w:tc>
        <w:tc>
          <w:tcPr>
            <w:tcW w:w="1170" w:type="dxa"/>
          </w:tcPr>
          <w:p w14:paraId="13F6E5E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(0.016)</w:t>
            </w:r>
          </w:p>
        </w:tc>
        <w:tc>
          <w:tcPr>
            <w:tcW w:w="1618" w:type="dxa"/>
          </w:tcPr>
          <w:p w14:paraId="01DEE09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349" w:type="dxa"/>
          </w:tcPr>
          <w:p w14:paraId="5E5A6BC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(0.015)</w:t>
            </w:r>
          </w:p>
        </w:tc>
      </w:tr>
      <w:tr w:rsidR="00D43014" w:rsidRPr="00C505F5" w14:paraId="2F6841F9" w14:textId="77777777" w:rsidTr="002F0B8D">
        <w:tc>
          <w:tcPr>
            <w:cnfStyle w:val="001000000000" w:firstRow="0" w:lastRow="0" w:firstColumn="1" w:lastColumn="0" w:oddVBand="0" w:evenVBand="0" w:oddHBand="0" w:evenHBand="0" w:firstRowFirstColumn="0" w:firstRowLastColumn="0" w:lastRowFirstColumn="0" w:lastRowLastColumn="0"/>
            <w:tcW w:w="1778" w:type="dxa"/>
          </w:tcPr>
          <w:p w14:paraId="1C599575" w14:textId="77777777" w:rsidR="00D43014" w:rsidRPr="00C505F5" w:rsidRDefault="00D43014" w:rsidP="002F782A">
            <w:pPr>
              <w:rPr>
                <w:rFonts w:cs="Times New Roman"/>
                <w:sz w:val="24"/>
                <w:szCs w:val="24"/>
              </w:rPr>
            </w:pPr>
            <w:r w:rsidRPr="00C505F5">
              <w:rPr>
                <w:rFonts w:cs="Times New Roman"/>
                <w:sz w:val="24"/>
                <w:szCs w:val="24"/>
              </w:rPr>
              <w:t>REER Lag</w:t>
            </w:r>
          </w:p>
        </w:tc>
        <w:tc>
          <w:tcPr>
            <w:tcW w:w="1237" w:type="dxa"/>
          </w:tcPr>
          <w:p w14:paraId="33C75D4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0.979***</w:t>
            </w:r>
          </w:p>
        </w:tc>
        <w:tc>
          <w:tcPr>
            <w:tcW w:w="1229" w:type="dxa"/>
          </w:tcPr>
          <w:p w14:paraId="02525A5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0.979***</w:t>
            </w:r>
          </w:p>
        </w:tc>
        <w:tc>
          <w:tcPr>
            <w:tcW w:w="1232" w:type="dxa"/>
          </w:tcPr>
          <w:p w14:paraId="2C60848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0.980***</w:t>
            </w:r>
          </w:p>
        </w:tc>
        <w:tc>
          <w:tcPr>
            <w:tcW w:w="1232" w:type="dxa"/>
          </w:tcPr>
          <w:p w14:paraId="0DC8655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0.939***</w:t>
            </w:r>
          </w:p>
        </w:tc>
        <w:tc>
          <w:tcPr>
            <w:tcW w:w="1443" w:type="dxa"/>
          </w:tcPr>
          <w:p w14:paraId="5BE3A91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0.958***</w:t>
            </w:r>
          </w:p>
        </w:tc>
        <w:tc>
          <w:tcPr>
            <w:tcW w:w="1122" w:type="dxa"/>
          </w:tcPr>
          <w:p w14:paraId="47DAE14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0.996***</w:t>
            </w:r>
          </w:p>
        </w:tc>
        <w:tc>
          <w:tcPr>
            <w:tcW w:w="1242" w:type="dxa"/>
          </w:tcPr>
          <w:p w14:paraId="330209C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1.001***</w:t>
            </w:r>
          </w:p>
        </w:tc>
        <w:tc>
          <w:tcPr>
            <w:tcW w:w="1170" w:type="dxa"/>
          </w:tcPr>
          <w:p w14:paraId="703F24E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0.926***</w:t>
            </w:r>
          </w:p>
        </w:tc>
        <w:tc>
          <w:tcPr>
            <w:tcW w:w="1618" w:type="dxa"/>
          </w:tcPr>
          <w:p w14:paraId="4178E3C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1.015***</w:t>
            </w:r>
          </w:p>
        </w:tc>
        <w:tc>
          <w:tcPr>
            <w:tcW w:w="1349" w:type="dxa"/>
          </w:tcPr>
          <w:p w14:paraId="55C6319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0.946***</w:t>
            </w:r>
          </w:p>
        </w:tc>
      </w:tr>
      <w:tr w:rsidR="00D43014" w:rsidRPr="00C505F5" w14:paraId="5C6B3223"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8" w:type="dxa"/>
          </w:tcPr>
          <w:p w14:paraId="4DB7AD12" w14:textId="77777777" w:rsidR="00D43014" w:rsidRPr="00C505F5" w:rsidRDefault="00D43014" w:rsidP="002F782A">
            <w:pPr>
              <w:rPr>
                <w:rFonts w:cs="Times New Roman"/>
                <w:sz w:val="24"/>
                <w:szCs w:val="24"/>
              </w:rPr>
            </w:pPr>
          </w:p>
        </w:tc>
        <w:tc>
          <w:tcPr>
            <w:tcW w:w="1237" w:type="dxa"/>
          </w:tcPr>
          <w:p w14:paraId="1A776D8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(0.010)</w:t>
            </w:r>
          </w:p>
        </w:tc>
        <w:tc>
          <w:tcPr>
            <w:tcW w:w="1229" w:type="dxa"/>
          </w:tcPr>
          <w:p w14:paraId="72B25DD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(0.021)</w:t>
            </w:r>
          </w:p>
        </w:tc>
        <w:tc>
          <w:tcPr>
            <w:tcW w:w="1232" w:type="dxa"/>
          </w:tcPr>
          <w:p w14:paraId="3FC5D91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(0.008)</w:t>
            </w:r>
          </w:p>
        </w:tc>
        <w:tc>
          <w:tcPr>
            <w:tcW w:w="1232" w:type="dxa"/>
          </w:tcPr>
          <w:p w14:paraId="242724C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(0.019)</w:t>
            </w:r>
          </w:p>
        </w:tc>
        <w:tc>
          <w:tcPr>
            <w:tcW w:w="1443" w:type="dxa"/>
          </w:tcPr>
          <w:p w14:paraId="0CB98CD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(0.018)</w:t>
            </w:r>
          </w:p>
        </w:tc>
        <w:tc>
          <w:tcPr>
            <w:tcW w:w="1122" w:type="dxa"/>
          </w:tcPr>
          <w:p w14:paraId="455D5C6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(0.010)</w:t>
            </w:r>
          </w:p>
        </w:tc>
        <w:tc>
          <w:tcPr>
            <w:tcW w:w="1242" w:type="dxa"/>
          </w:tcPr>
          <w:p w14:paraId="29AE2FF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(0.013)</w:t>
            </w:r>
          </w:p>
        </w:tc>
        <w:tc>
          <w:tcPr>
            <w:tcW w:w="1170" w:type="dxa"/>
          </w:tcPr>
          <w:p w14:paraId="1A72BCB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(0.028)</w:t>
            </w:r>
          </w:p>
        </w:tc>
        <w:tc>
          <w:tcPr>
            <w:tcW w:w="1618" w:type="dxa"/>
          </w:tcPr>
          <w:p w14:paraId="3EBEBC3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(0.010)</w:t>
            </w:r>
          </w:p>
        </w:tc>
        <w:tc>
          <w:tcPr>
            <w:tcW w:w="1349" w:type="dxa"/>
          </w:tcPr>
          <w:p w14:paraId="3646FD2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(0.025)</w:t>
            </w:r>
          </w:p>
        </w:tc>
      </w:tr>
      <w:tr w:rsidR="00D43014" w:rsidRPr="00C505F5" w14:paraId="09C31856" w14:textId="77777777" w:rsidTr="002F0B8D">
        <w:tc>
          <w:tcPr>
            <w:cnfStyle w:val="001000000000" w:firstRow="0" w:lastRow="0" w:firstColumn="1" w:lastColumn="0" w:oddVBand="0" w:evenVBand="0" w:oddHBand="0" w:evenHBand="0" w:firstRowFirstColumn="0" w:firstRowLastColumn="0" w:lastRowFirstColumn="0" w:lastRowLastColumn="0"/>
            <w:tcW w:w="1778" w:type="dxa"/>
          </w:tcPr>
          <w:p w14:paraId="176F488D" w14:textId="77777777" w:rsidR="00D43014" w:rsidRPr="00C505F5" w:rsidRDefault="00D43014" w:rsidP="002F782A">
            <w:pPr>
              <w:rPr>
                <w:rFonts w:cs="Times New Roman"/>
                <w:sz w:val="24"/>
                <w:szCs w:val="24"/>
              </w:rPr>
            </w:pPr>
            <w:r w:rsidRPr="00C505F5">
              <w:rPr>
                <w:rFonts w:cs="Times New Roman"/>
                <w:sz w:val="24"/>
                <w:szCs w:val="24"/>
              </w:rPr>
              <w:t>Constant</w:t>
            </w:r>
          </w:p>
        </w:tc>
        <w:tc>
          <w:tcPr>
            <w:tcW w:w="1237" w:type="dxa"/>
          </w:tcPr>
          <w:p w14:paraId="233F08E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0.105**</w:t>
            </w:r>
          </w:p>
        </w:tc>
        <w:tc>
          <w:tcPr>
            <w:tcW w:w="1229" w:type="dxa"/>
          </w:tcPr>
          <w:p w14:paraId="4445BB9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0.100</w:t>
            </w:r>
          </w:p>
        </w:tc>
        <w:tc>
          <w:tcPr>
            <w:tcW w:w="1232" w:type="dxa"/>
          </w:tcPr>
          <w:p w14:paraId="423B889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0.094**</w:t>
            </w:r>
          </w:p>
        </w:tc>
        <w:tc>
          <w:tcPr>
            <w:tcW w:w="1232" w:type="dxa"/>
          </w:tcPr>
          <w:p w14:paraId="00F4142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0.279***</w:t>
            </w:r>
          </w:p>
        </w:tc>
        <w:tc>
          <w:tcPr>
            <w:tcW w:w="1443" w:type="dxa"/>
          </w:tcPr>
          <w:p w14:paraId="2EB5C2F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0.198**</w:t>
            </w:r>
          </w:p>
        </w:tc>
        <w:tc>
          <w:tcPr>
            <w:tcW w:w="1122" w:type="dxa"/>
          </w:tcPr>
          <w:p w14:paraId="0E05F47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0.022</w:t>
            </w:r>
          </w:p>
        </w:tc>
        <w:tc>
          <w:tcPr>
            <w:tcW w:w="1242" w:type="dxa"/>
          </w:tcPr>
          <w:p w14:paraId="15808A6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-0.003</w:t>
            </w:r>
          </w:p>
        </w:tc>
        <w:tc>
          <w:tcPr>
            <w:tcW w:w="1170" w:type="dxa"/>
          </w:tcPr>
          <w:p w14:paraId="7F4A7BB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0.349***</w:t>
            </w:r>
          </w:p>
        </w:tc>
        <w:tc>
          <w:tcPr>
            <w:tcW w:w="1618" w:type="dxa"/>
          </w:tcPr>
          <w:p w14:paraId="6778884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-0.069</w:t>
            </w:r>
          </w:p>
        </w:tc>
        <w:tc>
          <w:tcPr>
            <w:tcW w:w="1349" w:type="dxa"/>
          </w:tcPr>
          <w:p w14:paraId="161048B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0.264**</w:t>
            </w:r>
          </w:p>
        </w:tc>
      </w:tr>
      <w:tr w:rsidR="00D43014" w:rsidRPr="00C505F5" w14:paraId="380CAC57"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8" w:type="dxa"/>
          </w:tcPr>
          <w:p w14:paraId="1C894C06" w14:textId="77777777" w:rsidR="00D43014" w:rsidRPr="00C505F5" w:rsidRDefault="00D43014" w:rsidP="002F782A">
            <w:pPr>
              <w:rPr>
                <w:rFonts w:cs="Times New Roman"/>
                <w:sz w:val="24"/>
                <w:szCs w:val="24"/>
              </w:rPr>
            </w:pPr>
          </w:p>
        </w:tc>
        <w:tc>
          <w:tcPr>
            <w:tcW w:w="1237" w:type="dxa"/>
          </w:tcPr>
          <w:p w14:paraId="5A363F2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(0.050)</w:t>
            </w:r>
          </w:p>
        </w:tc>
        <w:tc>
          <w:tcPr>
            <w:tcW w:w="1229" w:type="dxa"/>
          </w:tcPr>
          <w:p w14:paraId="6E224F4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(0.095)</w:t>
            </w:r>
          </w:p>
        </w:tc>
        <w:tc>
          <w:tcPr>
            <w:tcW w:w="1232" w:type="dxa"/>
          </w:tcPr>
          <w:p w14:paraId="35483DE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(0.039)</w:t>
            </w:r>
          </w:p>
        </w:tc>
        <w:tc>
          <w:tcPr>
            <w:tcW w:w="1232" w:type="dxa"/>
          </w:tcPr>
          <w:p w14:paraId="2F7B51A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(0.086)</w:t>
            </w:r>
          </w:p>
        </w:tc>
        <w:tc>
          <w:tcPr>
            <w:tcW w:w="1443" w:type="dxa"/>
          </w:tcPr>
          <w:p w14:paraId="28F78CB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(0.084)</w:t>
            </w:r>
          </w:p>
        </w:tc>
        <w:tc>
          <w:tcPr>
            <w:tcW w:w="1122" w:type="dxa"/>
          </w:tcPr>
          <w:p w14:paraId="3BDE32A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(0.049)</w:t>
            </w:r>
          </w:p>
        </w:tc>
        <w:tc>
          <w:tcPr>
            <w:tcW w:w="1242" w:type="dxa"/>
          </w:tcPr>
          <w:p w14:paraId="564A194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(0.059)</w:t>
            </w:r>
          </w:p>
        </w:tc>
        <w:tc>
          <w:tcPr>
            <w:tcW w:w="1170" w:type="dxa"/>
          </w:tcPr>
          <w:p w14:paraId="73B8356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(0.130)</w:t>
            </w:r>
          </w:p>
        </w:tc>
        <w:tc>
          <w:tcPr>
            <w:tcW w:w="1618" w:type="dxa"/>
          </w:tcPr>
          <w:p w14:paraId="7CE6436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(0.048)</w:t>
            </w:r>
          </w:p>
        </w:tc>
        <w:tc>
          <w:tcPr>
            <w:tcW w:w="1349" w:type="dxa"/>
          </w:tcPr>
          <w:p w14:paraId="28B4B83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(0.118)</w:t>
            </w:r>
          </w:p>
        </w:tc>
      </w:tr>
      <w:tr w:rsidR="00D43014" w:rsidRPr="00C505F5" w14:paraId="29460E3E" w14:textId="77777777" w:rsidTr="002F0B8D">
        <w:trPr>
          <w:trHeight w:val="43"/>
        </w:trPr>
        <w:tc>
          <w:tcPr>
            <w:cnfStyle w:val="001000000000" w:firstRow="0" w:lastRow="0" w:firstColumn="1" w:lastColumn="0" w:oddVBand="0" w:evenVBand="0" w:oddHBand="0" w:evenHBand="0" w:firstRowFirstColumn="0" w:firstRowLastColumn="0" w:lastRowFirstColumn="0" w:lastRowLastColumn="0"/>
            <w:tcW w:w="1778" w:type="dxa"/>
            <w:tcBorders>
              <w:bottom w:val="single" w:sz="4" w:space="0" w:color="auto"/>
            </w:tcBorders>
          </w:tcPr>
          <w:p w14:paraId="593C5793" w14:textId="77777777" w:rsidR="00D43014" w:rsidRPr="00C505F5" w:rsidRDefault="00D43014" w:rsidP="002F782A">
            <w:pPr>
              <w:rPr>
                <w:rFonts w:cs="Times New Roman"/>
                <w:sz w:val="24"/>
                <w:szCs w:val="24"/>
              </w:rPr>
            </w:pPr>
          </w:p>
        </w:tc>
        <w:tc>
          <w:tcPr>
            <w:tcW w:w="1237" w:type="dxa"/>
            <w:tcBorders>
              <w:bottom w:val="single" w:sz="4" w:space="0" w:color="auto"/>
            </w:tcBorders>
          </w:tcPr>
          <w:p w14:paraId="7AF897A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29" w:type="dxa"/>
            <w:tcBorders>
              <w:bottom w:val="single" w:sz="4" w:space="0" w:color="auto"/>
            </w:tcBorders>
          </w:tcPr>
          <w:p w14:paraId="2DDF38D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32" w:type="dxa"/>
            <w:tcBorders>
              <w:bottom w:val="single" w:sz="4" w:space="0" w:color="auto"/>
            </w:tcBorders>
          </w:tcPr>
          <w:p w14:paraId="6795438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32" w:type="dxa"/>
            <w:tcBorders>
              <w:bottom w:val="single" w:sz="4" w:space="0" w:color="auto"/>
            </w:tcBorders>
          </w:tcPr>
          <w:p w14:paraId="644CC30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43" w:type="dxa"/>
            <w:tcBorders>
              <w:bottom w:val="single" w:sz="4" w:space="0" w:color="auto"/>
            </w:tcBorders>
          </w:tcPr>
          <w:p w14:paraId="6FE2985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122" w:type="dxa"/>
            <w:tcBorders>
              <w:bottom w:val="single" w:sz="4" w:space="0" w:color="auto"/>
            </w:tcBorders>
          </w:tcPr>
          <w:p w14:paraId="62FC2A2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42" w:type="dxa"/>
            <w:tcBorders>
              <w:bottom w:val="single" w:sz="4" w:space="0" w:color="auto"/>
            </w:tcBorders>
          </w:tcPr>
          <w:p w14:paraId="7EEA42D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170" w:type="dxa"/>
            <w:tcBorders>
              <w:bottom w:val="single" w:sz="4" w:space="0" w:color="auto"/>
            </w:tcBorders>
          </w:tcPr>
          <w:p w14:paraId="7C12BA5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618" w:type="dxa"/>
            <w:tcBorders>
              <w:bottom w:val="single" w:sz="4" w:space="0" w:color="auto"/>
            </w:tcBorders>
          </w:tcPr>
          <w:p w14:paraId="7583C19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349" w:type="dxa"/>
            <w:tcBorders>
              <w:bottom w:val="single" w:sz="4" w:space="0" w:color="auto"/>
            </w:tcBorders>
          </w:tcPr>
          <w:p w14:paraId="5AA5E4C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1B8CC733"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8" w:type="dxa"/>
            <w:tcBorders>
              <w:top w:val="single" w:sz="4" w:space="0" w:color="auto"/>
            </w:tcBorders>
          </w:tcPr>
          <w:p w14:paraId="7F9D2E98" w14:textId="77777777" w:rsidR="00D43014" w:rsidRPr="00C505F5" w:rsidRDefault="00D43014" w:rsidP="002F782A">
            <w:pPr>
              <w:rPr>
                <w:rFonts w:cs="Times New Roman"/>
                <w:sz w:val="24"/>
                <w:szCs w:val="24"/>
              </w:rPr>
            </w:pPr>
            <w:r w:rsidRPr="00C505F5">
              <w:rPr>
                <w:rFonts w:cs="Times New Roman"/>
                <w:sz w:val="24"/>
                <w:szCs w:val="24"/>
              </w:rPr>
              <w:t>Observations</w:t>
            </w:r>
          </w:p>
        </w:tc>
        <w:tc>
          <w:tcPr>
            <w:tcW w:w="1237" w:type="dxa"/>
            <w:tcBorders>
              <w:top w:val="single" w:sz="4" w:space="0" w:color="auto"/>
            </w:tcBorders>
          </w:tcPr>
          <w:p w14:paraId="4C1187C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229" w:type="dxa"/>
            <w:tcBorders>
              <w:top w:val="single" w:sz="4" w:space="0" w:color="auto"/>
            </w:tcBorders>
          </w:tcPr>
          <w:p w14:paraId="5792182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232" w:type="dxa"/>
            <w:tcBorders>
              <w:top w:val="single" w:sz="4" w:space="0" w:color="auto"/>
            </w:tcBorders>
          </w:tcPr>
          <w:p w14:paraId="1AB4B77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232" w:type="dxa"/>
            <w:tcBorders>
              <w:top w:val="single" w:sz="4" w:space="0" w:color="auto"/>
            </w:tcBorders>
          </w:tcPr>
          <w:p w14:paraId="21EEB49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443" w:type="dxa"/>
            <w:tcBorders>
              <w:top w:val="single" w:sz="4" w:space="0" w:color="auto"/>
            </w:tcBorders>
          </w:tcPr>
          <w:p w14:paraId="5D9290F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122" w:type="dxa"/>
            <w:tcBorders>
              <w:top w:val="single" w:sz="4" w:space="0" w:color="auto"/>
            </w:tcBorders>
          </w:tcPr>
          <w:p w14:paraId="5AD14A7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242" w:type="dxa"/>
            <w:tcBorders>
              <w:top w:val="single" w:sz="4" w:space="0" w:color="auto"/>
            </w:tcBorders>
          </w:tcPr>
          <w:p w14:paraId="2A21E00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156</w:t>
            </w:r>
          </w:p>
        </w:tc>
        <w:tc>
          <w:tcPr>
            <w:tcW w:w="1170" w:type="dxa"/>
            <w:tcBorders>
              <w:top w:val="single" w:sz="4" w:space="0" w:color="auto"/>
            </w:tcBorders>
          </w:tcPr>
          <w:p w14:paraId="709BC2C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618" w:type="dxa"/>
            <w:tcBorders>
              <w:top w:val="single" w:sz="4" w:space="0" w:color="auto"/>
            </w:tcBorders>
          </w:tcPr>
          <w:p w14:paraId="228D525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349" w:type="dxa"/>
            <w:tcBorders>
              <w:top w:val="single" w:sz="4" w:space="0" w:color="auto"/>
            </w:tcBorders>
          </w:tcPr>
          <w:p w14:paraId="229DD1F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r>
      <w:tr w:rsidR="00D43014" w:rsidRPr="00C505F5" w14:paraId="0B8A59EA" w14:textId="77777777" w:rsidTr="002F0B8D">
        <w:tc>
          <w:tcPr>
            <w:cnfStyle w:val="001000000000" w:firstRow="0" w:lastRow="0" w:firstColumn="1" w:lastColumn="0" w:oddVBand="0" w:evenVBand="0" w:oddHBand="0" w:evenHBand="0" w:firstRowFirstColumn="0" w:firstRowLastColumn="0" w:lastRowFirstColumn="0" w:lastRowLastColumn="0"/>
            <w:tcW w:w="1778" w:type="dxa"/>
            <w:tcBorders>
              <w:bottom w:val="single" w:sz="4" w:space="0" w:color="auto"/>
            </w:tcBorders>
          </w:tcPr>
          <w:p w14:paraId="02C2BA89" w14:textId="77777777" w:rsidR="00D43014" w:rsidRPr="00C505F5" w:rsidRDefault="00D43014" w:rsidP="002F782A">
            <w:pPr>
              <w:rPr>
                <w:rFonts w:cs="Times New Roman"/>
                <w:sz w:val="24"/>
                <w:szCs w:val="24"/>
              </w:rPr>
            </w:pPr>
            <w:r w:rsidRPr="00C505F5">
              <w:rPr>
                <w:rFonts w:cs="Times New Roman"/>
                <w:sz w:val="24"/>
                <w:szCs w:val="24"/>
              </w:rPr>
              <w:t>R-squared</w:t>
            </w:r>
          </w:p>
        </w:tc>
        <w:tc>
          <w:tcPr>
            <w:tcW w:w="1237" w:type="dxa"/>
            <w:tcBorders>
              <w:bottom w:val="single" w:sz="4" w:space="0" w:color="auto"/>
            </w:tcBorders>
          </w:tcPr>
          <w:p w14:paraId="037AC66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0.988</w:t>
            </w:r>
          </w:p>
        </w:tc>
        <w:tc>
          <w:tcPr>
            <w:tcW w:w="1229" w:type="dxa"/>
            <w:tcBorders>
              <w:bottom w:val="single" w:sz="4" w:space="0" w:color="auto"/>
            </w:tcBorders>
          </w:tcPr>
          <w:p w14:paraId="181B275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0.979</w:t>
            </w:r>
          </w:p>
        </w:tc>
        <w:tc>
          <w:tcPr>
            <w:tcW w:w="1232" w:type="dxa"/>
            <w:tcBorders>
              <w:bottom w:val="single" w:sz="4" w:space="0" w:color="auto"/>
            </w:tcBorders>
          </w:tcPr>
          <w:p w14:paraId="64C0A94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0.982</w:t>
            </w:r>
          </w:p>
        </w:tc>
        <w:tc>
          <w:tcPr>
            <w:tcW w:w="1232" w:type="dxa"/>
            <w:tcBorders>
              <w:bottom w:val="single" w:sz="4" w:space="0" w:color="auto"/>
            </w:tcBorders>
          </w:tcPr>
          <w:p w14:paraId="4E2B0FB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0.984</w:t>
            </w:r>
          </w:p>
        </w:tc>
        <w:tc>
          <w:tcPr>
            <w:tcW w:w="1443" w:type="dxa"/>
            <w:tcBorders>
              <w:bottom w:val="single" w:sz="4" w:space="0" w:color="auto"/>
            </w:tcBorders>
          </w:tcPr>
          <w:p w14:paraId="650634C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0.965</w:t>
            </w:r>
          </w:p>
        </w:tc>
        <w:tc>
          <w:tcPr>
            <w:tcW w:w="1122" w:type="dxa"/>
            <w:tcBorders>
              <w:bottom w:val="single" w:sz="4" w:space="0" w:color="auto"/>
            </w:tcBorders>
          </w:tcPr>
          <w:p w14:paraId="3A23553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0.976</w:t>
            </w:r>
          </w:p>
        </w:tc>
        <w:tc>
          <w:tcPr>
            <w:tcW w:w="1242" w:type="dxa"/>
            <w:tcBorders>
              <w:bottom w:val="single" w:sz="4" w:space="0" w:color="auto"/>
            </w:tcBorders>
          </w:tcPr>
          <w:p w14:paraId="7889DFA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0.978</w:t>
            </w:r>
          </w:p>
        </w:tc>
        <w:tc>
          <w:tcPr>
            <w:tcW w:w="1170" w:type="dxa"/>
            <w:tcBorders>
              <w:bottom w:val="single" w:sz="4" w:space="0" w:color="auto"/>
            </w:tcBorders>
          </w:tcPr>
          <w:p w14:paraId="5C56B38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0.974</w:t>
            </w:r>
          </w:p>
        </w:tc>
        <w:tc>
          <w:tcPr>
            <w:tcW w:w="1618" w:type="dxa"/>
            <w:tcBorders>
              <w:bottom w:val="single" w:sz="4" w:space="0" w:color="auto"/>
            </w:tcBorders>
          </w:tcPr>
          <w:p w14:paraId="05315CF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0.980</w:t>
            </w:r>
          </w:p>
        </w:tc>
        <w:tc>
          <w:tcPr>
            <w:tcW w:w="1349" w:type="dxa"/>
            <w:tcBorders>
              <w:bottom w:val="single" w:sz="4" w:space="0" w:color="auto"/>
            </w:tcBorders>
          </w:tcPr>
          <w:p w14:paraId="51C8484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0.968</w:t>
            </w:r>
          </w:p>
        </w:tc>
      </w:tr>
      <w:tr w:rsidR="00D43014" w:rsidRPr="00C505F5" w14:paraId="3503CF9F"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52" w:type="dxa"/>
            <w:gridSpan w:val="11"/>
            <w:tcBorders>
              <w:top w:val="single" w:sz="4" w:space="0" w:color="auto"/>
            </w:tcBorders>
          </w:tcPr>
          <w:p w14:paraId="55A8125D" w14:textId="0DEA345F" w:rsidR="00D43014" w:rsidRPr="00C505F5" w:rsidRDefault="00E85C88" w:rsidP="002F782A">
            <w:pPr>
              <w:rPr>
                <w:rFonts w:cs="Times New Roman"/>
                <w:sz w:val="24"/>
                <w:szCs w:val="24"/>
              </w:rPr>
            </w:pPr>
            <w:r>
              <w:rPr>
                <w:rFonts w:cs="Times New Roman"/>
                <w:sz w:val="24"/>
                <w:szCs w:val="24"/>
              </w:rPr>
              <w:br/>
            </w:r>
            <w:r w:rsidR="00D43014" w:rsidRPr="00C505F5">
              <w:rPr>
                <w:rFonts w:cs="Times New Roman"/>
                <w:sz w:val="24"/>
                <w:szCs w:val="24"/>
              </w:rPr>
              <w:t xml:space="preserve">Robust standard errors in parentheses; *** p&lt;0.01, ** p&lt;0.05, * p&lt;0.1  </w:t>
            </w:r>
            <w:r w:rsidR="00D43014" w:rsidRPr="00C505F5">
              <w:rPr>
                <w:rFonts w:cs="Times New Roman"/>
                <w:sz w:val="24"/>
                <w:szCs w:val="24"/>
              </w:rPr>
              <w:br/>
            </w:r>
          </w:p>
          <w:p w14:paraId="2BD56802" w14:textId="77777777" w:rsidR="00D43014" w:rsidRPr="00C505F5" w:rsidRDefault="00D43014" w:rsidP="002F782A">
            <w:pPr>
              <w:rPr>
                <w:rFonts w:cs="Times New Roman"/>
                <w:sz w:val="24"/>
                <w:szCs w:val="24"/>
              </w:rPr>
            </w:pPr>
          </w:p>
        </w:tc>
      </w:tr>
    </w:tbl>
    <w:p w14:paraId="0D07C8B1" w14:textId="77777777" w:rsidR="00D43014" w:rsidRPr="00C505F5" w:rsidRDefault="00D43014" w:rsidP="00D43014">
      <w:pPr>
        <w:pStyle w:val="ListParagraph"/>
        <w:rPr>
          <w:rFonts w:cs="Times New Roman"/>
          <w:b/>
          <w:sz w:val="28"/>
        </w:rPr>
      </w:pPr>
      <w:r w:rsidRPr="00C505F5">
        <w:rPr>
          <w:rFonts w:cs="Times New Roman"/>
          <w:b/>
          <w:sz w:val="28"/>
        </w:rPr>
        <w:lastRenderedPageBreak/>
        <w:t>B2) OLS: Log of REER on a country-specific commodity price index, log of VIX and lagged REER</w:t>
      </w:r>
    </w:p>
    <w:tbl>
      <w:tblPr>
        <w:tblStyle w:val="PlainTable41"/>
        <w:tblW w:w="14673" w:type="dxa"/>
        <w:tblLayout w:type="fixed"/>
        <w:tblLook w:val="04A0" w:firstRow="1" w:lastRow="0" w:firstColumn="1" w:lastColumn="0" w:noHBand="0" w:noVBand="1"/>
      </w:tblPr>
      <w:tblGrid>
        <w:gridCol w:w="1617"/>
        <w:gridCol w:w="1116"/>
        <w:gridCol w:w="1316"/>
        <w:gridCol w:w="1243"/>
        <w:gridCol w:w="1116"/>
        <w:gridCol w:w="1116"/>
        <w:gridCol w:w="1217"/>
        <w:gridCol w:w="1116"/>
        <w:gridCol w:w="1116"/>
        <w:gridCol w:w="1116"/>
        <w:gridCol w:w="1217"/>
        <w:gridCol w:w="1367"/>
      </w:tblGrid>
      <w:tr w:rsidR="00D43014" w:rsidRPr="00C505F5" w14:paraId="28DE3B01"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Borders>
              <w:top w:val="single" w:sz="4" w:space="0" w:color="auto"/>
            </w:tcBorders>
          </w:tcPr>
          <w:p w14:paraId="7EAAF6AE" w14:textId="77777777" w:rsidR="00D43014" w:rsidRPr="00C505F5" w:rsidRDefault="00D43014" w:rsidP="002F782A">
            <w:pPr>
              <w:rPr>
                <w:rFonts w:cs="Times New Roman"/>
                <w:sz w:val="24"/>
                <w:szCs w:val="24"/>
              </w:rPr>
            </w:pPr>
          </w:p>
        </w:tc>
        <w:tc>
          <w:tcPr>
            <w:tcW w:w="1116" w:type="dxa"/>
            <w:tcBorders>
              <w:top w:val="single" w:sz="4" w:space="0" w:color="auto"/>
            </w:tcBorders>
          </w:tcPr>
          <w:p w14:paraId="7FC65CE1"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w:t>
            </w:r>
          </w:p>
        </w:tc>
        <w:tc>
          <w:tcPr>
            <w:tcW w:w="1316" w:type="dxa"/>
            <w:tcBorders>
              <w:top w:val="single" w:sz="4" w:space="0" w:color="auto"/>
            </w:tcBorders>
          </w:tcPr>
          <w:p w14:paraId="77E624B0"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w:t>
            </w:r>
          </w:p>
        </w:tc>
        <w:tc>
          <w:tcPr>
            <w:tcW w:w="1243" w:type="dxa"/>
            <w:tcBorders>
              <w:top w:val="single" w:sz="4" w:space="0" w:color="auto"/>
            </w:tcBorders>
          </w:tcPr>
          <w:p w14:paraId="531A6501"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(3)</w:t>
            </w:r>
          </w:p>
        </w:tc>
        <w:tc>
          <w:tcPr>
            <w:tcW w:w="1116" w:type="dxa"/>
            <w:tcBorders>
              <w:top w:val="single" w:sz="4" w:space="0" w:color="auto"/>
            </w:tcBorders>
          </w:tcPr>
          <w:p w14:paraId="36A1B4F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(4)</w:t>
            </w:r>
          </w:p>
        </w:tc>
        <w:tc>
          <w:tcPr>
            <w:tcW w:w="1116" w:type="dxa"/>
            <w:tcBorders>
              <w:top w:val="single" w:sz="4" w:space="0" w:color="auto"/>
            </w:tcBorders>
          </w:tcPr>
          <w:p w14:paraId="74A7A318"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(5)</w:t>
            </w:r>
          </w:p>
        </w:tc>
        <w:tc>
          <w:tcPr>
            <w:tcW w:w="1217" w:type="dxa"/>
            <w:tcBorders>
              <w:top w:val="single" w:sz="4" w:space="0" w:color="auto"/>
            </w:tcBorders>
          </w:tcPr>
          <w:p w14:paraId="5E28C13C"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(6)</w:t>
            </w:r>
          </w:p>
        </w:tc>
        <w:tc>
          <w:tcPr>
            <w:tcW w:w="1116" w:type="dxa"/>
            <w:tcBorders>
              <w:top w:val="single" w:sz="4" w:space="0" w:color="auto"/>
            </w:tcBorders>
          </w:tcPr>
          <w:p w14:paraId="5C89FBD4"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w:t>
            </w:r>
          </w:p>
        </w:tc>
        <w:tc>
          <w:tcPr>
            <w:tcW w:w="1116" w:type="dxa"/>
            <w:tcBorders>
              <w:top w:val="single" w:sz="4" w:space="0" w:color="auto"/>
            </w:tcBorders>
          </w:tcPr>
          <w:p w14:paraId="348ED679"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(8)</w:t>
            </w:r>
          </w:p>
        </w:tc>
        <w:tc>
          <w:tcPr>
            <w:tcW w:w="1116" w:type="dxa"/>
            <w:tcBorders>
              <w:top w:val="single" w:sz="4" w:space="0" w:color="auto"/>
            </w:tcBorders>
          </w:tcPr>
          <w:p w14:paraId="66C6AD5B"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(9)</w:t>
            </w:r>
          </w:p>
        </w:tc>
        <w:tc>
          <w:tcPr>
            <w:tcW w:w="1217" w:type="dxa"/>
            <w:tcBorders>
              <w:top w:val="single" w:sz="4" w:space="0" w:color="auto"/>
            </w:tcBorders>
          </w:tcPr>
          <w:p w14:paraId="6EF56E3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(10)</w:t>
            </w:r>
          </w:p>
        </w:tc>
        <w:tc>
          <w:tcPr>
            <w:tcW w:w="1367" w:type="dxa"/>
            <w:tcBorders>
              <w:top w:val="single" w:sz="4" w:space="0" w:color="auto"/>
            </w:tcBorders>
          </w:tcPr>
          <w:p w14:paraId="58936032"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(11)</w:t>
            </w:r>
          </w:p>
        </w:tc>
      </w:tr>
      <w:tr w:rsidR="00D43014" w:rsidRPr="00C505F5" w14:paraId="0DC6C30A"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Borders>
              <w:bottom w:val="single" w:sz="4" w:space="0" w:color="auto"/>
            </w:tcBorders>
          </w:tcPr>
          <w:p w14:paraId="708A4ADC" w14:textId="77777777" w:rsidR="00D43014" w:rsidRPr="00C505F5" w:rsidRDefault="00D43014" w:rsidP="002F782A">
            <w:pPr>
              <w:rPr>
                <w:rFonts w:cs="Times New Roman"/>
                <w:sz w:val="24"/>
                <w:szCs w:val="24"/>
              </w:rPr>
            </w:pPr>
            <w:r w:rsidRPr="00C505F5">
              <w:rPr>
                <w:rFonts w:cs="Times New Roman"/>
                <w:sz w:val="24"/>
                <w:szCs w:val="24"/>
              </w:rPr>
              <w:t>VARIABLES</w:t>
            </w:r>
          </w:p>
        </w:tc>
        <w:tc>
          <w:tcPr>
            <w:tcW w:w="1116" w:type="dxa"/>
            <w:tcBorders>
              <w:bottom w:val="single" w:sz="4" w:space="0" w:color="auto"/>
            </w:tcBorders>
          </w:tcPr>
          <w:p w14:paraId="0466CE4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Austral</w:t>
            </w:r>
          </w:p>
        </w:tc>
        <w:tc>
          <w:tcPr>
            <w:tcW w:w="1316" w:type="dxa"/>
            <w:tcBorders>
              <w:bottom w:val="single" w:sz="4" w:space="0" w:color="auto"/>
            </w:tcBorders>
          </w:tcPr>
          <w:p w14:paraId="7704A3C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New Zea.</w:t>
            </w:r>
          </w:p>
        </w:tc>
        <w:tc>
          <w:tcPr>
            <w:tcW w:w="1243" w:type="dxa"/>
            <w:tcBorders>
              <w:bottom w:val="single" w:sz="4" w:space="0" w:color="auto"/>
            </w:tcBorders>
          </w:tcPr>
          <w:p w14:paraId="080CF52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 Africa</w:t>
            </w:r>
          </w:p>
        </w:tc>
        <w:tc>
          <w:tcPr>
            <w:tcW w:w="1116" w:type="dxa"/>
            <w:tcBorders>
              <w:bottom w:val="single" w:sz="4" w:space="0" w:color="auto"/>
            </w:tcBorders>
          </w:tcPr>
          <w:p w14:paraId="7425681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Brazil</w:t>
            </w:r>
          </w:p>
        </w:tc>
        <w:tc>
          <w:tcPr>
            <w:tcW w:w="1116" w:type="dxa"/>
            <w:tcBorders>
              <w:bottom w:val="single" w:sz="4" w:space="0" w:color="auto"/>
            </w:tcBorders>
          </w:tcPr>
          <w:p w14:paraId="5A16A6B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Chile</w:t>
            </w:r>
          </w:p>
        </w:tc>
        <w:tc>
          <w:tcPr>
            <w:tcW w:w="1217" w:type="dxa"/>
            <w:tcBorders>
              <w:bottom w:val="single" w:sz="4" w:space="0" w:color="auto"/>
            </w:tcBorders>
          </w:tcPr>
          <w:p w14:paraId="3206F0E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Colombia</w:t>
            </w:r>
          </w:p>
        </w:tc>
        <w:tc>
          <w:tcPr>
            <w:tcW w:w="1116" w:type="dxa"/>
            <w:tcBorders>
              <w:bottom w:val="single" w:sz="4" w:space="0" w:color="auto"/>
            </w:tcBorders>
          </w:tcPr>
          <w:p w14:paraId="4F55BF9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Ecuador</w:t>
            </w:r>
          </w:p>
        </w:tc>
        <w:tc>
          <w:tcPr>
            <w:tcW w:w="1116" w:type="dxa"/>
            <w:tcBorders>
              <w:bottom w:val="single" w:sz="4" w:space="0" w:color="auto"/>
            </w:tcBorders>
          </w:tcPr>
          <w:p w14:paraId="27A4CC1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Peru</w:t>
            </w:r>
          </w:p>
        </w:tc>
        <w:tc>
          <w:tcPr>
            <w:tcW w:w="1116" w:type="dxa"/>
            <w:tcBorders>
              <w:bottom w:val="single" w:sz="4" w:space="0" w:color="auto"/>
            </w:tcBorders>
          </w:tcPr>
          <w:p w14:paraId="78376BD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UAE</w:t>
            </w:r>
          </w:p>
        </w:tc>
        <w:tc>
          <w:tcPr>
            <w:tcW w:w="1217" w:type="dxa"/>
            <w:tcBorders>
              <w:bottom w:val="single" w:sz="4" w:space="0" w:color="auto"/>
            </w:tcBorders>
          </w:tcPr>
          <w:p w14:paraId="013037B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Indonesia</w:t>
            </w:r>
          </w:p>
        </w:tc>
        <w:tc>
          <w:tcPr>
            <w:tcW w:w="1367" w:type="dxa"/>
            <w:tcBorders>
              <w:bottom w:val="single" w:sz="4" w:space="0" w:color="auto"/>
            </w:tcBorders>
          </w:tcPr>
          <w:p w14:paraId="31D6855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Papua NG</w:t>
            </w:r>
          </w:p>
        </w:tc>
      </w:tr>
      <w:tr w:rsidR="00D43014" w:rsidRPr="00C505F5" w14:paraId="42D4D15E" w14:textId="77777777" w:rsidTr="002F782A">
        <w:tc>
          <w:tcPr>
            <w:cnfStyle w:val="001000000000" w:firstRow="0" w:lastRow="0" w:firstColumn="1" w:lastColumn="0" w:oddVBand="0" w:evenVBand="0" w:oddHBand="0" w:evenHBand="0" w:firstRowFirstColumn="0" w:firstRowLastColumn="0" w:lastRowFirstColumn="0" w:lastRowLastColumn="0"/>
            <w:tcW w:w="1617" w:type="dxa"/>
            <w:vMerge w:val="restart"/>
          </w:tcPr>
          <w:p w14:paraId="1D35007C" w14:textId="77777777" w:rsidR="00D43014" w:rsidRPr="00C505F5" w:rsidRDefault="00D43014" w:rsidP="002F782A">
            <w:pPr>
              <w:rPr>
                <w:rFonts w:cs="Times New Roman"/>
                <w:sz w:val="24"/>
                <w:szCs w:val="24"/>
              </w:rPr>
            </w:pPr>
            <w:r w:rsidRPr="00C505F5">
              <w:rPr>
                <w:rFonts w:cs="Times New Roman"/>
                <w:sz w:val="24"/>
                <w:szCs w:val="24"/>
              </w:rPr>
              <w:t>Commodity Price Indices</w:t>
            </w:r>
          </w:p>
        </w:tc>
        <w:tc>
          <w:tcPr>
            <w:tcW w:w="1116" w:type="dxa"/>
          </w:tcPr>
          <w:p w14:paraId="1560467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0.039***</w:t>
            </w:r>
          </w:p>
        </w:tc>
        <w:tc>
          <w:tcPr>
            <w:tcW w:w="1316" w:type="dxa"/>
          </w:tcPr>
          <w:p w14:paraId="297C01E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0.140***</w:t>
            </w:r>
          </w:p>
        </w:tc>
        <w:tc>
          <w:tcPr>
            <w:tcW w:w="1243" w:type="dxa"/>
          </w:tcPr>
          <w:p w14:paraId="15620C1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-0.003</w:t>
            </w:r>
          </w:p>
        </w:tc>
        <w:tc>
          <w:tcPr>
            <w:tcW w:w="1116" w:type="dxa"/>
          </w:tcPr>
          <w:p w14:paraId="6D76B8A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0.100*</w:t>
            </w:r>
          </w:p>
        </w:tc>
        <w:tc>
          <w:tcPr>
            <w:tcW w:w="1116" w:type="dxa"/>
          </w:tcPr>
          <w:p w14:paraId="7E964B7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0.007</w:t>
            </w:r>
          </w:p>
        </w:tc>
        <w:tc>
          <w:tcPr>
            <w:tcW w:w="1217" w:type="dxa"/>
          </w:tcPr>
          <w:p w14:paraId="66D9512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0.005</w:t>
            </w:r>
          </w:p>
        </w:tc>
        <w:tc>
          <w:tcPr>
            <w:tcW w:w="1116" w:type="dxa"/>
          </w:tcPr>
          <w:p w14:paraId="3A0BC91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0.012</w:t>
            </w:r>
          </w:p>
        </w:tc>
        <w:tc>
          <w:tcPr>
            <w:tcW w:w="1116" w:type="dxa"/>
          </w:tcPr>
          <w:p w14:paraId="712E7BD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0.010***</w:t>
            </w:r>
          </w:p>
        </w:tc>
        <w:tc>
          <w:tcPr>
            <w:tcW w:w="1116" w:type="dxa"/>
          </w:tcPr>
          <w:p w14:paraId="1F51534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-0.023</w:t>
            </w:r>
          </w:p>
        </w:tc>
        <w:tc>
          <w:tcPr>
            <w:tcW w:w="1217" w:type="dxa"/>
          </w:tcPr>
          <w:p w14:paraId="0DF392F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0.087***</w:t>
            </w:r>
          </w:p>
        </w:tc>
        <w:tc>
          <w:tcPr>
            <w:tcW w:w="1367" w:type="dxa"/>
          </w:tcPr>
          <w:p w14:paraId="545B04D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0.027***</w:t>
            </w:r>
          </w:p>
        </w:tc>
      </w:tr>
      <w:tr w:rsidR="00D43014" w:rsidRPr="00C505F5" w14:paraId="4803C795"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vMerge/>
          </w:tcPr>
          <w:p w14:paraId="7970DE42" w14:textId="77777777" w:rsidR="00D43014" w:rsidRPr="00C505F5" w:rsidRDefault="00D43014" w:rsidP="002F782A">
            <w:pPr>
              <w:rPr>
                <w:rFonts w:cs="Times New Roman"/>
                <w:sz w:val="24"/>
                <w:szCs w:val="24"/>
              </w:rPr>
            </w:pPr>
          </w:p>
        </w:tc>
        <w:tc>
          <w:tcPr>
            <w:tcW w:w="1116" w:type="dxa"/>
          </w:tcPr>
          <w:p w14:paraId="7A0B856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(0.014)</w:t>
            </w:r>
          </w:p>
        </w:tc>
        <w:tc>
          <w:tcPr>
            <w:tcW w:w="1316" w:type="dxa"/>
          </w:tcPr>
          <w:p w14:paraId="2708E0B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(0.043)</w:t>
            </w:r>
          </w:p>
        </w:tc>
        <w:tc>
          <w:tcPr>
            <w:tcW w:w="1243" w:type="dxa"/>
          </w:tcPr>
          <w:p w14:paraId="1AA267F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(0.011)</w:t>
            </w:r>
          </w:p>
        </w:tc>
        <w:tc>
          <w:tcPr>
            <w:tcW w:w="1116" w:type="dxa"/>
          </w:tcPr>
          <w:p w14:paraId="637A1B4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(0.054)</w:t>
            </w:r>
          </w:p>
        </w:tc>
        <w:tc>
          <w:tcPr>
            <w:tcW w:w="1116" w:type="dxa"/>
          </w:tcPr>
          <w:p w14:paraId="5E7582B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(0.007)</w:t>
            </w:r>
          </w:p>
        </w:tc>
        <w:tc>
          <w:tcPr>
            <w:tcW w:w="1217" w:type="dxa"/>
          </w:tcPr>
          <w:p w14:paraId="5D25172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(0.009)</w:t>
            </w:r>
          </w:p>
        </w:tc>
        <w:tc>
          <w:tcPr>
            <w:tcW w:w="1116" w:type="dxa"/>
          </w:tcPr>
          <w:p w14:paraId="72F5F72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(0.010)</w:t>
            </w:r>
          </w:p>
        </w:tc>
        <w:tc>
          <w:tcPr>
            <w:tcW w:w="1116" w:type="dxa"/>
          </w:tcPr>
          <w:p w14:paraId="61167D2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(0.004)</w:t>
            </w:r>
          </w:p>
        </w:tc>
        <w:tc>
          <w:tcPr>
            <w:tcW w:w="1116" w:type="dxa"/>
          </w:tcPr>
          <w:p w14:paraId="36CC758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(0.019)</w:t>
            </w:r>
          </w:p>
        </w:tc>
        <w:tc>
          <w:tcPr>
            <w:tcW w:w="1217" w:type="dxa"/>
          </w:tcPr>
          <w:p w14:paraId="5CC5512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(0.033)</w:t>
            </w:r>
          </w:p>
        </w:tc>
        <w:tc>
          <w:tcPr>
            <w:tcW w:w="1367" w:type="dxa"/>
          </w:tcPr>
          <w:p w14:paraId="18C7E75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(0.006)</w:t>
            </w:r>
          </w:p>
        </w:tc>
      </w:tr>
      <w:tr w:rsidR="00D43014" w:rsidRPr="00C505F5" w14:paraId="78B940F3" w14:textId="77777777" w:rsidTr="002F782A">
        <w:tc>
          <w:tcPr>
            <w:cnfStyle w:val="001000000000" w:firstRow="0" w:lastRow="0" w:firstColumn="1" w:lastColumn="0" w:oddVBand="0" w:evenVBand="0" w:oddHBand="0" w:evenHBand="0" w:firstRowFirstColumn="0" w:firstRowLastColumn="0" w:lastRowFirstColumn="0" w:lastRowLastColumn="0"/>
            <w:tcW w:w="1617" w:type="dxa"/>
          </w:tcPr>
          <w:p w14:paraId="540C6F14" w14:textId="77777777" w:rsidR="00D43014" w:rsidRPr="00C505F5" w:rsidRDefault="00D43014" w:rsidP="002F782A">
            <w:pPr>
              <w:rPr>
                <w:rFonts w:cs="Times New Roman"/>
                <w:sz w:val="24"/>
                <w:szCs w:val="24"/>
              </w:rPr>
            </w:pPr>
            <w:r w:rsidRPr="00C505F5">
              <w:rPr>
                <w:rFonts w:cs="Times New Roman"/>
                <w:sz w:val="24"/>
                <w:szCs w:val="24"/>
              </w:rPr>
              <w:t>Log of VIX</w:t>
            </w:r>
          </w:p>
        </w:tc>
        <w:tc>
          <w:tcPr>
            <w:tcW w:w="1116" w:type="dxa"/>
          </w:tcPr>
          <w:p w14:paraId="7C0E24D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-0.012</w:t>
            </w:r>
          </w:p>
        </w:tc>
        <w:tc>
          <w:tcPr>
            <w:tcW w:w="1316" w:type="dxa"/>
          </w:tcPr>
          <w:p w14:paraId="45A8060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-0.021***</w:t>
            </w:r>
          </w:p>
        </w:tc>
        <w:tc>
          <w:tcPr>
            <w:tcW w:w="1243" w:type="dxa"/>
          </w:tcPr>
          <w:p w14:paraId="59FBFDC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-0.008</w:t>
            </w:r>
          </w:p>
        </w:tc>
        <w:tc>
          <w:tcPr>
            <w:tcW w:w="1116" w:type="dxa"/>
          </w:tcPr>
          <w:p w14:paraId="3342AC5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-0.021**</w:t>
            </w:r>
          </w:p>
        </w:tc>
        <w:tc>
          <w:tcPr>
            <w:tcW w:w="1116" w:type="dxa"/>
          </w:tcPr>
          <w:p w14:paraId="1FD9FCD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-0.008</w:t>
            </w:r>
          </w:p>
        </w:tc>
        <w:tc>
          <w:tcPr>
            <w:tcW w:w="1217" w:type="dxa"/>
          </w:tcPr>
          <w:p w14:paraId="08C5944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-0.013*</w:t>
            </w:r>
          </w:p>
        </w:tc>
        <w:tc>
          <w:tcPr>
            <w:tcW w:w="1116" w:type="dxa"/>
          </w:tcPr>
          <w:p w14:paraId="1ED64F4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0.005</w:t>
            </w:r>
          </w:p>
        </w:tc>
        <w:tc>
          <w:tcPr>
            <w:tcW w:w="1116" w:type="dxa"/>
          </w:tcPr>
          <w:p w14:paraId="1EABDDF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0.005</w:t>
            </w:r>
          </w:p>
        </w:tc>
        <w:tc>
          <w:tcPr>
            <w:tcW w:w="1116" w:type="dxa"/>
          </w:tcPr>
          <w:p w14:paraId="426FF72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0.006</w:t>
            </w:r>
          </w:p>
        </w:tc>
        <w:tc>
          <w:tcPr>
            <w:tcW w:w="1217" w:type="dxa"/>
          </w:tcPr>
          <w:p w14:paraId="5C6A18A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-0.006</w:t>
            </w:r>
          </w:p>
        </w:tc>
        <w:tc>
          <w:tcPr>
            <w:tcW w:w="1367" w:type="dxa"/>
          </w:tcPr>
          <w:p w14:paraId="6D412F1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0.009</w:t>
            </w:r>
          </w:p>
        </w:tc>
      </w:tr>
      <w:tr w:rsidR="00D43014" w:rsidRPr="00C505F5" w14:paraId="7C407CA2"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Pr>
          <w:p w14:paraId="75FDAD2D" w14:textId="77777777" w:rsidR="00D43014" w:rsidRPr="00C505F5" w:rsidRDefault="00D43014" w:rsidP="002F782A">
            <w:pPr>
              <w:rPr>
                <w:rFonts w:cs="Times New Roman"/>
                <w:sz w:val="24"/>
                <w:szCs w:val="24"/>
              </w:rPr>
            </w:pPr>
          </w:p>
        </w:tc>
        <w:tc>
          <w:tcPr>
            <w:tcW w:w="1116" w:type="dxa"/>
          </w:tcPr>
          <w:p w14:paraId="1FE97DC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(0.008)</w:t>
            </w:r>
          </w:p>
        </w:tc>
        <w:tc>
          <w:tcPr>
            <w:tcW w:w="1316" w:type="dxa"/>
          </w:tcPr>
          <w:p w14:paraId="5B8AFA7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(0.005)</w:t>
            </w:r>
          </w:p>
        </w:tc>
        <w:tc>
          <w:tcPr>
            <w:tcW w:w="1243" w:type="dxa"/>
          </w:tcPr>
          <w:p w14:paraId="7DB7390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(0.008)</w:t>
            </w:r>
          </w:p>
        </w:tc>
        <w:tc>
          <w:tcPr>
            <w:tcW w:w="1116" w:type="dxa"/>
          </w:tcPr>
          <w:p w14:paraId="7914FD7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(0.009)</w:t>
            </w:r>
          </w:p>
        </w:tc>
        <w:tc>
          <w:tcPr>
            <w:tcW w:w="1116" w:type="dxa"/>
          </w:tcPr>
          <w:p w14:paraId="354DAD2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(0.006)</w:t>
            </w:r>
          </w:p>
        </w:tc>
        <w:tc>
          <w:tcPr>
            <w:tcW w:w="1217" w:type="dxa"/>
          </w:tcPr>
          <w:p w14:paraId="7FF89E0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(0.007)</w:t>
            </w:r>
          </w:p>
        </w:tc>
        <w:tc>
          <w:tcPr>
            <w:tcW w:w="1116" w:type="dxa"/>
          </w:tcPr>
          <w:p w14:paraId="7FD3BC8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(0.005)</w:t>
            </w:r>
          </w:p>
        </w:tc>
        <w:tc>
          <w:tcPr>
            <w:tcW w:w="1116" w:type="dxa"/>
          </w:tcPr>
          <w:p w14:paraId="78F53BA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(0.003)</w:t>
            </w:r>
          </w:p>
        </w:tc>
        <w:tc>
          <w:tcPr>
            <w:tcW w:w="1116" w:type="dxa"/>
          </w:tcPr>
          <w:p w14:paraId="72FF163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(0.006)</w:t>
            </w:r>
          </w:p>
        </w:tc>
        <w:tc>
          <w:tcPr>
            <w:tcW w:w="1217" w:type="dxa"/>
          </w:tcPr>
          <w:p w14:paraId="3F04290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(0.009)</w:t>
            </w:r>
          </w:p>
        </w:tc>
        <w:tc>
          <w:tcPr>
            <w:tcW w:w="1367" w:type="dxa"/>
          </w:tcPr>
          <w:p w14:paraId="1DA5C9E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(0.007)</w:t>
            </w:r>
          </w:p>
        </w:tc>
      </w:tr>
      <w:tr w:rsidR="00D43014" w:rsidRPr="00C505F5" w14:paraId="3543A4CF" w14:textId="77777777" w:rsidTr="002F782A">
        <w:tc>
          <w:tcPr>
            <w:cnfStyle w:val="001000000000" w:firstRow="0" w:lastRow="0" w:firstColumn="1" w:lastColumn="0" w:oddVBand="0" w:evenVBand="0" w:oddHBand="0" w:evenHBand="0" w:firstRowFirstColumn="0" w:firstRowLastColumn="0" w:lastRowFirstColumn="0" w:lastRowLastColumn="0"/>
            <w:tcW w:w="1617" w:type="dxa"/>
          </w:tcPr>
          <w:p w14:paraId="50FA5680" w14:textId="77777777" w:rsidR="00D43014" w:rsidRPr="00C505F5" w:rsidRDefault="00D43014" w:rsidP="002F782A">
            <w:pPr>
              <w:rPr>
                <w:rFonts w:cs="Times New Roman"/>
                <w:sz w:val="24"/>
                <w:szCs w:val="24"/>
              </w:rPr>
            </w:pPr>
            <w:r w:rsidRPr="00C505F5">
              <w:rPr>
                <w:rFonts w:cs="Times New Roman"/>
                <w:sz w:val="24"/>
                <w:szCs w:val="24"/>
              </w:rPr>
              <w:t>REER Lag</w:t>
            </w:r>
          </w:p>
        </w:tc>
        <w:tc>
          <w:tcPr>
            <w:tcW w:w="1116" w:type="dxa"/>
          </w:tcPr>
          <w:p w14:paraId="2ED54BE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0.934***</w:t>
            </w:r>
          </w:p>
        </w:tc>
        <w:tc>
          <w:tcPr>
            <w:tcW w:w="1316" w:type="dxa"/>
          </w:tcPr>
          <w:p w14:paraId="47CCFFB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0.905***</w:t>
            </w:r>
          </w:p>
        </w:tc>
        <w:tc>
          <w:tcPr>
            <w:tcW w:w="1243" w:type="dxa"/>
          </w:tcPr>
          <w:p w14:paraId="1E7A9E1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0.966***</w:t>
            </w:r>
          </w:p>
        </w:tc>
        <w:tc>
          <w:tcPr>
            <w:tcW w:w="1116" w:type="dxa"/>
          </w:tcPr>
          <w:p w14:paraId="610FC24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0.959***</w:t>
            </w:r>
          </w:p>
        </w:tc>
        <w:tc>
          <w:tcPr>
            <w:tcW w:w="1116" w:type="dxa"/>
          </w:tcPr>
          <w:p w14:paraId="349DFE0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0.964***</w:t>
            </w:r>
          </w:p>
        </w:tc>
        <w:tc>
          <w:tcPr>
            <w:tcW w:w="1217" w:type="dxa"/>
          </w:tcPr>
          <w:p w14:paraId="2C274EA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0.985***</w:t>
            </w:r>
          </w:p>
        </w:tc>
        <w:tc>
          <w:tcPr>
            <w:tcW w:w="1116" w:type="dxa"/>
          </w:tcPr>
          <w:p w14:paraId="7B00222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0.967***</w:t>
            </w:r>
          </w:p>
        </w:tc>
        <w:tc>
          <w:tcPr>
            <w:tcW w:w="1116" w:type="dxa"/>
          </w:tcPr>
          <w:p w14:paraId="4F2BC7D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0.969***</w:t>
            </w:r>
          </w:p>
        </w:tc>
        <w:tc>
          <w:tcPr>
            <w:tcW w:w="1116" w:type="dxa"/>
          </w:tcPr>
          <w:p w14:paraId="5D9ED65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0.951***</w:t>
            </w:r>
          </w:p>
        </w:tc>
        <w:tc>
          <w:tcPr>
            <w:tcW w:w="1217" w:type="dxa"/>
          </w:tcPr>
          <w:p w14:paraId="3191301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0.890***</w:t>
            </w:r>
          </w:p>
        </w:tc>
        <w:tc>
          <w:tcPr>
            <w:tcW w:w="1367" w:type="dxa"/>
          </w:tcPr>
          <w:p w14:paraId="29EE47C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0.963***</w:t>
            </w:r>
          </w:p>
        </w:tc>
      </w:tr>
      <w:tr w:rsidR="00D43014" w:rsidRPr="00C505F5" w14:paraId="4E26ACCE"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Pr>
          <w:p w14:paraId="7F16700A" w14:textId="77777777" w:rsidR="00D43014" w:rsidRPr="00C505F5" w:rsidRDefault="00D43014" w:rsidP="002F782A">
            <w:pPr>
              <w:rPr>
                <w:rFonts w:cs="Times New Roman"/>
                <w:sz w:val="24"/>
                <w:szCs w:val="24"/>
              </w:rPr>
            </w:pPr>
          </w:p>
        </w:tc>
        <w:tc>
          <w:tcPr>
            <w:tcW w:w="1116" w:type="dxa"/>
          </w:tcPr>
          <w:p w14:paraId="1AD51D7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(0.018)</w:t>
            </w:r>
          </w:p>
        </w:tc>
        <w:tc>
          <w:tcPr>
            <w:tcW w:w="1316" w:type="dxa"/>
          </w:tcPr>
          <w:p w14:paraId="7CD8B63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(0.026)</w:t>
            </w:r>
          </w:p>
        </w:tc>
        <w:tc>
          <w:tcPr>
            <w:tcW w:w="1243" w:type="dxa"/>
          </w:tcPr>
          <w:p w14:paraId="20D4826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(0.020)</w:t>
            </w:r>
          </w:p>
        </w:tc>
        <w:tc>
          <w:tcPr>
            <w:tcW w:w="1116" w:type="dxa"/>
          </w:tcPr>
          <w:p w14:paraId="139C6D0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(0.017)</w:t>
            </w:r>
          </w:p>
        </w:tc>
        <w:tc>
          <w:tcPr>
            <w:tcW w:w="1116" w:type="dxa"/>
          </w:tcPr>
          <w:p w14:paraId="730FB92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(0.015)</w:t>
            </w:r>
          </w:p>
        </w:tc>
        <w:tc>
          <w:tcPr>
            <w:tcW w:w="1217" w:type="dxa"/>
          </w:tcPr>
          <w:p w14:paraId="3D3EE09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(0.016)</w:t>
            </w:r>
          </w:p>
        </w:tc>
        <w:tc>
          <w:tcPr>
            <w:tcW w:w="1116" w:type="dxa"/>
          </w:tcPr>
          <w:p w14:paraId="3039D49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(0.037)</w:t>
            </w:r>
          </w:p>
        </w:tc>
        <w:tc>
          <w:tcPr>
            <w:tcW w:w="1116" w:type="dxa"/>
          </w:tcPr>
          <w:p w14:paraId="359DB4B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(0.013)</w:t>
            </w:r>
          </w:p>
        </w:tc>
        <w:tc>
          <w:tcPr>
            <w:tcW w:w="1116" w:type="dxa"/>
          </w:tcPr>
          <w:p w14:paraId="7E2AC71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(0.048)</w:t>
            </w:r>
          </w:p>
        </w:tc>
        <w:tc>
          <w:tcPr>
            <w:tcW w:w="1217" w:type="dxa"/>
          </w:tcPr>
          <w:p w14:paraId="4A24ABC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(0.041)</w:t>
            </w:r>
          </w:p>
        </w:tc>
        <w:tc>
          <w:tcPr>
            <w:tcW w:w="1367" w:type="dxa"/>
          </w:tcPr>
          <w:p w14:paraId="7BDFA76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(0.013)</w:t>
            </w:r>
          </w:p>
        </w:tc>
      </w:tr>
      <w:tr w:rsidR="00D43014" w:rsidRPr="00C505F5" w14:paraId="751A0E45" w14:textId="77777777" w:rsidTr="002F782A">
        <w:tc>
          <w:tcPr>
            <w:cnfStyle w:val="001000000000" w:firstRow="0" w:lastRow="0" w:firstColumn="1" w:lastColumn="0" w:oddVBand="0" w:evenVBand="0" w:oddHBand="0" w:evenHBand="0" w:firstRowFirstColumn="0" w:firstRowLastColumn="0" w:lastRowFirstColumn="0" w:lastRowLastColumn="0"/>
            <w:tcW w:w="1617" w:type="dxa"/>
          </w:tcPr>
          <w:p w14:paraId="3CC03B45" w14:textId="77777777" w:rsidR="00D43014" w:rsidRPr="00C505F5" w:rsidRDefault="00D43014" w:rsidP="002F782A">
            <w:pPr>
              <w:rPr>
                <w:rFonts w:cs="Times New Roman"/>
                <w:sz w:val="24"/>
                <w:szCs w:val="24"/>
              </w:rPr>
            </w:pPr>
            <w:r w:rsidRPr="00C505F5">
              <w:rPr>
                <w:rFonts w:cs="Times New Roman"/>
                <w:sz w:val="24"/>
                <w:szCs w:val="24"/>
              </w:rPr>
              <w:t>Constant</w:t>
            </w:r>
          </w:p>
        </w:tc>
        <w:tc>
          <w:tcPr>
            <w:tcW w:w="1116" w:type="dxa"/>
          </w:tcPr>
          <w:p w14:paraId="35AE972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0.352***</w:t>
            </w:r>
          </w:p>
        </w:tc>
        <w:tc>
          <w:tcPr>
            <w:tcW w:w="1316" w:type="dxa"/>
          </w:tcPr>
          <w:p w14:paraId="05E9081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0.554***</w:t>
            </w:r>
          </w:p>
        </w:tc>
        <w:tc>
          <w:tcPr>
            <w:tcW w:w="1243" w:type="dxa"/>
          </w:tcPr>
          <w:p w14:paraId="57E7FCD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0.180*</w:t>
            </w:r>
          </w:p>
        </w:tc>
        <w:tc>
          <w:tcPr>
            <w:tcW w:w="1116" w:type="dxa"/>
          </w:tcPr>
          <w:p w14:paraId="79DAF36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0.253***</w:t>
            </w:r>
          </w:p>
        </w:tc>
        <w:tc>
          <w:tcPr>
            <w:tcW w:w="1116" w:type="dxa"/>
          </w:tcPr>
          <w:p w14:paraId="5FB8C4E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0.181***</w:t>
            </w:r>
          </w:p>
        </w:tc>
        <w:tc>
          <w:tcPr>
            <w:tcW w:w="1217" w:type="dxa"/>
          </w:tcPr>
          <w:p w14:paraId="4E67CAE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0.110</w:t>
            </w:r>
          </w:p>
        </w:tc>
        <w:tc>
          <w:tcPr>
            <w:tcW w:w="1116" w:type="dxa"/>
          </w:tcPr>
          <w:p w14:paraId="7EDF139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0.149</w:t>
            </w:r>
          </w:p>
        </w:tc>
        <w:tc>
          <w:tcPr>
            <w:tcW w:w="1116" w:type="dxa"/>
          </w:tcPr>
          <w:p w14:paraId="4EFEAF3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0.131**</w:t>
            </w:r>
          </w:p>
        </w:tc>
        <w:tc>
          <w:tcPr>
            <w:tcW w:w="1116" w:type="dxa"/>
          </w:tcPr>
          <w:p w14:paraId="1B94AF7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0.214</w:t>
            </w:r>
          </w:p>
        </w:tc>
        <w:tc>
          <w:tcPr>
            <w:tcW w:w="1217" w:type="dxa"/>
          </w:tcPr>
          <w:p w14:paraId="321C43F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0.551***</w:t>
            </w:r>
          </w:p>
        </w:tc>
        <w:tc>
          <w:tcPr>
            <w:tcW w:w="1367" w:type="dxa"/>
          </w:tcPr>
          <w:p w14:paraId="01675AF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0.158**</w:t>
            </w:r>
          </w:p>
        </w:tc>
      </w:tr>
      <w:tr w:rsidR="00D43014" w:rsidRPr="00C505F5" w14:paraId="67700BB8"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Pr>
          <w:p w14:paraId="03A26B07" w14:textId="77777777" w:rsidR="00D43014" w:rsidRPr="00C505F5" w:rsidRDefault="00D43014" w:rsidP="002F782A">
            <w:pPr>
              <w:rPr>
                <w:rFonts w:cs="Times New Roman"/>
                <w:sz w:val="24"/>
                <w:szCs w:val="24"/>
              </w:rPr>
            </w:pPr>
          </w:p>
        </w:tc>
        <w:tc>
          <w:tcPr>
            <w:tcW w:w="1116" w:type="dxa"/>
          </w:tcPr>
          <w:p w14:paraId="08F0913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(0.090)</w:t>
            </w:r>
          </w:p>
        </w:tc>
        <w:tc>
          <w:tcPr>
            <w:tcW w:w="1316" w:type="dxa"/>
          </w:tcPr>
          <w:p w14:paraId="10006C4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(0.143)</w:t>
            </w:r>
          </w:p>
        </w:tc>
        <w:tc>
          <w:tcPr>
            <w:tcW w:w="1243" w:type="dxa"/>
          </w:tcPr>
          <w:p w14:paraId="7B46FCE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(0.096)</w:t>
            </w:r>
          </w:p>
        </w:tc>
        <w:tc>
          <w:tcPr>
            <w:tcW w:w="1116" w:type="dxa"/>
          </w:tcPr>
          <w:p w14:paraId="6D61996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(0.077)</w:t>
            </w:r>
          </w:p>
        </w:tc>
        <w:tc>
          <w:tcPr>
            <w:tcW w:w="1116" w:type="dxa"/>
          </w:tcPr>
          <w:p w14:paraId="544658E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(0.063)</w:t>
            </w:r>
          </w:p>
        </w:tc>
        <w:tc>
          <w:tcPr>
            <w:tcW w:w="1217" w:type="dxa"/>
          </w:tcPr>
          <w:p w14:paraId="29CCC1E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(0.077)</w:t>
            </w:r>
          </w:p>
        </w:tc>
        <w:tc>
          <w:tcPr>
            <w:tcW w:w="1116" w:type="dxa"/>
          </w:tcPr>
          <w:p w14:paraId="2F38633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(0.179)</w:t>
            </w:r>
          </w:p>
        </w:tc>
        <w:tc>
          <w:tcPr>
            <w:tcW w:w="1116" w:type="dxa"/>
          </w:tcPr>
          <w:p w14:paraId="2141E3D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(0.060)</w:t>
            </w:r>
          </w:p>
        </w:tc>
        <w:tc>
          <w:tcPr>
            <w:tcW w:w="1116" w:type="dxa"/>
          </w:tcPr>
          <w:p w14:paraId="77CF23F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(0.231)</w:t>
            </w:r>
          </w:p>
        </w:tc>
        <w:tc>
          <w:tcPr>
            <w:tcW w:w="1217" w:type="dxa"/>
          </w:tcPr>
          <w:p w14:paraId="60A3D20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(0.199)</w:t>
            </w:r>
          </w:p>
        </w:tc>
        <w:tc>
          <w:tcPr>
            <w:tcW w:w="1367" w:type="dxa"/>
          </w:tcPr>
          <w:p w14:paraId="07BC8CB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(0.066)</w:t>
            </w:r>
          </w:p>
        </w:tc>
      </w:tr>
      <w:tr w:rsidR="00D43014" w:rsidRPr="00C505F5" w14:paraId="53E647D8" w14:textId="77777777" w:rsidTr="002F782A">
        <w:tc>
          <w:tcPr>
            <w:cnfStyle w:val="001000000000" w:firstRow="0" w:lastRow="0" w:firstColumn="1" w:lastColumn="0" w:oddVBand="0" w:evenVBand="0" w:oddHBand="0" w:evenHBand="0" w:firstRowFirstColumn="0" w:firstRowLastColumn="0" w:lastRowFirstColumn="0" w:lastRowLastColumn="0"/>
            <w:tcW w:w="1617" w:type="dxa"/>
            <w:tcBorders>
              <w:top w:val="single" w:sz="4" w:space="0" w:color="auto"/>
            </w:tcBorders>
          </w:tcPr>
          <w:p w14:paraId="507E829C" w14:textId="77777777" w:rsidR="00D43014" w:rsidRPr="00C505F5" w:rsidRDefault="00D43014" w:rsidP="002F782A">
            <w:pPr>
              <w:rPr>
                <w:rFonts w:cs="Times New Roman"/>
                <w:sz w:val="24"/>
                <w:szCs w:val="24"/>
              </w:rPr>
            </w:pPr>
            <w:r w:rsidRPr="00C505F5">
              <w:rPr>
                <w:rFonts w:cs="Times New Roman"/>
                <w:sz w:val="24"/>
                <w:szCs w:val="24"/>
              </w:rPr>
              <w:t>Observations</w:t>
            </w:r>
          </w:p>
        </w:tc>
        <w:tc>
          <w:tcPr>
            <w:tcW w:w="1116" w:type="dxa"/>
            <w:tcBorders>
              <w:top w:val="single" w:sz="4" w:space="0" w:color="auto"/>
            </w:tcBorders>
          </w:tcPr>
          <w:p w14:paraId="206582A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226</w:t>
            </w:r>
          </w:p>
        </w:tc>
        <w:tc>
          <w:tcPr>
            <w:tcW w:w="1316" w:type="dxa"/>
            <w:tcBorders>
              <w:top w:val="single" w:sz="4" w:space="0" w:color="auto"/>
            </w:tcBorders>
          </w:tcPr>
          <w:p w14:paraId="7152DED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226</w:t>
            </w:r>
          </w:p>
        </w:tc>
        <w:tc>
          <w:tcPr>
            <w:tcW w:w="1243" w:type="dxa"/>
            <w:tcBorders>
              <w:top w:val="single" w:sz="4" w:space="0" w:color="auto"/>
            </w:tcBorders>
          </w:tcPr>
          <w:p w14:paraId="133AEC1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567F10A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63ADE32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17" w:type="dxa"/>
            <w:tcBorders>
              <w:top w:val="single" w:sz="4" w:space="0" w:color="auto"/>
            </w:tcBorders>
          </w:tcPr>
          <w:p w14:paraId="20EF3F6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155F56A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058B825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5414C06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107</w:t>
            </w:r>
          </w:p>
        </w:tc>
        <w:tc>
          <w:tcPr>
            <w:tcW w:w="1217" w:type="dxa"/>
            <w:tcBorders>
              <w:top w:val="single" w:sz="4" w:space="0" w:color="auto"/>
            </w:tcBorders>
          </w:tcPr>
          <w:p w14:paraId="3B2676C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367" w:type="dxa"/>
            <w:tcBorders>
              <w:top w:val="single" w:sz="4" w:space="0" w:color="auto"/>
            </w:tcBorders>
          </w:tcPr>
          <w:p w14:paraId="4DA87D9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r>
      <w:tr w:rsidR="00D43014" w:rsidRPr="00C505F5" w14:paraId="7F643C79"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Borders>
              <w:bottom w:val="single" w:sz="4" w:space="0" w:color="auto"/>
            </w:tcBorders>
          </w:tcPr>
          <w:p w14:paraId="445F0255" w14:textId="77777777" w:rsidR="00D43014" w:rsidRPr="00C505F5" w:rsidRDefault="00D43014" w:rsidP="002F782A">
            <w:pPr>
              <w:rPr>
                <w:rFonts w:cs="Times New Roman"/>
                <w:sz w:val="24"/>
                <w:szCs w:val="24"/>
              </w:rPr>
            </w:pPr>
            <w:r w:rsidRPr="00C505F5">
              <w:rPr>
                <w:rFonts w:cs="Times New Roman"/>
                <w:sz w:val="24"/>
                <w:szCs w:val="24"/>
              </w:rPr>
              <w:t>R-squared</w:t>
            </w:r>
          </w:p>
        </w:tc>
        <w:tc>
          <w:tcPr>
            <w:tcW w:w="1116" w:type="dxa"/>
            <w:tcBorders>
              <w:bottom w:val="single" w:sz="4" w:space="0" w:color="auto"/>
            </w:tcBorders>
          </w:tcPr>
          <w:p w14:paraId="0BE9610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0.984</w:t>
            </w:r>
          </w:p>
        </w:tc>
        <w:tc>
          <w:tcPr>
            <w:tcW w:w="1316" w:type="dxa"/>
            <w:tcBorders>
              <w:bottom w:val="single" w:sz="4" w:space="0" w:color="auto"/>
            </w:tcBorders>
          </w:tcPr>
          <w:p w14:paraId="133D185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0.977</w:t>
            </w:r>
          </w:p>
        </w:tc>
        <w:tc>
          <w:tcPr>
            <w:tcW w:w="1243" w:type="dxa"/>
            <w:tcBorders>
              <w:bottom w:val="single" w:sz="4" w:space="0" w:color="auto"/>
            </w:tcBorders>
          </w:tcPr>
          <w:p w14:paraId="29DAF18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0.929</w:t>
            </w:r>
          </w:p>
        </w:tc>
        <w:tc>
          <w:tcPr>
            <w:tcW w:w="1116" w:type="dxa"/>
            <w:tcBorders>
              <w:bottom w:val="single" w:sz="4" w:space="0" w:color="auto"/>
            </w:tcBorders>
          </w:tcPr>
          <w:p w14:paraId="4F6FDB6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0.974</w:t>
            </w:r>
          </w:p>
        </w:tc>
        <w:tc>
          <w:tcPr>
            <w:tcW w:w="1116" w:type="dxa"/>
            <w:tcBorders>
              <w:bottom w:val="single" w:sz="4" w:space="0" w:color="auto"/>
            </w:tcBorders>
          </w:tcPr>
          <w:p w14:paraId="1140A35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0.950</w:t>
            </w:r>
          </w:p>
        </w:tc>
        <w:tc>
          <w:tcPr>
            <w:tcW w:w="1217" w:type="dxa"/>
            <w:tcBorders>
              <w:bottom w:val="single" w:sz="4" w:space="0" w:color="auto"/>
            </w:tcBorders>
          </w:tcPr>
          <w:p w14:paraId="77C7C8F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0.964</w:t>
            </w:r>
          </w:p>
        </w:tc>
        <w:tc>
          <w:tcPr>
            <w:tcW w:w="1116" w:type="dxa"/>
            <w:tcBorders>
              <w:bottom w:val="single" w:sz="4" w:space="0" w:color="auto"/>
            </w:tcBorders>
          </w:tcPr>
          <w:p w14:paraId="46750BE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0.935</w:t>
            </w:r>
          </w:p>
        </w:tc>
        <w:tc>
          <w:tcPr>
            <w:tcW w:w="1116" w:type="dxa"/>
            <w:tcBorders>
              <w:bottom w:val="single" w:sz="4" w:space="0" w:color="auto"/>
            </w:tcBorders>
          </w:tcPr>
          <w:p w14:paraId="1355D5D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0.966</w:t>
            </w:r>
          </w:p>
        </w:tc>
        <w:tc>
          <w:tcPr>
            <w:tcW w:w="1116" w:type="dxa"/>
            <w:tcBorders>
              <w:bottom w:val="single" w:sz="4" w:space="0" w:color="auto"/>
            </w:tcBorders>
          </w:tcPr>
          <w:p w14:paraId="5EF857F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0.937</w:t>
            </w:r>
          </w:p>
        </w:tc>
        <w:tc>
          <w:tcPr>
            <w:tcW w:w="1217" w:type="dxa"/>
            <w:tcBorders>
              <w:bottom w:val="single" w:sz="4" w:space="0" w:color="auto"/>
            </w:tcBorders>
          </w:tcPr>
          <w:p w14:paraId="7852880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0.908</w:t>
            </w:r>
          </w:p>
        </w:tc>
        <w:tc>
          <w:tcPr>
            <w:tcW w:w="1367" w:type="dxa"/>
            <w:tcBorders>
              <w:bottom w:val="single" w:sz="4" w:space="0" w:color="auto"/>
            </w:tcBorders>
          </w:tcPr>
          <w:p w14:paraId="113A29D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0.973</w:t>
            </w:r>
          </w:p>
        </w:tc>
      </w:tr>
    </w:tbl>
    <w:p w14:paraId="422C9A3C" w14:textId="77777777" w:rsidR="00D43014" w:rsidRPr="00C505F5" w:rsidRDefault="00D43014" w:rsidP="00D43014">
      <w:pPr>
        <w:spacing w:after="0"/>
        <w:rPr>
          <w:rFonts w:cs="Times New Roman"/>
          <w:b/>
          <w:sz w:val="28"/>
        </w:rPr>
      </w:pPr>
    </w:p>
    <w:tbl>
      <w:tblPr>
        <w:tblStyle w:val="PlainTable41"/>
        <w:tblW w:w="14670" w:type="dxa"/>
        <w:tblLayout w:type="fixed"/>
        <w:tblLook w:val="04A0" w:firstRow="1" w:lastRow="0" w:firstColumn="1" w:lastColumn="0" w:noHBand="0" w:noVBand="1"/>
      </w:tblPr>
      <w:tblGrid>
        <w:gridCol w:w="1618"/>
        <w:gridCol w:w="1265"/>
        <w:gridCol w:w="1265"/>
        <w:gridCol w:w="1264"/>
        <w:gridCol w:w="1264"/>
        <w:gridCol w:w="1443"/>
        <w:gridCol w:w="1264"/>
        <w:gridCol w:w="1264"/>
        <w:gridCol w:w="1143"/>
        <w:gridCol w:w="1620"/>
        <w:gridCol w:w="1260"/>
      </w:tblGrid>
      <w:tr w:rsidR="00D43014" w:rsidRPr="00C505F5" w14:paraId="596E1259"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tcBorders>
              <w:top w:val="single" w:sz="4" w:space="0" w:color="auto"/>
            </w:tcBorders>
          </w:tcPr>
          <w:p w14:paraId="4425D27A" w14:textId="77777777" w:rsidR="00D43014" w:rsidRPr="00C505F5" w:rsidRDefault="00D43014" w:rsidP="002F782A">
            <w:pPr>
              <w:rPr>
                <w:rFonts w:cs="Times New Roman"/>
                <w:sz w:val="24"/>
                <w:szCs w:val="24"/>
              </w:rPr>
            </w:pPr>
          </w:p>
        </w:tc>
        <w:tc>
          <w:tcPr>
            <w:tcW w:w="1265" w:type="dxa"/>
            <w:tcBorders>
              <w:top w:val="single" w:sz="4" w:space="0" w:color="auto"/>
            </w:tcBorders>
          </w:tcPr>
          <w:p w14:paraId="7A08749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(12)</w:t>
            </w:r>
          </w:p>
        </w:tc>
        <w:tc>
          <w:tcPr>
            <w:tcW w:w="1265" w:type="dxa"/>
            <w:tcBorders>
              <w:top w:val="single" w:sz="4" w:space="0" w:color="auto"/>
            </w:tcBorders>
          </w:tcPr>
          <w:p w14:paraId="316F03F4"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(13)</w:t>
            </w:r>
          </w:p>
        </w:tc>
        <w:tc>
          <w:tcPr>
            <w:tcW w:w="1264" w:type="dxa"/>
            <w:tcBorders>
              <w:top w:val="single" w:sz="4" w:space="0" w:color="auto"/>
            </w:tcBorders>
          </w:tcPr>
          <w:p w14:paraId="0AF77BCA"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(14)</w:t>
            </w:r>
          </w:p>
        </w:tc>
        <w:tc>
          <w:tcPr>
            <w:tcW w:w="1264" w:type="dxa"/>
            <w:tcBorders>
              <w:top w:val="single" w:sz="4" w:space="0" w:color="auto"/>
            </w:tcBorders>
          </w:tcPr>
          <w:p w14:paraId="5354A72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(15)</w:t>
            </w:r>
          </w:p>
        </w:tc>
        <w:tc>
          <w:tcPr>
            <w:tcW w:w="1443" w:type="dxa"/>
            <w:tcBorders>
              <w:top w:val="single" w:sz="4" w:space="0" w:color="auto"/>
            </w:tcBorders>
          </w:tcPr>
          <w:p w14:paraId="719E95C1"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(16)</w:t>
            </w:r>
          </w:p>
        </w:tc>
        <w:tc>
          <w:tcPr>
            <w:tcW w:w="1264" w:type="dxa"/>
            <w:tcBorders>
              <w:top w:val="single" w:sz="4" w:space="0" w:color="auto"/>
            </w:tcBorders>
          </w:tcPr>
          <w:p w14:paraId="6BE40B97"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(17)</w:t>
            </w:r>
          </w:p>
        </w:tc>
        <w:tc>
          <w:tcPr>
            <w:tcW w:w="1264" w:type="dxa"/>
            <w:tcBorders>
              <w:top w:val="single" w:sz="4" w:space="0" w:color="auto"/>
            </w:tcBorders>
          </w:tcPr>
          <w:p w14:paraId="269D911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(18)</w:t>
            </w:r>
          </w:p>
        </w:tc>
        <w:tc>
          <w:tcPr>
            <w:tcW w:w="1143" w:type="dxa"/>
            <w:tcBorders>
              <w:top w:val="single" w:sz="4" w:space="0" w:color="auto"/>
            </w:tcBorders>
          </w:tcPr>
          <w:p w14:paraId="05D34B11"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(19)</w:t>
            </w:r>
          </w:p>
        </w:tc>
        <w:tc>
          <w:tcPr>
            <w:tcW w:w="1620" w:type="dxa"/>
            <w:tcBorders>
              <w:top w:val="single" w:sz="4" w:space="0" w:color="auto"/>
            </w:tcBorders>
          </w:tcPr>
          <w:p w14:paraId="15F37164"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(20)</w:t>
            </w:r>
          </w:p>
        </w:tc>
        <w:tc>
          <w:tcPr>
            <w:tcW w:w="1260" w:type="dxa"/>
            <w:tcBorders>
              <w:top w:val="single" w:sz="4" w:space="0" w:color="auto"/>
            </w:tcBorders>
          </w:tcPr>
          <w:p w14:paraId="3751D53B"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(21)</w:t>
            </w:r>
          </w:p>
        </w:tc>
      </w:tr>
      <w:tr w:rsidR="00D43014" w:rsidRPr="00C505F5" w14:paraId="4F7BBD75"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tcBorders>
              <w:bottom w:val="single" w:sz="4" w:space="0" w:color="auto"/>
            </w:tcBorders>
          </w:tcPr>
          <w:p w14:paraId="6EC2B8F8" w14:textId="77777777" w:rsidR="00D43014" w:rsidRPr="00C505F5" w:rsidRDefault="00D43014" w:rsidP="002F782A">
            <w:pPr>
              <w:rPr>
                <w:rFonts w:cs="Times New Roman"/>
                <w:sz w:val="24"/>
                <w:szCs w:val="24"/>
              </w:rPr>
            </w:pPr>
            <w:r w:rsidRPr="00C505F5">
              <w:rPr>
                <w:rFonts w:cs="Times New Roman"/>
                <w:sz w:val="24"/>
                <w:szCs w:val="24"/>
              </w:rPr>
              <w:t>VARIABLES</w:t>
            </w:r>
          </w:p>
        </w:tc>
        <w:tc>
          <w:tcPr>
            <w:tcW w:w="1265" w:type="dxa"/>
            <w:tcBorders>
              <w:bottom w:val="single" w:sz="4" w:space="0" w:color="auto"/>
            </w:tcBorders>
          </w:tcPr>
          <w:p w14:paraId="3F3EFDB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Azerbaij</w:t>
            </w:r>
          </w:p>
        </w:tc>
        <w:tc>
          <w:tcPr>
            <w:tcW w:w="1265" w:type="dxa"/>
            <w:tcBorders>
              <w:bottom w:val="single" w:sz="4" w:space="0" w:color="auto"/>
            </w:tcBorders>
          </w:tcPr>
          <w:p w14:paraId="6E98975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Bahrain</w:t>
            </w:r>
          </w:p>
        </w:tc>
        <w:tc>
          <w:tcPr>
            <w:tcW w:w="1264" w:type="dxa"/>
            <w:tcBorders>
              <w:bottom w:val="single" w:sz="4" w:space="0" w:color="auto"/>
            </w:tcBorders>
          </w:tcPr>
          <w:p w14:paraId="6EF1FAF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Brunei</w:t>
            </w:r>
          </w:p>
        </w:tc>
        <w:tc>
          <w:tcPr>
            <w:tcW w:w="1264" w:type="dxa"/>
            <w:tcBorders>
              <w:bottom w:val="single" w:sz="4" w:space="0" w:color="auto"/>
            </w:tcBorders>
          </w:tcPr>
          <w:p w14:paraId="54355EA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Canada</w:t>
            </w:r>
          </w:p>
        </w:tc>
        <w:tc>
          <w:tcPr>
            <w:tcW w:w="1443" w:type="dxa"/>
            <w:tcBorders>
              <w:bottom w:val="single" w:sz="4" w:space="0" w:color="auto"/>
            </w:tcBorders>
          </w:tcPr>
          <w:p w14:paraId="1E7CD17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Kazakhstan</w:t>
            </w:r>
          </w:p>
        </w:tc>
        <w:tc>
          <w:tcPr>
            <w:tcW w:w="1264" w:type="dxa"/>
            <w:tcBorders>
              <w:bottom w:val="single" w:sz="4" w:space="0" w:color="auto"/>
            </w:tcBorders>
          </w:tcPr>
          <w:p w14:paraId="357C567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Kuwait</w:t>
            </w:r>
          </w:p>
        </w:tc>
        <w:tc>
          <w:tcPr>
            <w:tcW w:w="1264" w:type="dxa"/>
            <w:tcBorders>
              <w:bottom w:val="single" w:sz="4" w:space="0" w:color="auto"/>
            </w:tcBorders>
          </w:tcPr>
          <w:p w14:paraId="7E0DC85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Qatar</w:t>
            </w:r>
          </w:p>
        </w:tc>
        <w:tc>
          <w:tcPr>
            <w:tcW w:w="1143" w:type="dxa"/>
            <w:tcBorders>
              <w:bottom w:val="single" w:sz="4" w:space="0" w:color="auto"/>
            </w:tcBorders>
          </w:tcPr>
          <w:p w14:paraId="71CC1C9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Russia</w:t>
            </w:r>
          </w:p>
        </w:tc>
        <w:tc>
          <w:tcPr>
            <w:tcW w:w="1620" w:type="dxa"/>
            <w:tcBorders>
              <w:bottom w:val="single" w:sz="4" w:space="0" w:color="auto"/>
            </w:tcBorders>
          </w:tcPr>
          <w:p w14:paraId="3E714B9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Saudi Arabia</w:t>
            </w:r>
          </w:p>
        </w:tc>
        <w:tc>
          <w:tcPr>
            <w:tcW w:w="1260" w:type="dxa"/>
            <w:tcBorders>
              <w:bottom w:val="single" w:sz="4" w:space="0" w:color="auto"/>
            </w:tcBorders>
          </w:tcPr>
          <w:p w14:paraId="1B6D69A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Mongolia</w:t>
            </w:r>
          </w:p>
        </w:tc>
      </w:tr>
      <w:tr w:rsidR="00D43014" w:rsidRPr="00C505F5" w14:paraId="4184170C" w14:textId="77777777" w:rsidTr="002F782A">
        <w:tc>
          <w:tcPr>
            <w:cnfStyle w:val="001000000000" w:firstRow="0" w:lastRow="0" w:firstColumn="1" w:lastColumn="0" w:oddVBand="0" w:evenVBand="0" w:oddHBand="0" w:evenHBand="0" w:firstRowFirstColumn="0" w:firstRowLastColumn="0" w:lastRowFirstColumn="0" w:lastRowLastColumn="0"/>
            <w:tcW w:w="1618" w:type="dxa"/>
            <w:vMerge w:val="restart"/>
            <w:tcBorders>
              <w:top w:val="single" w:sz="4" w:space="0" w:color="auto"/>
            </w:tcBorders>
          </w:tcPr>
          <w:p w14:paraId="59200067" w14:textId="77777777" w:rsidR="00D43014" w:rsidRPr="00C505F5" w:rsidRDefault="00D43014" w:rsidP="002F782A">
            <w:pPr>
              <w:rPr>
                <w:rFonts w:cs="Times New Roman"/>
                <w:b w:val="0"/>
                <w:sz w:val="24"/>
                <w:szCs w:val="24"/>
              </w:rPr>
            </w:pPr>
            <w:r w:rsidRPr="00C505F5">
              <w:rPr>
                <w:rFonts w:cs="Times New Roman"/>
                <w:sz w:val="24"/>
                <w:szCs w:val="24"/>
              </w:rPr>
              <w:t>Commodity Price Indices</w:t>
            </w:r>
          </w:p>
        </w:tc>
        <w:tc>
          <w:tcPr>
            <w:tcW w:w="1265" w:type="dxa"/>
            <w:tcBorders>
              <w:top w:val="single" w:sz="4" w:space="0" w:color="auto"/>
            </w:tcBorders>
          </w:tcPr>
          <w:p w14:paraId="3BBC538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65" w:type="dxa"/>
            <w:tcBorders>
              <w:top w:val="single" w:sz="4" w:space="0" w:color="auto"/>
            </w:tcBorders>
          </w:tcPr>
          <w:p w14:paraId="42DD08E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64" w:type="dxa"/>
            <w:tcBorders>
              <w:top w:val="single" w:sz="4" w:space="0" w:color="auto"/>
            </w:tcBorders>
          </w:tcPr>
          <w:p w14:paraId="34AC76B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64" w:type="dxa"/>
            <w:tcBorders>
              <w:top w:val="single" w:sz="4" w:space="0" w:color="auto"/>
            </w:tcBorders>
          </w:tcPr>
          <w:p w14:paraId="575325A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443" w:type="dxa"/>
            <w:tcBorders>
              <w:top w:val="single" w:sz="4" w:space="0" w:color="auto"/>
            </w:tcBorders>
          </w:tcPr>
          <w:p w14:paraId="2BD8ED2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64" w:type="dxa"/>
            <w:tcBorders>
              <w:top w:val="single" w:sz="4" w:space="0" w:color="auto"/>
            </w:tcBorders>
          </w:tcPr>
          <w:p w14:paraId="3C0E0D4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64" w:type="dxa"/>
            <w:tcBorders>
              <w:top w:val="single" w:sz="4" w:space="0" w:color="auto"/>
            </w:tcBorders>
          </w:tcPr>
          <w:p w14:paraId="0220A4D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143" w:type="dxa"/>
            <w:tcBorders>
              <w:top w:val="single" w:sz="4" w:space="0" w:color="auto"/>
            </w:tcBorders>
          </w:tcPr>
          <w:p w14:paraId="3961184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620" w:type="dxa"/>
            <w:tcBorders>
              <w:top w:val="single" w:sz="4" w:space="0" w:color="auto"/>
            </w:tcBorders>
          </w:tcPr>
          <w:p w14:paraId="5CED813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60" w:type="dxa"/>
            <w:tcBorders>
              <w:top w:val="single" w:sz="4" w:space="0" w:color="auto"/>
            </w:tcBorders>
          </w:tcPr>
          <w:p w14:paraId="1E83CE0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65FA9591"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vMerge/>
          </w:tcPr>
          <w:p w14:paraId="0374F0CB" w14:textId="77777777" w:rsidR="00D43014" w:rsidRPr="00C505F5" w:rsidRDefault="00D43014" w:rsidP="002F782A">
            <w:pPr>
              <w:rPr>
                <w:rFonts w:cs="Times New Roman"/>
                <w:sz w:val="24"/>
                <w:szCs w:val="24"/>
              </w:rPr>
            </w:pPr>
          </w:p>
        </w:tc>
        <w:tc>
          <w:tcPr>
            <w:tcW w:w="1265" w:type="dxa"/>
          </w:tcPr>
          <w:p w14:paraId="38464F8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0.014***</w:t>
            </w:r>
          </w:p>
        </w:tc>
        <w:tc>
          <w:tcPr>
            <w:tcW w:w="1265" w:type="dxa"/>
          </w:tcPr>
          <w:p w14:paraId="7C658ED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c>
          <w:tcPr>
            <w:tcW w:w="1264" w:type="dxa"/>
          </w:tcPr>
          <w:p w14:paraId="5F267D3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0.004***</w:t>
            </w:r>
          </w:p>
        </w:tc>
        <w:tc>
          <w:tcPr>
            <w:tcW w:w="1264" w:type="dxa"/>
          </w:tcPr>
          <w:p w14:paraId="629D909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0.011***</w:t>
            </w:r>
          </w:p>
        </w:tc>
        <w:tc>
          <w:tcPr>
            <w:tcW w:w="1443" w:type="dxa"/>
          </w:tcPr>
          <w:p w14:paraId="51C1289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0.014**</w:t>
            </w:r>
          </w:p>
        </w:tc>
        <w:tc>
          <w:tcPr>
            <w:tcW w:w="1264" w:type="dxa"/>
          </w:tcPr>
          <w:p w14:paraId="7A3E9E4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0.004*</w:t>
            </w:r>
          </w:p>
        </w:tc>
        <w:tc>
          <w:tcPr>
            <w:tcW w:w="1264" w:type="dxa"/>
          </w:tcPr>
          <w:p w14:paraId="4F4B65A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c>
          <w:tcPr>
            <w:tcW w:w="1143" w:type="dxa"/>
          </w:tcPr>
          <w:p w14:paraId="1A86CF4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0.029**</w:t>
            </w:r>
          </w:p>
        </w:tc>
        <w:tc>
          <w:tcPr>
            <w:tcW w:w="1620" w:type="dxa"/>
          </w:tcPr>
          <w:p w14:paraId="40CB491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0.005**</w:t>
            </w:r>
          </w:p>
        </w:tc>
        <w:tc>
          <w:tcPr>
            <w:tcW w:w="1260" w:type="dxa"/>
          </w:tcPr>
          <w:p w14:paraId="51C0A15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0.045***</w:t>
            </w:r>
          </w:p>
        </w:tc>
      </w:tr>
      <w:tr w:rsidR="00D43014" w:rsidRPr="00C505F5" w14:paraId="76B41C39" w14:textId="77777777" w:rsidTr="002F782A">
        <w:tc>
          <w:tcPr>
            <w:cnfStyle w:val="001000000000" w:firstRow="0" w:lastRow="0" w:firstColumn="1" w:lastColumn="0" w:oddVBand="0" w:evenVBand="0" w:oddHBand="0" w:evenHBand="0" w:firstRowFirstColumn="0" w:firstRowLastColumn="0" w:lastRowFirstColumn="0" w:lastRowLastColumn="0"/>
            <w:tcW w:w="1618" w:type="dxa"/>
            <w:vMerge/>
          </w:tcPr>
          <w:p w14:paraId="5948CB65" w14:textId="77777777" w:rsidR="00D43014" w:rsidRPr="00C505F5" w:rsidRDefault="00D43014" w:rsidP="002F782A">
            <w:pPr>
              <w:rPr>
                <w:rFonts w:cs="Times New Roman"/>
                <w:sz w:val="24"/>
                <w:szCs w:val="24"/>
              </w:rPr>
            </w:pPr>
          </w:p>
        </w:tc>
        <w:tc>
          <w:tcPr>
            <w:tcW w:w="1265" w:type="dxa"/>
          </w:tcPr>
          <w:p w14:paraId="58AFB4D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(0.005)</w:t>
            </w:r>
          </w:p>
        </w:tc>
        <w:tc>
          <w:tcPr>
            <w:tcW w:w="1265" w:type="dxa"/>
          </w:tcPr>
          <w:p w14:paraId="67BA4D9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(0.004)</w:t>
            </w:r>
          </w:p>
        </w:tc>
        <w:tc>
          <w:tcPr>
            <w:tcW w:w="1264" w:type="dxa"/>
          </w:tcPr>
          <w:p w14:paraId="713F626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(0.001)</w:t>
            </w:r>
          </w:p>
        </w:tc>
        <w:tc>
          <w:tcPr>
            <w:tcW w:w="1264" w:type="dxa"/>
          </w:tcPr>
          <w:p w14:paraId="27AE433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(0.004)</w:t>
            </w:r>
          </w:p>
        </w:tc>
        <w:tc>
          <w:tcPr>
            <w:tcW w:w="1443" w:type="dxa"/>
          </w:tcPr>
          <w:p w14:paraId="635540F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(0.005)</w:t>
            </w:r>
          </w:p>
        </w:tc>
        <w:tc>
          <w:tcPr>
            <w:tcW w:w="1264" w:type="dxa"/>
          </w:tcPr>
          <w:p w14:paraId="58AA0F1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(0.002)</w:t>
            </w:r>
          </w:p>
        </w:tc>
        <w:tc>
          <w:tcPr>
            <w:tcW w:w="1264" w:type="dxa"/>
          </w:tcPr>
          <w:p w14:paraId="0F1274A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(0.003)</w:t>
            </w:r>
          </w:p>
        </w:tc>
        <w:tc>
          <w:tcPr>
            <w:tcW w:w="1143" w:type="dxa"/>
          </w:tcPr>
          <w:p w14:paraId="5212B99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(0.014)</w:t>
            </w:r>
          </w:p>
        </w:tc>
        <w:tc>
          <w:tcPr>
            <w:tcW w:w="1620" w:type="dxa"/>
          </w:tcPr>
          <w:p w14:paraId="3367685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(0.002)</w:t>
            </w:r>
          </w:p>
        </w:tc>
        <w:tc>
          <w:tcPr>
            <w:tcW w:w="1260" w:type="dxa"/>
          </w:tcPr>
          <w:p w14:paraId="2119D2A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(0.017)</w:t>
            </w:r>
          </w:p>
        </w:tc>
      </w:tr>
      <w:tr w:rsidR="00D43014" w:rsidRPr="00C505F5" w14:paraId="53AB85C3"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tcPr>
          <w:p w14:paraId="76ABADB1" w14:textId="77777777" w:rsidR="00D43014" w:rsidRPr="00C505F5" w:rsidRDefault="00D43014" w:rsidP="002F782A">
            <w:pPr>
              <w:rPr>
                <w:rFonts w:cs="Times New Roman"/>
                <w:sz w:val="24"/>
                <w:szCs w:val="24"/>
              </w:rPr>
            </w:pPr>
            <w:r w:rsidRPr="00C505F5">
              <w:rPr>
                <w:rFonts w:cs="Times New Roman"/>
                <w:sz w:val="24"/>
                <w:szCs w:val="24"/>
              </w:rPr>
              <w:t>Log of VIX</w:t>
            </w:r>
          </w:p>
        </w:tc>
        <w:tc>
          <w:tcPr>
            <w:tcW w:w="1265" w:type="dxa"/>
          </w:tcPr>
          <w:p w14:paraId="33334A3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0.007</w:t>
            </w:r>
          </w:p>
        </w:tc>
        <w:tc>
          <w:tcPr>
            <w:tcW w:w="1265" w:type="dxa"/>
          </w:tcPr>
          <w:p w14:paraId="51B34E5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0.003</w:t>
            </w:r>
          </w:p>
        </w:tc>
        <w:tc>
          <w:tcPr>
            <w:tcW w:w="1264" w:type="dxa"/>
          </w:tcPr>
          <w:p w14:paraId="66D12D1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264" w:type="dxa"/>
          </w:tcPr>
          <w:p w14:paraId="01BB516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-0.009*</w:t>
            </w:r>
          </w:p>
        </w:tc>
        <w:tc>
          <w:tcPr>
            <w:tcW w:w="1443" w:type="dxa"/>
          </w:tcPr>
          <w:p w14:paraId="0A2F916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c>
          <w:tcPr>
            <w:tcW w:w="1264" w:type="dxa"/>
          </w:tcPr>
          <w:p w14:paraId="5DEAB95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0.004</w:t>
            </w:r>
          </w:p>
        </w:tc>
        <w:tc>
          <w:tcPr>
            <w:tcW w:w="1264" w:type="dxa"/>
          </w:tcPr>
          <w:p w14:paraId="10D659E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0.000</w:t>
            </w:r>
          </w:p>
        </w:tc>
        <w:tc>
          <w:tcPr>
            <w:tcW w:w="1143" w:type="dxa"/>
          </w:tcPr>
          <w:p w14:paraId="0A42D84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-0.016</w:t>
            </w:r>
          </w:p>
        </w:tc>
        <w:tc>
          <w:tcPr>
            <w:tcW w:w="1620" w:type="dxa"/>
          </w:tcPr>
          <w:p w14:paraId="416F862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0.005</w:t>
            </w:r>
          </w:p>
        </w:tc>
        <w:tc>
          <w:tcPr>
            <w:tcW w:w="1260" w:type="dxa"/>
          </w:tcPr>
          <w:p w14:paraId="6E79D9F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r>
      <w:tr w:rsidR="00D43014" w:rsidRPr="00C505F5" w14:paraId="4F85F316" w14:textId="77777777" w:rsidTr="002F782A">
        <w:tc>
          <w:tcPr>
            <w:cnfStyle w:val="001000000000" w:firstRow="0" w:lastRow="0" w:firstColumn="1" w:lastColumn="0" w:oddVBand="0" w:evenVBand="0" w:oddHBand="0" w:evenHBand="0" w:firstRowFirstColumn="0" w:firstRowLastColumn="0" w:lastRowFirstColumn="0" w:lastRowLastColumn="0"/>
            <w:tcW w:w="1618" w:type="dxa"/>
          </w:tcPr>
          <w:p w14:paraId="76376A1F" w14:textId="77777777" w:rsidR="00D43014" w:rsidRPr="00C505F5" w:rsidRDefault="00D43014" w:rsidP="002F782A">
            <w:pPr>
              <w:rPr>
                <w:rFonts w:cs="Times New Roman"/>
                <w:sz w:val="24"/>
                <w:szCs w:val="24"/>
              </w:rPr>
            </w:pPr>
          </w:p>
        </w:tc>
        <w:tc>
          <w:tcPr>
            <w:tcW w:w="1265" w:type="dxa"/>
          </w:tcPr>
          <w:p w14:paraId="46EF10C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(0.007)</w:t>
            </w:r>
          </w:p>
        </w:tc>
        <w:tc>
          <w:tcPr>
            <w:tcW w:w="1265" w:type="dxa"/>
          </w:tcPr>
          <w:p w14:paraId="5C62D91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(0.004)</w:t>
            </w:r>
          </w:p>
        </w:tc>
        <w:tc>
          <w:tcPr>
            <w:tcW w:w="1264" w:type="dxa"/>
          </w:tcPr>
          <w:p w14:paraId="572F0F6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(0.002)</w:t>
            </w:r>
          </w:p>
        </w:tc>
        <w:tc>
          <w:tcPr>
            <w:tcW w:w="1264" w:type="dxa"/>
          </w:tcPr>
          <w:p w14:paraId="43700B7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(0.005)</w:t>
            </w:r>
          </w:p>
        </w:tc>
        <w:tc>
          <w:tcPr>
            <w:tcW w:w="1443" w:type="dxa"/>
          </w:tcPr>
          <w:p w14:paraId="3C757F0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(0.008)</w:t>
            </w:r>
          </w:p>
        </w:tc>
        <w:tc>
          <w:tcPr>
            <w:tcW w:w="1264" w:type="dxa"/>
          </w:tcPr>
          <w:p w14:paraId="0297B18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(0.004)</w:t>
            </w:r>
          </w:p>
        </w:tc>
        <w:tc>
          <w:tcPr>
            <w:tcW w:w="1264" w:type="dxa"/>
          </w:tcPr>
          <w:p w14:paraId="1082241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(0.006)</w:t>
            </w:r>
          </w:p>
        </w:tc>
        <w:tc>
          <w:tcPr>
            <w:tcW w:w="1143" w:type="dxa"/>
          </w:tcPr>
          <w:p w14:paraId="6BAE777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(0.010)</w:t>
            </w:r>
          </w:p>
        </w:tc>
        <w:tc>
          <w:tcPr>
            <w:tcW w:w="1620" w:type="dxa"/>
          </w:tcPr>
          <w:p w14:paraId="1F2A188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(0.004)</w:t>
            </w:r>
          </w:p>
        </w:tc>
        <w:tc>
          <w:tcPr>
            <w:tcW w:w="1260" w:type="dxa"/>
          </w:tcPr>
          <w:p w14:paraId="2CFBB61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(0.008)</w:t>
            </w:r>
          </w:p>
        </w:tc>
      </w:tr>
      <w:tr w:rsidR="00D43014" w:rsidRPr="00C505F5" w14:paraId="373C45A2"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tcPr>
          <w:p w14:paraId="60CB858E" w14:textId="77777777" w:rsidR="00D43014" w:rsidRPr="00C505F5" w:rsidRDefault="00D43014" w:rsidP="002F782A">
            <w:pPr>
              <w:rPr>
                <w:rFonts w:cs="Times New Roman"/>
                <w:sz w:val="24"/>
                <w:szCs w:val="24"/>
              </w:rPr>
            </w:pPr>
            <w:r w:rsidRPr="00C505F5">
              <w:rPr>
                <w:rFonts w:cs="Times New Roman"/>
                <w:sz w:val="24"/>
                <w:szCs w:val="24"/>
              </w:rPr>
              <w:t>REER Lag</w:t>
            </w:r>
          </w:p>
        </w:tc>
        <w:tc>
          <w:tcPr>
            <w:tcW w:w="1265" w:type="dxa"/>
          </w:tcPr>
          <w:p w14:paraId="7ACF8E5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0.976***</w:t>
            </w:r>
          </w:p>
        </w:tc>
        <w:tc>
          <w:tcPr>
            <w:tcW w:w="1265" w:type="dxa"/>
          </w:tcPr>
          <w:p w14:paraId="0795C10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0.979***</w:t>
            </w:r>
          </w:p>
        </w:tc>
        <w:tc>
          <w:tcPr>
            <w:tcW w:w="1264" w:type="dxa"/>
          </w:tcPr>
          <w:p w14:paraId="171B26C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0.980***</w:t>
            </w:r>
          </w:p>
        </w:tc>
        <w:tc>
          <w:tcPr>
            <w:tcW w:w="1264" w:type="dxa"/>
          </w:tcPr>
          <w:p w14:paraId="07AA5B3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0.937***</w:t>
            </w:r>
          </w:p>
        </w:tc>
        <w:tc>
          <w:tcPr>
            <w:tcW w:w="1443" w:type="dxa"/>
          </w:tcPr>
          <w:p w14:paraId="2D7ACB3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0.959***</w:t>
            </w:r>
          </w:p>
        </w:tc>
        <w:tc>
          <w:tcPr>
            <w:tcW w:w="1264" w:type="dxa"/>
          </w:tcPr>
          <w:p w14:paraId="5AD2BC3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0.994***</w:t>
            </w:r>
          </w:p>
        </w:tc>
        <w:tc>
          <w:tcPr>
            <w:tcW w:w="1264" w:type="dxa"/>
          </w:tcPr>
          <w:p w14:paraId="618B95D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1.001***</w:t>
            </w:r>
          </w:p>
        </w:tc>
        <w:tc>
          <w:tcPr>
            <w:tcW w:w="1143" w:type="dxa"/>
          </w:tcPr>
          <w:p w14:paraId="43016A9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0.928***</w:t>
            </w:r>
          </w:p>
        </w:tc>
        <w:tc>
          <w:tcPr>
            <w:tcW w:w="1620" w:type="dxa"/>
          </w:tcPr>
          <w:p w14:paraId="286245B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1.014***</w:t>
            </w:r>
          </w:p>
        </w:tc>
        <w:tc>
          <w:tcPr>
            <w:tcW w:w="1260" w:type="dxa"/>
          </w:tcPr>
          <w:p w14:paraId="5D19862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0.945***</w:t>
            </w:r>
          </w:p>
        </w:tc>
      </w:tr>
      <w:tr w:rsidR="00D43014" w:rsidRPr="00C505F5" w14:paraId="5CEC5F80" w14:textId="77777777" w:rsidTr="002F782A">
        <w:tc>
          <w:tcPr>
            <w:cnfStyle w:val="001000000000" w:firstRow="0" w:lastRow="0" w:firstColumn="1" w:lastColumn="0" w:oddVBand="0" w:evenVBand="0" w:oddHBand="0" w:evenHBand="0" w:firstRowFirstColumn="0" w:firstRowLastColumn="0" w:lastRowFirstColumn="0" w:lastRowLastColumn="0"/>
            <w:tcW w:w="1618" w:type="dxa"/>
          </w:tcPr>
          <w:p w14:paraId="1E482BEC" w14:textId="77777777" w:rsidR="00D43014" w:rsidRPr="00C505F5" w:rsidRDefault="00D43014" w:rsidP="002F782A">
            <w:pPr>
              <w:rPr>
                <w:rFonts w:cs="Times New Roman"/>
                <w:sz w:val="24"/>
                <w:szCs w:val="24"/>
              </w:rPr>
            </w:pPr>
          </w:p>
        </w:tc>
        <w:tc>
          <w:tcPr>
            <w:tcW w:w="1265" w:type="dxa"/>
          </w:tcPr>
          <w:p w14:paraId="51C9CEE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(0.012)</w:t>
            </w:r>
          </w:p>
        </w:tc>
        <w:tc>
          <w:tcPr>
            <w:tcW w:w="1265" w:type="dxa"/>
          </w:tcPr>
          <w:p w14:paraId="4614644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(0.020)</w:t>
            </w:r>
          </w:p>
        </w:tc>
        <w:tc>
          <w:tcPr>
            <w:tcW w:w="1264" w:type="dxa"/>
          </w:tcPr>
          <w:p w14:paraId="17575C7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(0.009)</w:t>
            </w:r>
          </w:p>
        </w:tc>
        <w:tc>
          <w:tcPr>
            <w:tcW w:w="1264" w:type="dxa"/>
          </w:tcPr>
          <w:p w14:paraId="0D824FC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(0.019)</w:t>
            </w:r>
          </w:p>
        </w:tc>
        <w:tc>
          <w:tcPr>
            <w:tcW w:w="1443" w:type="dxa"/>
          </w:tcPr>
          <w:p w14:paraId="5B3BD21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(0.017)</w:t>
            </w:r>
          </w:p>
        </w:tc>
        <w:tc>
          <w:tcPr>
            <w:tcW w:w="1264" w:type="dxa"/>
          </w:tcPr>
          <w:p w14:paraId="20F6E6A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(0.010)</w:t>
            </w:r>
          </w:p>
        </w:tc>
        <w:tc>
          <w:tcPr>
            <w:tcW w:w="1264" w:type="dxa"/>
          </w:tcPr>
          <w:p w14:paraId="3AFADCD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(0.012)</w:t>
            </w:r>
          </w:p>
        </w:tc>
        <w:tc>
          <w:tcPr>
            <w:tcW w:w="1143" w:type="dxa"/>
          </w:tcPr>
          <w:p w14:paraId="44F73E4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(0.026)</w:t>
            </w:r>
          </w:p>
        </w:tc>
        <w:tc>
          <w:tcPr>
            <w:tcW w:w="1620" w:type="dxa"/>
          </w:tcPr>
          <w:p w14:paraId="5C1E2F7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(0.011)</w:t>
            </w:r>
          </w:p>
        </w:tc>
        <w:tc>
          <w:tcPr>
            <w:tcW w:w="1260" w:type="dxa"/>
          </w:tcPr>
          <w:p w14:paraId="0D10E9F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(0.025)</w:t>
            </w:r>
          </w:p>
        </w:tc>
      </w:tr>
      <w:tr w:rsidR="00D43014" w:rsidRPr="00C505F5" w14:paraId="70BD6C35"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tcPr>
          <w:p w14:paraId="7318A93C" w14:textId="77777777" w:rsidR="00D43014" w:rsidRPr="00C505F5" w:rsidRDefault="00D43014" w:rsidP="002F782A">
            <w:pPr>
              <w:rPr>
                <w:rFonts w:cs="Times New Roman"/>
                <w:sz w:val="24"/>
                <w:szCs w:val="24"/>
              </w:rPr>
            </w:pPr>
            <w:r w:rsidRPr="00C505F5">
              <w:rPr>
                <w:rFonts w:cs="Times New Roman"/>
                <w:sz w:val="24"/>
                <w:szCs w:val="24"/>
              </w:rPr>
              <w:t>Constant</w:t>
            </w:r>
          </w:p>
        </w:tc>
        <w:tc>
          <w:tcPr>
            <w:tcW w:w="1265" w:type="dxa"/>
          </w:tcPr>
          <w:p w14:paraId="142146A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0.101**</w:t>
            </w:r>
          </w:p>
        </w:tc>
        <w:tc>
          <w:tcPr>
            <w:tcW w:w="1265" w:type="dxa"/>
          </w:tcPr>
          <w:p w14:paraId="5BA139A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0.090</w:t>
            </w:r>
          </w:p>
        </w:tc>
        <w:tc>
          <w:tcPr>
            <w:tcW w:w="1264" w:type="dxa"/>
          </w:tcPr>
          <w:p w14:paraId="532CCD1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0.094**</w:t>
            </w:r>
          </w:p>
        </w:tc>
        <w:tc>
          <w:tcPr>
            <w:tcW w:w="1264" w:type="dxa"/>
          </w:tcPr>
          <w:p w14:paraId="78C427D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0.314***</w:t>
            </w:r>
          </w:p>
        </w:tc>
        <w:tc>
          <w:tcPr>
            <w:tcW w:w="1443" w:type="dxa"/>
          </w:tcPr>
          <w:p w14:paraId="1839706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0.201**</w:t>
            </w:r>
          </w:p>
        </w:tc>
        <w:tc>
          <w:tcPr>
            <w:tcW w:w="1264" w:type="dxa"/>
          </w:tcPr>
          <w:p w14:paraId="6E9AA8E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0.022</w:t>
            </w:r>
          </w:p>
        </w:tc>
        <w:tc>
          <w:tcPr>
            <w:tcW w:w="1264" w:type="dxa"/>
          </w:tcPr>
          <w:p w14:paraId="3E4DFB8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-0.003</w:t>
            </w:r>
          </w:p>
        </w:tc>
        <w:tc>
          <w:tcPr>
            <w:tcW w:w="1143" w:type="dxa"/>
          </w:tcPr>
          <w:p w14:paraId="50B68B8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0.385***</w:t>
            </w:r>
          </w:p>
        </w:tc>
        <w:tc>
          <w:tcPr>
            <w:tcW w:w="1620" w:type="dxa"/>
          </w:tcPr>
          <w:p w14:paraId="0614C4E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-0.076</w:t>
            </w:r>
          </w:p>
        </w:tc>
        <w:tc>
          <w:tcPr>
            <w:tcW w:w="1260" w:type="dxa"/>
          </w:tcPr>
          <w:p w14:paraId="65D3284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0.261**</w:t>
            </w:r>
          </w:p>
        </w:tc>
      </w:tr>
      <w:tr w:rsidR="00D43014" w:rsidRPr="00C505F5" w14:paraId="693AF806" w14:textId="77777777" w:rsidTr="002F782A">
        <w:tc>
          <w:tcPr>
            <w:cnfStyle w:val="001000000000" w:firstRow="0" w:lastRow="0" w:firstColumn="1" w:lastColumn="0" w:oddVBand="0" w:evenVBand="0" w:oddHBand="0" w:evenHBand="0" w:firstRowFirstColumn="0" w:firstRowLastColumn="0" w:lastRowFirstColumn="0" w:lastRowLastColumn="0"/>
            <w:tcW w:w="1618" w:type="dxa"/>
          </w:tcPr>
          <w:p w14:paraId="2DED187A" w14:textId="77777777" w:rsidR="00D43014" w:rsidRPr="00C505F5" w:rsidRDefault="00D43014" w:rsidP="002F782A">
            <w:pPr>
              <w:rPr>
                <w:rFonts w:cs="Times New Roman"/>
                <w:sz w:val="24"/>
                <w:szCs w:val="24"/>
              </w:rPr>
            </w:pPr>
          </w:p>
        </w:tc>
        <w:tc>
          <w:tcPr>
            <w:tcW w:w="1265" w:type="dxa"/>
          </w:tcPr>
          <w:p w14:paraId="7BD0D77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(0.048)</w:t>
            </w:r>
          </w:p>
        </w:tc>
        <w:tc>
          <w:tcPr>
            <w:tcW w:w="1265" w:type="dxa"/>
          </w:tcPr>
          <w:p w14:paraId="15E6AD3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(0.092)</w:t>
            </w:r>
          </w:p>
        </w:tc>
        <w:tc>
          <w:tcPr>
            <w:tcW w:w="1264" w:type="dxa"/>
          </w:tcPr>
          <w:p w14:paraId="4D90382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(0.039)</w:t>
            </w:r>
          </w:p>
        </w:tc>
        <w:tc>
          <w:tcPr>
            <w:tcW w:w="1264" w:type="dxa"/>
          </w:tcPr>
          <w:p w14:paraId="30C6FED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(0.088)</w:t>
            </w:r>
          </w:p>
        </w:tc>
        <w:tc>
          <w:tcPr>
            <w:tcW w:w="1443" w:type="dxa"/>
          </w:tcPr>
          <w:p w14:paraId="5D2B73A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(0.087)</w:t>
            </w:r>
          </w:p>
        </w:tc>
        <w:tc>
          <w:tcPr>
            <w:tcW w:w="1264" w:type="dxa"/>
          </w:tcPr>
          <w:p w14:paraId="670140B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(0.049)</w:t>
            </w:r>
          </w:p>
        </w:tc>
        <w:tc>
          <w:tcPr>
            <w:tcW w:w="1264" w:type="dxa"/>
          </w:tcPr>
          <w:p w14:paraId="361D4F6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(0.057)</w:t>
            </w:r>
          </w:p>
        </w:tc>
        <w:tc>
          <w:tcPr>
            <w:tcW w:w="1143" w:type="dxa"/>
          </w:tcPr>
          <w:p w14:paraId="1D7CEE5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(0.141)</w:t>
            </w:r>
          </w:p>
        </w:tc>
        <w:tc>
          <w:tcPr>
            <w:tcW w:w="1620" w:type="dxa"/>
          </w:tcPr>
          <w:p w14:paraId="5CD0BFC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(0.048)</w:t>
            </w:r>
          </w:p>
        </w:tc>
        <w:tc>
          <w:tcPr>
            <w:tcW w:w="1260" w:type="dxa"/>
          </w:tcPr>
          <w:p w14:paraId="4F5ACB6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(0.117)</w:t>
            </w:r>
          </w:p>
        </w:tc>
      </w:tr>
      <w:tr w:rsidR="00D43014" w:rsidRPr="00C505F5" w14:paraId="434D3A32"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tcBorders>
              <w:bottom w:val="single" w:sz="4" w:space="0" w:color="auto"/>
            </w:tcBorders>
          </w:tcPr>
          <w:p w14:paraId="1649FFCF" w14:textId="77777777" w:rsidR="00D43014" w:rsidRPr="00C505F5" w:rsidRDefault="00D43014" w:rsidP="002F782A">
            <w:pPr>
              <w:rPr>
                <w:rFonts w:cs="Times New Roman"/>
                <w:sz w:val="24"/>
                <w:szCs w:val="24"/>
              </w:rPr>
            </w:pPr>
          </w:p>
        </w:tc>
        <w:tc>
          <w:tcPr>
            <w:tcW w:w="1265" w:type="dxa"/>
            <w:tcBorders>
              <w:bottom w:val="single" w:sz="4" w:space="0" w:color="auto"/>
            </w:tcBorders>
          </w:tcPr>
          <w:p w14:paraId="2FE764D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5" w:type="dxa"/>
            <w:tcBorders>
              <w:bottom w:val="single" w:sz="4" w:space="0" w:color="auto"/>
            </w:tcBorders>
          </w:tcPr>
          <w:p w14:paraId="5B137DB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4" w:type="dxa"/>
            <w:tcBorders>
              <w:bottom w:val="single" w:sz="4" w:space="0" w:color="auto"/>
            </w:tcBorders>
          </w:tcPr>
          <w:p w14:paraId="15CBB75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4" w:type="dxa"/>
            <w:tcBorders>
              <w:bottom w:val="single" w:sz="4" w:space="0" w:color="auto"/>
            </w:tcBorders>
          </w:tcPr>
          <w:p w14:paraId="434666B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443" w:type="dxa"/>
            <w:tcBorders>
              <w:bottom w:val="single" w:sz="4" w:space="0" w:color="auto"/>
            </w:tcBorders>
          </w:tcPr>
          <w:p w14:paraId="7EDF64F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4" w:type="dxa"/>
            <w:tcBorders>
              <w:bottom w:val="single" w:sz="4" w:space="0" w:color="auto"/>
            </w:tcBorders>
          </w:tcPr>
          <w:p w14:paraId="5B30C2C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4" w:type="dxa"/>
            <w:tcBorders>
              <w:bottom w:val="single" w:sz="4" w:space="0" w:color="auto"/>
            </w:tcBorders>
          </w:tcPr>
          <w:p w14:paraId="78AC1EF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43" w:type="dxa"/>
            <w:tcBorders>
              <w:bottom w:val="single" w:sz="4" w:space="0" w:color="auto"/>
            </w:tcBorders>
          </w:tcPr>
          <w:p w14:paraId="7E2D7E3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620" w:type="dxa"/>
            <w:tcBorders>
              <w:bottom w:val="single" w:sz="4" w:space="0" w:color="auto"/>
            </w:tcBorders>
          </w:tcPr>
          <w:p w14:paraId="324FE7B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0" w:type="dxa"/>
            <w:tcBorders>
              <w:bottom w:val="single" w:sz="4" w:space="0" w:color="auto"/>
            </w:tcBorders>
          </w:tcPr>
          <w:p w14:paraId="3E7901F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758D60B6" w14:textId="77777777" w:rsidTr="002F782A">
        <w:tc>
          <w:tcPr>
            <w:cnfStyle w:val="001000000000" w:firstRow="0" w:lastRow="0" w:firstColumn="1" w:lastColumn="0" w:oddVBand="0" w:evenVBand="0" w:oddHBand="0" w:evenHBand="0" w:firstRowFirstColumn="0" w:firstRowLastColumn="0" w:lastRowFirstColumn="0" w:lastRowLastColumn="0"/>
            <w:tcW w:w="1618" w:type="dxa"/>
            <w:tcBorders>
              <w:top w:val="single" w:sz="4" w:space="0" w:color="auto"/>
            </w:tcBorders>
          </w:tcPr>
          <w:p w14:paraId="04BE655D" w14:textId="77777777" w:rsidR="00D43014" w:rsidRPr="00C505F5" w:rsidRDefault="00D43014" w:rsidP="002F782A">
            <w:pPr>
              <w:rPr>
                <w:rFonts w:cs="Times New Roman"/>
                <w:sz w:val="24"/>
                <w:szCs w:val="24"/>
              </w:rPr>
            </w:pPr>
            <w:r w:rsidRPr="00C505F5">
              <w:rPr>
                <w:rFonts w:cs="Times New Roman"/>
                <w:sz w:val="24"/>
                <w:szCs w:val="24"/>
              </w:rPr>
              <w:t>Observations</w:t>
            </w:r>
          </w:p>
        </w:tc>
        <w:tc>
          <w:tcPr>
            <w:tcW w:w="1265" w:type="dxa"/>
            <w:tcBorders>
              <w:top w:val="single" w:sz="4" w:space="0" w:color="auto"/>
            </w:tcBorders>
          </w:tcPr>
          <w:p w14:paraId="1743420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65" w:type="dxa"/>
            <w:tcBorders>
              <w:top w:val="single" w:sz="4" w:space="0" w:color="auto"/>
            </w:tcBorders>
          </w:tcPr>
          <w:p w14:paraId="0A49DF7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64" w:type="dxa"/>
            <w:tcBorders>
              <w:top w:val="single" w:sz="4" w:space="0" w:color="auto"/>
            </w:tcBorders>
          </w:tcPr>
          <w:p w14:paraId="4F0DA90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64" w:type="dxa"/>
            <w:tcBorders>
              <w:top w:val="single" w:sz="4" w:space="0" w:color="auto"/>
            </w:tcBorders>
          </w:tcPr>
          <w:p w14:paraId="5A1B17A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443" w:type="dxa"/>
            <w:tcBorders>
              <w:top w:val="single" w:sz="4" w:space="0" w:color="auto"/>
            </w:tcBorders>
          </w:tcPr>
          <w:p w14:paraId="5C669FB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64" w:type="dxa"/>
            <w:tcBorders>
              <w:top w:val="single" w:sz="4" w:space="0" w:color="auto"/>
            </w:tcBorders>
          </w:tcPr>
          <w:p w14:paraId="680AA8C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64" w:type="dxa"/>
            <w:tcBorders>
              <w:top w:val="single" w:sz="4" w:space="0" w:color="auto"/>
            </w:tcBorders>
          </w:tcPr>
          <w:p w14:paraId="7BF94D4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156</w:t>
            </w:r>
          </w:p>
        </w:tc>
        <w:tc>
          <w:tcPr>
            <w:tcW w:w="1143" w:type="dxa"/>
            <w:tcBorders>
              <w:top w:val="single" w:sz="4" w:space="0" w:color="auto"/>
            </w:tcBorders>
          </w:tcPr>
          <w:p w14:paraId="26159F9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620" w:type="dxa"/>
            <w:tcBorders>
              <w:top w:val="single" w:sz="4" w:space="0" w:color="auto"/>
            </w:tcBorders>
          </w:tcPr>
          <w:p w14:paraId="269829C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60" w:type="dxa"/>
            <w:tcBorders>
              <w:top w:val="single" w:sz="4" w:space="0" w:color="auto"/>
            </w:tcBorders>
          </w:tcPr>
          <w:p w14:paraId="368709B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r>
      <w:tr w:rsidR="00D43014" w:rsidRPr="00C505F5" w14:paraId="23F3F515"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tcBorders>
              <w:bottom w:val="single" w:sz="4" w:space="0" w:color="auto"/>
            </w:tcBorders>
          </w:tcPr>
          <w:p w14:paraId="4BC42A24" w14:textId="77777777" w:rsidR="00D43014" w:rsidRPr="00C505F5" w:rsidRDefault="00D43014" w:rsidP="002F782A">
            <w:pPr>
              <w:rPr>
                <w:rFonts w:cs="Times New Roman"/>
                <w:sz w:val="24"/>
                <w:szCs w:val="24"/>
              </w:rPr>
            </w:pPr>
            <w:r w:rsidRPr="00C505F5">
              <w:rPr>
                <w:rFonts w:cs="Times New Roman"/>
                <w:sz w:val="24"/>
                <w:szCs w:val="24"/>
              </w:rPr>
              <w:t>R-squared</w:t>
            </w:r>
          </w:p>
        </w:tc>
        <w:tc>
          <w:tcPr>
            <w:tcW w:w="1265" w:type="dxa"/>
            <w:tcBorders>
              <w:bottom w:val="single" w:sz="4" w:space="0" w:color="auto"/>
            </w:tcBorders>
          </w:tcPr>
          <w:p w14:paraId="3F91830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0.988</w:t>
            </w:r>
          </w:p>
        </w:tc>
        <w:tc>
          <w:tcPr>
            <w:tcW w:w="1265" w:type="dxa"/>
            <w:tcBorders>
              <w:bottom w:val="single" w:sz="4" w:space="0" w:color="auto"/>
            </w:tcBorders>
          </w:tcPr>
          <w:p w14:paraId="4C5C056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0.980</w:t>
            </w:r>
          </w:p>
        </w:tc>
        <w:tc>
          <w:tcPr>
            <w:tcW w:w="1264" w:type="dxa"/>
            <w:tcBorders>
              <w:bottom w:val="single" w:sz="4" w:space="0" w:color="auto"/>
            </w:tcBorders>
          </w:tcPr>
          <w:p w14:paraId="0148D95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0.982</w:t>
            </w:r>
          </w:p>
        </w:tc>
        <w:tc>
          <w:tcPr>
            <w:tcW w:w="1264" w:type="dxa"/>
            <w:tcBorders>
              <w:bottom w:val="single" w:sz="4" w:space="0" w:color="auto"/>
            </w:tcBorders>
          </w:tcPr>
          <w:p w14:paraId="62C61DD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0.985</w:t>
            </w:r>
          </w:p>
        </w:tc>
        <w:tc>
          <w:tcPr>
            <w:tcW w:w="1443" w:type="dxa"/>
            <w:tcBorders>
              <w:bottom w:val="single" w:sz="4" w:space="0" w:color="auto"/>
            </w:tcBorders>
          </w:tcPr>
          <w:p w14:paraId="6574A9E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0.965</w:t>
            </w:r>
          </w:p>
        </w:tc>
        <w:tc>
          <w:tcPr>
            <w:tcW w:w="1264" w:type="dxa"/>
            <w:tcBorders>
              <w:bottom w:val="single" w:sz="4" w:space="0" w:color="auto"/>
            </w:tcBorders>
          </w:tcPr>
          <w:p w14:paraId="47A63F6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0.976</w:t>
            </w:r>
          </w:p>
        </w:tc>
        <w:tc>
          <w:tcPr>
            <w:tcW w:w="1264" w:type="dxa"/>
            <w:tcBorders>
              <w:bottom w:val="single" w:sz="4" w:space="0" w:color="auto"/>
            </w:tcBorders>
          </w:tcPr>
          <w:p w14:paraId="4FDB5FB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0.978</w:t>
            </w:r>
          </w:p>
        </w:tc>
        <w:tc>
          <w:tcPr>
            <w:tcW w:w="1143" w:type="dxa"/>
            <w:tcBorders>
              <w:bottom w:val="single" w:sz="4" w:space="0" w:color="auto"/>
            </w:tcBorders>
          </w:tcPr>
          <w:p w14:paraId="2DF478C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0.974</w:t>
            </w:r>
          </w:p>
        </w:tc>
        <w:tc>
          <w:tcPr>
            <w:tcW w:w="1620" w:type="dxa"/>
            <w:tcBorders>
              <w:bottom w:val="single" w:sz="4" w:space="0" w:color="auto"/>
            </w:tcBorders>
          </w:tcPr>
          <w:p w14:paraId="16CB319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0.980</w:t>
            </w:r>
          </w:p>
        </w:tc>
        <w:tc>
          <w:tcPr>
            <w:tcW w:w="1260" w:type="dxa"/>
            <w:tcBorders>
              <w:bottom w:val="single" w:sz="4" w:space="0" w:color="auto"/>
            </w:tcBorders>
          </w:tcPr>
          <w:p w14:paraId="0C39E43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0.968</w:t>
            </w:r>
          </w:p>
        </w:tc>
      </w:tr>
      <w:tr w:rsidR="00D43014" w:rsidRPr="00C505F5" w14:paraId="6F29A4CD" w14:textId="77777777" w:rsidTr="002F782A">
        <w:tc>
          <w:tcPr>
            <w:cnfStyle w:val="001000000000" w:firstRow="0" w:lastRow="0" w:firstColumn="1" w:lastColumn="0" w:oddVBand="0" w:evenVBand="0" w:oddHBand="0" w:evenHBand="0" w:firstRowFirstColumn="0" w:firstRowLastColumn="0" w:lastRowFirstColumn="0" w:lastRowLastColumn="0"/>
            <w:tcW w:w="14670" w:type="dxa"/>
            <w:gridSpan w:val="11"/>
            <w:tcBorders>
              <w:top w:val="single" w:sz="4" w:space="0" w:color="auto"/>
              <w:bottom w:val="single" w:sz="4" w:space="0" w:color="auto"/>
            </w:tcBorders>
          </w:tcPr>
          <w:p w14:paraId="6F40A75E" w14:textId="77777777" w:rsidR="00E85C88" w:rsidRDefault="00E85C88" w:rsidP="002F782A">
            <w:pPr>
              <w:rPr>
                <w:rFonts w:cs="Times New Roman"/>
                <w:sz w:val="8"/>
                <w:szCs w:val="8"/>
              </w:rPr>
            </w:pPr>
          </w:p>
          <w:p w14:paraId="610DF2D4" w14:textId="30B01C76" w:rsidR="00D43014" w:rsidRPr="00C505F5" w:rsidRDefault="00E85C88" w:rsidP="002F782A">
            <w:pPr>
              <w:rPr>
                <w:rFonts w:cs="Times New Roman"/>
                <w:sz w:val="24"/>
                <w:szCs w:val="24"/>
              </w:rPr>
            </w:pPr>
            <w:r w:rsidRPr="002F0B8D">
              <w:rPr>
                <w:rFonts w:cs="Times New Roman"/>
                <w:sz w:val="8"/>
                <w:szCs w:val="8"/>
              </w:rPr>
              <w:t xml:space="preserve"> </w:t>
            </w:r>
            <w:r>
              <w:rPr>
                <w:rFonts w:cs="Times New Roman"/>
                <w:sz w:val="24"/>
                <w:szCs w:val="24"/>
              </w:rPr>
              <w:t xml:space="preserve"> </w:t>
            </w:r>
            <w:r w:rsidR="00D43014" w:rsidRPr="00C505F5">
              <w:rPr>
                <w:rFonts w:cs="Times New Roman"/>
                <w:sz w:val="24"/>
                <w:szCs w:val="24"/>
              </w:rPr>
              <w:t>Robust standard errors in parentheses; *** p&lt;0.01, ** p&lt;0.05, * p&lt;0.1</w:t>
            </w:r>
          </w:p>
        </w:tc>
      </w:tr>
      <w:tr w:rsidR="00D43014" w:rsidRPr="00C505F5" w14:paraId="539CBB61"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70" w:type="dxa"/>
            <w:gridSpan w:val="11"/>
            <w:tcBorders>
              <w:top w:val="single" w:sz="4" w:space="0" w:color="auto"/>
            </w:tcBorders>
          </w:tcPr>
          <w:p w14:paraId="5677F91D" w14:textId="77777777" w:rsidR="00D43014" w:rsidRPr="00C505F5" w:rsidRDefault="00D43014" w:rsidP="002F782A">
            <w:pPr>
              <w:rPr>
                <w:rFonts w:cs="Times New Roman"/>
                <w:sz w:val="24"/>
                <w:szCs w:val="24"/>
              </w:rPr>
            </w:pPr>
          </w:p>
        </w:tc>
      </w:tr>
    </w:tbl>
    <w:p w14:paraId="6776480E" w14:textId="77777777" w:rsidR="00D43014" w:rsidRPr="00A42E75" w:rsidRDefault="00D43014" w:rsidP="00D43014">
      <w:pPr>
        <w:pStyle w:val="ListParagraph"/>
        <w:rPr>
          <w:rFonts w:cs="Times New Roman"/>
          <w:b/>
          <w:sz w:val="28"/>
        </w:rPr>
      </w:pPr>
      <w:r w:rsidRPr="00A42E75">
        <w:rPr>
          <w:rFonts w:cs="Times New Roman"/>
          <w:b/>
          <w:sz w:val="28"/>
        </w:rPr>
        <w:t xml:space="preserve">B3)   IV: Log of REER on </w:t>
      </w:r>
      <m:oMath>
        <m:r>
          <w:rPr>
            <w:rFonts w:ascii="Cambria Math" w:hAnsi="Cambria Math" w:cs="Times New Roman"/>
            <w:sz w:val="24"/>
            <w:szCs w:val="24"/>
          </w:rPr>
          <m:t>∆</m:t>
        </m:r>
        <m:r>
          <m:rPr>
            <m:sty m:val="bi"/>
          </m:rPr>
          <w:rPr>
            <w:rFonts w:ascii="Cambria Math" w:hAnsi="Cambria Math" w:cs="Times New Roman"/>
            <w:sz w:val="24"/>
            <w:szCs w:val="24"/>
          </w:rPr>
          <m:t>Res</m:t>
        </m:r>
        <m:r>
          <w:rPr>
            <w:rFonts w:ascii="Cambria Math" w:hAnsi="Cambria Math" w:cs="Times New Roman"/>
            <w:sz w:val="24"/>
            <w:szCs w:val="24"/>
          </w:rPr>
          <m:t>/</m:t>
        </m:r>
        <m:r>
          <m:rPr>
            <m:sty m:val="bi"/>
          </m:rPr>
          <w:rPr>
            <w:rFonts w:ascii="Cambria Math" w:hAnsi="Cambria Math" w:cs="Times New Roman"/>
            <w:sz w:val="24"/>
            <w:szCs w:val="24"/>
          </w:rPr>
          <m:t>GDP</m:t>
        </m:r>
      </m:oMath>
      <w:r w:rsidRPr="00A42E75">
        <w:rPr>
          <w:rFonts w:cs="Times New Roman"/>
          <w:b/>
          <w:sz w:val="28"/>
        </w:rPr>
        <w:t xml:space="preserve"> and a time trend</w:t>
      </w:r>
    </w:p>
    <w:p w14:paraId="3FB7269D" w14:textId="77777777" w:rsidR="00D43014" w:rsidRPr="00C505F5" w:rsidRDefault="00D43014" w:rsidP="00D43014">
      <w:pPr>
        <w:pStyle w:val="ListParagraph"/>
        <w:rPr>
          <w:rFonts w:cs="Times New Roman"/>
          <w:sz w:val="26"/>
          <w:szCs w:val="26"/>
        </w:rPr>
      </w:pPr>
      <w:r w:rsidRPr="00C505F5">
        <w:rPr>
          <w:rFonts w:cs="Times New Roman"/>
          <w:sz w:val="26"/>
          <w:szCs w:val="26"/>
        </w:rPr>
        <w:t>Instruments: log of VIX and a country-specific commodity price index</w:t>
      </w:r>
    </w:p>
    <w:p w14:paraId="70513398" w14:textId="77777777" w:rsidR="00D43014" w:rsidRPr="00C505F5" w:rsidRDefault="00D43014" w:rsidP="00D43014">
      <w:pPr>
        <w:pStyle w:val="ListParagraph"/>
        <w:rPr>
          <w:rFonts w:cs="Times New Roman"/>
          <w:b/>
          <w:sz w:val="28"/>
        </w:rPr>
      </w:pPr>
    </w:p>
    <w:tbl>
      <w:tblPr>
        <w:tblStyle w:val="PlainTable41"/>
        <w:tblW w:w="0" w:type="auto"/>
        <w:tblLayout w:type="fixed"/>
        <w:tblLook w:val="04A0" w:firstRow="1" w:lastRow="0" w:firstColumn="1" w:lastColumn="0" w:noHBand="0" w:noVBand="1"/>
      </w:tblPr>
      <w:tblGrid>
        <w:gridCol w:w="2109"/>
        <w:gridCol w:w="1471"/>
        <w:gridCol w:w="1471"/>
        <w:gridCol w:w="1471"/>
        <w:gridCol w:w="1496"/>
        <w:gridCol w:w="1471"/>
        <w:gridCol w:w="1496"/>
        <w:gridCol w:w="1471"/>
        <w:gridCol w:w="252"/>
      </w:tblGrid>
      <w:tr w:rsidR="00D43014" w:rsidRPr="00C505F5" w14:paraId="79DEAF2C"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tcBorders>
              <w:top w:val="single" w:sz="4" w:space="0" w:color="auto"/>
            </w:tcBorders>
          </w:tcPr>
          <w:p w14:paraId="763530E5" w14:textId="77777777" w:rsidR="00D43014" w:rsidRPr="00C505F5" w:rsidRDefault="00D43014" w:rsidP="002F782A">
            <w:pPr>
              <w:pStyle w:val="ListParagraph"/>
              <w:ind w:left="0"/>
              <w:rPr>
                <w:rFonts w:cs="Times New Roman"/>
                <w:sz w:val="24"/>
                <w:szCs w:val="24"/>
              </w:rPr>
            </w:pPr>
          </w:p>
        </w:tc>
        <w:tc>
          <w:tcPr>
            <w:tcW w:w="1471" w:type="dxa"/>
            <w:tcBorders>
              <w:top w:val="single" w:sz="4" w:space="0" w:color="auto"/>
            </w:tcBorders>
          </w:tcPr>
          <w:p w14:paraId="71A1C9EF"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w:t>
            </w:r>
          </w:p>
        </w:tc>
        <w:tc>
          <w:tcPr>
            <w:tcW w:w="1471" w:type="dxa"/>
            <w:tcBorders>
              <w:top w:val="single" w:sz="4" w:space="0" w:color="auto"/>
            </w:tcBorders>
          </w:tcPr>
          <w:p w14:paraId="66CCC2B1"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w:t>
            </w:r>
          </w:p>
        </w:tc>
        <w:tc>
          <w:tcPr>
            <w:tcW w:w="1471" w:type="dxa"/>
            <w:tcBorders>
              <w:top w:val="single" w:sz="4" w:space="0" w:color="auto"/>
            </w:tcBorders>
          </w:tcPr>
          <w:p w14:paraId="5855FDA8"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(3)</w:t>
            </w:r>
          </w:p>
        </w:tc>
        <w:tc>
          <w:tcPr>
            <w:tcW w:w="1496" w:type="dxa"/>
            <w:tcBorders>
              <w:top w:val="single" w:sz="4" w:space="0" w:color="auto"/>
            </w:tcBorders>
          </w:tcPr>
          <w:p w14:paraId="75F0EB72"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(4)</w:t>
            </w:r>
          </w:p>
        </w:tc>
        <w:tc>
          <w:tcPr>
            <w:tcW w:w="1471" w:type="dxa"/>
            <w:tcBorders>
              <w:top w:val="single" w:sz="4" w:space="0" w:color="auto"/>
            </w:tcBorders>
          </w:tcPr>
          <w:p w14:paraId="36857751"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(5)</w:t>
            </w:r>
          </w:p>
        </w:tc>
        <w:tc>
          <w:tcPr>
            <w:tcW w:w="1496" w:type="dxa"/>
            <w:tcBorders>
              <w:top w:val="single" w:sz="4" w:space="0" w:color="auto"/>
            </w:tcBorders>
          </w:tcPr>
          <w:p w14:paraId="393F1E7D"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(6)</w:t>
            </w:r>
          </w:p>
        </w:tc>
        <w:tc>
          <w:tcPr>
            <w:tcW w:w="1471" w:type="dxa"/>
            <w:tcBorders>
              <w:top w:val="single" w:sz="4" w:space="0" w:color="auto"/>
            </w:tcBorders>
          </w:tcPr>
          <w:p w14:paraId="458186DD"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w:t>
            </w:r>
          </w:p>
        </w:tc>
        <w:tc>
          <w:tcPr>
            <w:tcW w:w="252" w:type="dxa"/>
            <w:tcBorders>
              <w:top w:val="single" w:sz="4" w:space="0" w:color="auto"/>
            </w:tcBorders>
          </w:tcPr>
          <w:p w14:paraId="151FA3E1"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0257FD76"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tcBorders>
              <w:bottom w:val="single" w:sz="4" w:space="0" w:color="auto"/>
            </w:tcBorders>
          </w:tcPr>
          <w:p w14:paraId="6EF33347"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VARIABLES</w:t>
            </w:r>
          </w:p>
        </w:tc>
        <w:tc>
          <w:tcPr>
            <w:tcW w:w="1471" w:type="dxa"/>
            <w:tcBorders>
              <w:bottom w:val="single" w:sz="4" w:space="0" w:color="auto"/>
            </w:tcBorders>
          </w:tcPr>
          <w:p w14:paraId="0303143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 Africa</w:t>
            </w:r>
          </w:p>
        </w:tc>
        <w:tc>
          <w:tcPr>
            <w:tcW w:w="1471" w:type="dxa"/>
            <w:tcBorders>
              <w:bottom w:val="single" w:sz="4" w:space="0" w:color="auto"/>
            </w:tcBorders>
          </w:tcPr>
          <w:p w14:paraId="282B71B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Brazil</w:t>
            </w:r>
          </w:p>
        </w:tc>
        <w:tc>
          <w:tcPr>
            <w:tcW w:w="1471" w:type="dxa"/>
            <w:tcBorders>
              <w:bottom w:val="single" w:sz="4" w:space="0" w:color="auto"/>
            </w:tcBorders>
          </w:tcPr>
          <w:p w14:paraId="25B5B334"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Chile</w:t>
            </w:r>
          </w:p>
        </w:tc>
        <w:tc>
          <w:tcPr>
            <w:tcW w:w="1496" w:type="dxa"/>
            <w:tcBorders>
              <w:bottom w:val="single" w:sz="4" w:space="0" w:color="auto"/>
            </w:tcBorders>
          </w:tcPr>
          <w:p w14:paraId="46A88DD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Colombia</w:t>
            </w:r>
          </w:p>
        </w:tc>
        <w:tc>
          <w:tcPr>
            <w:tcW w:w="1471" w:type="dxa"/>
            <w:tcBorders>
              <w:bottom w:val="single" w:sz="4" w:space="0" w:color="auto"/>
            </w:tcBorders>
          </w:tcPr>
          <w:p w14:paraId="4B560A3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highlight w:val="yellow"/>
              </w:rPr>
            </w:pPr>
            <w:r w:rsidRPr="00C505F5">
              <w:rPr>
                <w:rFonts w:cs="Times New Roman"/>
                <w:b/>
                <w:sz w:val="24"/>
                <w:szCs w:val="24"/>
              </w:rPr>
              <w:t>Ecuador</w:t>
            </w:r>
          </w:p>
        </w:tc>
        <w:tc>
          <w:tcPr>
            <w:tcW w:w="1496" w:type="dxa"/>
            <w:tcBorders>
              <w:bottom w:val="single" w:sz="4" w:space="0" w:color="auto"/>
            </w:tcBorders>
          </w:tcPr>
          <w:p w14:paraId="3ED2675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Peru</w:t>
            </w:r>
          </w:p>
        </w:tc>
        <w:tc>
          <w:tcPr>
            <w:tcW w:w="1471" w:type="dxa"/>
            <w:tcBorders>
              <w:bottom w:val="single" w:sz="4" w:space="0" w:color="auto"/>
            </w:tcBorders>
          </w:tcPr>
          <w:p w14:paraId="28D2AD5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Azerbaijan</w:t>
            </w:r>
          </w:p>
        </w:tc>
        <w:tc>
          <w:tcPr>
            <w:tcW w:w="252" w:type="dxa"/>
            <w:tcBorders>
              <w:bottom w:val="single" w:sz="4" w:space="0" w:color="auto"/>
            </w:tcBorders>
          </w:tcPr>
          <w:p w14:paraId="3551132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p>
        </w:tc>
      </w:tr>
      <w:tr w:rsidR="00D43014" w:rsidRPr="00C505F5" w14:paraId="04319833" w14:textId="77777777" w:rsidTr="002F782A">
        <w:tc>
          <w:tcPr>
            <w:cnfStyle w:val="001000000000" w:firstRow="0" w:lastRow="0" w:firstColumn="1" w:lastColumn="0" w:oddVBand="0" w:evenVBand="0" w:oddHBand="0" w:evenHBand="0" w:firstRowFirstColumn="0" w:firstRowLastColumn="0" w:lastRowFirstColumn="0" w:lastRowLastColumn="0"/>
            <w:tcW w:w="2109" w:type="dxa"/>
            <w:tcBorders>
              <w:top w:val="single" w:sz="4" w:space="0" w:color="auto"/>
            </w:tcBorders>
          </w:tcPr>
          <w:p w14:paraId="04A33FE2" w14:textId="77777777" w:rsidR="00D43014" w:rsidRPr="00C505F5" w:rsidRDefault="00D43014" w:rsidP="002F782A">
            <w:pPr>
              <w:pStyle w:val="ListParagraph"/>
              <w:ind w:left="0"/>
              <w:rPr>
                <w:rFonts w:cs="Times New Roman"/>
                <w:b w:val="0"/>
                <w:sz w:val="24"/>
                <w:szCs w:val="24"/>
              </w:rPr>
            </w:pPr>
          </w:p>
        </w:tc>
        <w:tc>
          <w:tcPr>
            <w:tcW w:w="1471" w:type="dxa"/>
            <w:tcBorders>
              <w:top w:val="single" w:sz="4" w:space="0" w:color="auto"/>
            </w:tcBorders>
          </w:tcPr>
          <w:p w14:paraId="05D6746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71" w:type="dxa"/>
            <w:tcBorders>
              <w:top w:val="single" w:sz="4" w:space="0" w:color="auto"/>
            </w:tcBorders>
          </w:tcPr>
          <w:p w14:paraId="0F3D7AB1"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71" w:type="dxa"/>
            <w:tcBorders>
              <w:top w:val="single" w:sz="4" w:space="0" w:color="auto"/>
            </w:tcBorders>
          </w:tcPr>
          <w:p w14:paraId="4498A19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96" w:type="dxa"/>
            <w:tcBorders>
              <w:top w:val="single" w:sz="4" w:space="0" w:color="auto"/>
            </w:tcBorders>
          </w:tcPr>
          <w:p w14:paraId="2E7CB14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71" w:type="dxa"/>
            <w:tcBorders>
              <w:top w:val="single" w:sz="4" w:space="0" w:color="auto"/>
            </w:tcBorders>
          </w:tcPr>
          <w:p w14:paraId="00AA590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96" w:type="dxa"/>
            <w:tcBorders>
              <w:top w:val="single" w:sz="4" w:space="0" w:color="auto"/>
            </w:tcBorders>
          </w:tcPr>
          <w:p w14:paraId="222504CE"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71" w:type="dxa"/>
            <w:tcBorders>
              <w:top w:val="single" w:sz="4" w:space="0" w:color="auto"/>
            </w:tcBorders>
          </w:tcPr>
          <w:p w14:paraId="01362856"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252" w:type="dxa"/>
            <w:tcBorders>
              <w:top w:val="single" w:sz="4" w:space="0" w:color="auto"/>
            </w:tcBorders>
          </w:tcPr>
          <w:p w14:paraId="15B60D86"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30C2C09C"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tcPr>
          <w:p w14:paraId="7DA8A0EF" w14:textId="77777777" w:rsidR="00D43014" w:rsidRPr="00C505F5" w:rsidRDefault="00D43014" w:rsidP="002F782A">
            <w:pPr>
              <w:pStyle w:val="ListParagraph"/>
              <w:ind w:left="0"/>
              <w:rPr>
                <w:rFonts w:cs="Times New Roman"/>
                <w:sz w:val="24"/>
                <w:szCs w:val="24"/>
              </w:rPr>
            </w:pPr>
            <m:oMathPara>
              <m:oMathParaPr>
                <m:jc m:val="left"/>
              </m:oMathParaPr>
              <m:oMath>
                <m:r>
                  <m:rPr>
                    <m:sty m:val="bi"/>
                  </m:rPr>
                  <w:rPr>
                    <w:rFonts w:ascii="Cambria Math" w:hAnsi="Cambria Math" w:cs="Times New Roman"/>
                    <w:sz w:val="24"/>
                    <w:szCs w:val="24"/>
                  </w:rPr>
                  <m:t>∆Res/GDP</m:t>
                </m:r>
              </m:oMath>
            </m:oMathPara>
          </w:p>
        </w:tc>
        <w:tc>
          <w:tcPr>
            <w:tcW w:w="1471" w:type="dxa"/>
          </w:tcPr>
          <w:p w14:paraId="4932EACF"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-1.260</w:t>
            </w:r>
          </w:p>
        </w:tc>
        <w:tc>
          <w:tcPr>
            <w:tcW w:w="1471" w:type="dxa"/>
          </w:tcPr>
          <w:p w14:paraId="4166D5F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20.527***</w:t>
            </w:r>
          </w:p>
        </w:tc>
        <w:tc>
          <w:tcPr>
            <w:tcW w:w="1471" w:type="dxa"/>
          </w:tcPr>
          <w:p w14:paraId="212AA17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14.315**</w:t>
            </w:r>
          </w:p>
        </w:tc>
        <w:tc>
          <w:tcPr>
            <w:tcW w:w="1496" w:type="dxa"/>
          </w:tcPr>
          <w:p w14:paraId="7B8067E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23.670***</w:t>
            </w:r>
          </w:p>
        </w:tc>
        <w:tc>
          <w:tcPr>
            <w:tcW w:w="1471" w:type="dxa"/>
          </w:tcPr>
          <w:p w14:paraId="081F12C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496" w:type="dxa"/>
          </w:tcPr>
          <w:p w14:paraId="2B208B4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-0.807*</w:t>
            </w:r>
          </w:p>
        </w:tc>
        <w:tc>
          <w:tcPr>
            <w:tcW w:w="1471" w:type="dxa"/>
          </w:tcPr>
          <w:p w14:paraId="1A8AF51D"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0.466</w:t>
            </w:r>
          </w:p>
        </w:tc>
        <w:tc>
          <w:tcPr>
            <w:tcW w:w="252" w:type="dxa"/>
          </w:tcPr>
          <w:p w14:paraId="5FEA0B5C"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40AEEBF4" w14:textId="77777777" w:rsidTr="002F782A">
        <w:tc>
          <w:tcPr>
            <w:cnfStyle w:val="001000000000" w:firstRow="0" w:lastRow="0" w:firstColumn="1" w:lastColumn="0" w:oddVBand="0" w:evenVBand="0" w:oddHBand="0" w:evenHBand="0" w:firstRowFirstColumn="0" w:firstRowLastColumn="0" w:lastRowFirstColumn="0" w:lastRowLastColumn="0"/>
            <w:tcW w:w="2109" w:type="dxa"/>
          </w:tcPr>
          <w:p w14:paraId="3A63E1A3" w14:textId="77777777" w:rsidR="00D43014" w:rsidRPr="00C505F5" w:rsidRDefault="00D43014" w:rsidP="002F782A">
            <w:pPr>
              <w:pStyle w:val="ListParagraph"/>
              <w:ind w:left="0"/>
              <w:rPr>
                <w:rFonts w:cs="Times New Roman"/>
                <w:sz w:val="24"/>
                <w:szCs w:val="24"/>
              </w:rPr>
            </w:pPr>
          </w:p>
        </w:tc>
        <w:tc>
          <w:tcPr>
            <w:tcW w:w="1471" w:type="dxa"/>
          </w:tcPr>
          <w:p w14:paraId="24D3F033"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(3.837)</w:t>
            </w:r>
          </w:p>
        </w:tc>
        <w:tc>
          <w:tcPr>
            <w:tcW w:w="1471" w:type="dxa"/>
          </w:tcPr>
          <w:p w14:paraId="71B2A107"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(6.402)</w:t>
            </w:r>
          </w:p>
        </w:tc>
        <w:tc>
          <w:tcPr>
            <w:tcW w:w="1471" w:type="dxa"/>
          </w:tcPr>
          <w:p w14:paraId="6CD874D6"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(5.900)</w:t>
            </w:r>
          </w:p>
        </w:tc>
        <w:tc>
          <w:tcPr>
            <w:tcW w:w="1496" w:type="dxa"/>
          </w:tcPr>
          <w:p w14:paraId="47073A2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(8.312)</w:t>
            </w:r>
          </w:p>
        </w:tc>
        <w:tc>
          <w:tcPr>
            <w:tcW w:w="1471" w:type="dxa"/>
          </w:tcPr>
          <w:p w14:paraId="7B4E4F6A"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(0.006)</w:t>
            </w:r>
          </w:p>
        </w:tc>
        <w:tc>
          <w:tcPr>
            <w:tcW w:w="1496" w:type="dxa"/>
          </w:tcPr>
          <w:p w14:paraId="06499BA2"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(0.458)</w:t>
            </w:r>
          </w:p>
        </w:tc>
        <w:tc>
          <w:tcPr>
            <w:tcW w:w="1471" w:type="dxa"/>
          </w:tcPr>
          <w:p w14:paraId="50E44EB9"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(0.632)</w:t>
            </w:r>
          </w:p>
        </w:tc>
        <w:tc>
          <w:tcPr>
            <w:tcW w:w="252" w:type="dxa"/>
          </w:tcPr>
          <w:p w14:paraId="61ACE3E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258027FE"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tcPr>
          <w:p w14:paraId="119ED8D8"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Time trend</w:t>
            </w:r>
          </w:p>
        </w:tc>
        <w:tc>
          <w:tcPr>
            <w:tcW w:w="1471" w:type="dxa"/>
          </w:tcPr>
          <w:p w14:paraId="15F18AD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-0.005***</w:t>
            </w:r>
          </w:p>
        </w:tc>
        <w:tc>
          <w:tcPr>
            <w:tcW w:w="1471" w:type="dxa"/>
          </w:tcPr>
          <w:p w14:paraId="6E68590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471" w:type="dxa"/>
          </w:tcPr>
          <w:p w14:paraId="342C7C9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96" w:type="dxa"/>
          </w:tcPr>
          <w:p w14:paraId="29B3BFD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71" w:type="dxa"/>
          </w:tcPr>
          <w:p w14:paraId="6FD34390"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-0.005</w:t>
            </w:r>
          </w:p>
        </w:tc>
        <w:tc>
          <w:tcPr>
            <w:tcW w:w="1496" w:type="dxa"/>
          </w:tcPr>
          <w:p w14:paraId="16D3EED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471" w:type="dxa"/>
          </w:tcPr>
          <w:p w14:paraId="5B7D730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0.004***</w:t>
            </w:r>
          </w:p>
        </w:tc>
        <w:tc>
          <w:tcPr>
            <w:tcW w:w="252" w:type="dxa"/>
          </w:tcPr>
          <w:p w14:paraId="76B1FE9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4585AA05" w14:textId="77777777" w:rsidTr="002F782A">
        <w:tc>
          <w:tcPr>
            <w:cnfStyle w:val="001000000000" w:firstRow="0" w:lastRow="0" w:firstColumn="1" w:lastColumn="0" w:oddVBand="0" w:evenVBand="0" w:oddHBand="0" w:evenHBand="0" w:firstRowFirstColumn="0" w:firstRowLastColumn="0" w:lastRowFirstColumn="0" w:lastRowLastColumn="0"/>
            <w:tcW w:w="2109" w:type="dxa"/>
          </w:tcPr>
          <w:p w14:paraId="408B05FA" w14:textId="77777777" w:rsidR="00D43014" w:rsidRPr="00C505F5" w:rsidRDefault="00D43014" w:rsidP="002F782A">
            <w:pPr>
              <w:pStyle w:val="ListParagraph"/>
              <w:ind w:left="0"/>
              <w:rPr>
                <w:rFonts w:cs="Times New Roman"/>
                <w:sz w:val="24"/>
                <w:szCs w:val="24"/>
              </w:rPr>
            </w:pPr>
          </w:p>
        </w:tc>
        <w:tc>
          <w:tcPr>
            <w:tcW w:w="1471" w:type="dxa"/>
          </w:tcPr>
          <w:p w14:paraId="3071255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71" w:type="dxa"/>
          </w:tcPr>
          <w:p w14:paraId="7FB1FBBA"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71" w:type="dxa"/>
          </w:tcPr>
          <w:p w14:paraId="6A13043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96" w:type="dxa"/>
          </w:tcPr>
          <w:p w14:paraId="769545F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71" w:type="dxa"/>
          </w:tcPr>
          <w:p w14:paraId="57AAC17E"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(0.012)</w:t>
            </w:r>
          </w:p>
        </w:tc>
        <w:tc>
          <w:tcPr>
            <w:tcW w:w="1496" w:type="dxa"/>
          </w:tcPr>
          <w:p w14:paraId="4CCDDCC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71" w:type="dxa"/>
          </w:tcPr>
          <w:p w14:paraId="109CC978"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252" w:type="dxa"/>
          </w:tcPr>
          <w:p w14:paraId="69E9B30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460A8767"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tcPr>
          <w:p w14:paraId="33D86E8A"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Constant</w:t>
            </w:r>
          </w:p>
        </w:tc>
        <w:tc>
          <w:tcPr>
            <w:tcW w:w="1471" w:type="dxa"/>
          </w:tcPr>
          <w:p w14:paraId="11156D1E"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5.484***</w:t>
            </w:r>
          </w:p>
        </w:tc>
        <w:tc>
          <w:tcPr>
            <w:tcW w:w="1471" w:type="dxa"/>
          </w:tcPr>
          <w:p w14:paraId="7E07C83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4.288***</w:t>
            </w:r>
          </w:p>
        </w:tc>
        <w:tc>
          <w:tcPr>
            <w:tcW w:w="1471" w:type="dxa"/>
          </w:tcPr>
          <w:p w14:paraId="0B9938FB"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4.559***</w:t>
            </w:r>
          </w:p>
        </w:tc>
        <w:tc>
          <w:tcPr>
            <w:tcW w:w="1496" w:type="dxa"/>
          </w:tcPr>
          <w:p w14:paraId="102BBBD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4.470***</w:t>
            </w:r>
          </w:p>
        </w:tc>
        <w:tc>
          <w:tcPr>
            <w:tcW w:w="1471" w:type="dxa"/>
          </w:tcPr>
          <w:p w14:paraId="78D20BF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5.009***</w:t>
            </w:r>
          </w:p>
        </w:tc>
        <w:tc>
          <w:tcPr>
            <w:tcW w:w="1496" w:type="dxa"/>
          </w:tcPr>
          <w:p w14:paraId="2D21A294"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4.616***</w:t>
            </w:r>
          </w:p>
        </w:tc>
        <w:tc>
          <w:tcPr>
            <w:tcW w:w="1471" w:type="dxa"/>
          </w:tcPr>
          <w:p w14:paraId="7E66C2E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4.097***</w:t>
            </w:r>
          </w:p>
        </w:tc>
        <w:tc>
          <w:tcPr>
            <w:tcW w:w="252" w:type="dxa"/>
          </w:tcPr>
          <w:p w14:paraId="474F3E0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62702222" w14:textId="77777777" w:rsidTr="002F782A">
        <w:tc>
          <w:tcPr>
            <w:cnfStyle w:val="001000000000" w:firstRow="0" w:lastRow="0" w:firstColumn="1" w:lastColumn="0" w:oddVBand="0" w:evenVBand="0" w:oddHBand="0" w:evenHBand="0" w:firstRowFirstColumn="0" w:firstRowLastColumn="0" w:lastRowFirstColumn="0" w:lastRowLastColumn="0"/>
            <w:tcW w:w="2109" w:type="dxa"/>
          </w:tcPr>
          <w:p w14:paraId="1CF9487F" w14:textId="77777777" w:rsidR="00D43014" w:rsidRPr="00C505F5" w:rsidRDefault="00D43014" w:rsidP="002F782A">
            <w:pPr>
              <w:pStyle w:val="ListParagraph"/>
              <w:ind w:left="0"/>
              <w:rPr>
                <w:rFonts w:cs="Times New Roman"/>
                <w:sz w:val="24"/>
                <w:szCs w:val="24"/>
              </w:rPr>
            </w:pPr>
          </w:p>
        </w:tc>
        <w:tc>
          <w:tcPr>
            <w:tcW w:w="1471" w:type="dxa"/>
          </w:tcPr>
          <w:p w14:paraId="225EEDF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(0.093)</w:t>
            </w:r>
          </w:p>
        </w:tc>
        <w:tc>
          <w:tcPr>
            <w:tcW w:w="1471" w:type="dxa"/>
          </w:tcPr>
          <w:p w14:paraId="2EDB7DD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(0.073)</w:t>
            </w:r>
          </w:p>
        </w:tc>
        <w:tc>
          <w:tcPr>
            <w:tcW w:w="1471" w:type="dxa"/>
          </w:tcPr>
          <w:p w14:paraId="3578410E"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(0.046)</w:t>
            </w:r>
          </w:p>
        </w:tc>
        <w:tc>
          <w:tcPr>
            <w:tcW w:w="1496" w:type="dxa"/>
          </w:tcPr>
          <w:p w14:paraId="616491A6"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(0.039)</w:t>
            </w:r>
          </w:p>
        </w:tc>
        <w:tc>
          <w:tcPr>
            <w:tcW w:w="1471" w:type="dxa"/>
          </w:tcPr>
          <w:p w14:paraId="6A3465C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(0.774)</w:t>
            </w:r>
          </w:p>
        </w:tc>
        <w:tc>
          <w:tcPr>
            <w:tcW w:w="1496" w:type="dxa"/>
          </w:tcPr>
          <w:p w14:paraId="77320A7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(0.010)</w:t>
            </w:r>
          </w:p>
        </w:tc>
        <w:tc>
          <w:tcPr>
            <w:tcW w:w="1471" w:type="dxa"/>
          </w:tcPr>
          <w:p w14:paraId="55C767E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(0.034)</w:t>
            </w:r>
          </w:p>
        </w:tc>
        <w:tc>
          <w:tcPr>
            <w:tcW w:w="252" w:type="dxa"/>
          </w:tcPr>
          <w:p w14:paraId="5DE983B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6520DA62"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tcBorders>
              <w:bottom w:val="single" w:sz="4" w:space="0" w:color="auto"/>
            </w:tcBorders>
          </w:tcPr>
          <w:p w14:paraId="02DA53D6" w14:textId="77777777" w:rsidR="00D43014" w:rsidRPr="00C505F5" w:rsidRDefault="00D43014" w:rsidP="002F782A">
            <w:pPr>
              <w:pStyle w:val="ListParagraph"/>
              <w:ind w:left="0"/>
              <w:rPr>
                <w:rFonts w:cs="Times New Roman"/>
                <w:sz w:val="24"/>
                <w:szCs w:val="24"/>
              </w:rPr>
            </w:pPr>
          </w:p>
        </w:tc>
        <w:tc>
          <w:tcPr>
            <w:tcW w:w="1471" w:type="dxa"/>
            <w:tcBorders>
              <w:bottom w:val="single" w:sz="4" w:space="0" w:color="auto"/>
            </w:tcBorders>
          </w:tcPr>
          <w:p w14:paraId="0CCEF84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71" w:type="dxa"/>
            <w:tcBorders>
              <w:bottom w:val="single" w:sz="4" w:space="0" w:color="auto"/>
            </w:tcBorders>
          </w:tcPr>
          <w:p w14:paraId="7B17BD3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71" w:type="dxa"/>
            <w:tcBorders>
              <w:bottom w:val="single" w:sz="4" w:space="0" w:color="auto"/>
            </w:tcBorders>
          </w:tcPr>
          <w:p w14:paraId="58C20C3B"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96" w:type="dxa"/>
            <w:tcBorders>
              <w:bottom w:val="single" w:sz="4" w:space="0" w:color="auto"/>
            </w:tcBorders>
          </w:tcPr>
          <w:p w14:paraId="275C25B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71" w:type="dxa"/>
            <w:tcBorders>
              <w:bottom w:val="single" w:sz="4" w:space="0" w:color="auto"/>
            </w:tcBorders>
          </w:tcPr>
          <w:p w14:paraId="151F1DF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96" w:type="dxa"/>
            <w:tcBorders>
              <w:bottom w:val="single" w:sz="4" w:space="0" w:color="auto"/>
            </w:tcBorders>
          </w:tcPr>
          <w:p w14:paraId="65CC7F30"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71" w:type="dxa"/>
            <w:tcBorders>
              <w:bottom w:val="single" w:sz="4" w:space="0" w:color="auto"/>
            </w:tcBorders>
          </w:tcPr>
          <w:p w14:paraId="7138501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252" w:type="dxa"/>
            <w:tcBorders>
              <w:bottom w:val="single" w:sz="4" w:space="0" w:color="auto"/>
            </w:tcBorders>
          </w:tcPr>
          <w:p w14:paraId="18649124"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3A4A14FA" w14:textId="77777777" w:rsidTr="002F782A">
        <w:tc>
          <w:tcPr>
            <w:cnfStyle w:val="001000000000" w:firstRow="0" w:lastRow="0" w:firstColumn="1" w:lastColumn="0" w:oddVBand="0" w:evenVBand="0" w:oddHBand="0" w:evenHBand="0" w:firstRowFirstColumn="0" w:firstRowLastColumn="0" w:lastRowFirstColumn="0" w:lastRowLastColumn="0"/>
            <w:tcW w:w="2109" w:type="dxa"/>
            <w:tcBorders>
              <w:top w:val="single" w:sz="4" w:space="0" w:color="auto"/>
            </w:tcBorders>
          </w:tcPr>
          <w:p w14:paraId="3866C64E"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Observations</w:t>
            </w:r>
          </w:p>
        </w:tc>
        <w:tc>
          <w:tcPr>
            <w:tcW w:w="1471" w:type="dxa"/>
            <w:tcBorders>
              <w:top w:val="single" w:sz="4" w:space="0" w:color="auto"/>
            </w:tcBorders>
          </w:tcPr>
          <w:p w14:paraId="59D27CF8"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70</w:t>
            </w:r>
          </w:p>
        </w:tc>
        <w:tc>
          <w:tcPr>
            <w:tcW w:w="1471" w:type="dxa"/>
            <w:tcBorders>
              <w:top w:val="single" w:sz="4" w:space="0" w:color="auto"/>
            </w:tcBorders>
          </w:tcPr>
          <w:p w14:paraId="7B111FB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471" w:type="dxa"/>
            <w:tcBorders>
              <w:top w:val="single" w:sz="4" w:space="0" w:color="auto"/>
            </w:tcBorders>
          </w:tcPr>
          <w:p w14:paraId="5AFB9A3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496" w:type="dxa"/>
            <w:tcBorders>
              <w:top w:val="single" w:sz="4" w:space="0" w:color="auto"/>
            </w:tcBorders>
          </w:tcPr>
          <w:p w14:paraId="0157C989"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471" w:type="dxa"/>
            <w:tcBorders>
              <w:top w:val="single" w:sz="4" w:space="0" w:color="auto"/>
            </w:tcBorders>
          </w:tcPr>
          <w:p w14:paraId="1FDB3DE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130</w:t>
            </w:r>
          </w:p>
        </w:tc>
        <w:tc>
          <w:tcPr>
            <w:tcW w:w="1496" w:type="dxa"/>
            <w:tcBorders>
              <w:top w:val="single" w:sz="4" w:space="0" w:color="auto"/>
            </w:tcBorders>
          </w:tcPr>
          <w:p w14:paraId="38E36692"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471" w:type="dxa"/>
            <w:tcBorders>
              <w:top w:val="single" w:sz="4" w:space="0" w:color="auto"/>
            </w:tcBorders>
          </w:tcPr>
          <w:p w14:paraId="06E2BA3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180</w:t>
            </w:r>
          </w:p>
        </w:tc>
        <w:tc>
          <w:tcPr>
            <w:tcW w:w="252" w:type="dxa"/>
            <w:tcBorders>
              <w:top w:val="single" w:sz="4" w:space="0" w:color="auto"/>
            </w:tcBorders>
          </w:tcPr>
          <w:p w14:paraId="430F3AA8"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519D16F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tcBorders>
              <w:bottom w:val="single" w:sz="4" w:space="0" w:color="auto"/>
            </w:tcBorders>
          </w:tcPr>
          <w:p w14:paraId="47137B69"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R-squared</w:t>
            </w:r>
          </w:p>
        </w:tc>
        <w:tc>
          <w:tcPr>
            <w:tcW w:w="1471" w:type="dxa"/>
            <w:tcBorders>
              <w:bottom w:val="single" w:sz="4" w:space="0" w:color="auto"/>
            </w:tcBorders>
          </w:tcPr>
          <w:p w14:paraId="517234A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0.747</w:t>
            </w:r>
          </w:p>
        </w:tc>
        <w:tc>
          <w:tcPr>
            <w:tcW w:w="1471" w:type="dxa"/>
            <w:tcBorders>
              <w:bottom w:val="single" w:sz="4" w:space="0" w:color="auto"/>
            </w:tcBorders>
          </w:tcPr>
          <w:p w14:paraId="255AA56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71" w:type="dxa"/>
            <w:tcBorders>
              <w:bottom w:val="single" w:sz="4" w:space="0" w:color="auto"/>
            </w:tcBorders>
          </w:tcPr>
          <w:p w14:paraId="2188969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96" w:type="dxa"/>
            <w:tcBorders>
              <w:bottom w:val="single" w:sz="4" w:space="0" w:color="auto"/>
            </w:tcBorders>
          </w:tcPr>
          <w:p w14:paraId="1005285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71" w:type="dxa"/>
            <w:tcBorders>
              <w:bottom w:val="single" w:sz="4" w:space="0" w:color="auto"/>
            </w:tcBorders>
          </w:tcPr>
          <w:p w14:paraId="30E89DFE"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96" w:type="dxa"/>
            <w:tcBorders>
              <w:bottom w:val="single" w:sz="4" w:space="0" w:color="auto"/>
            </w:tcBorders>
          </w:tcPr>
          <w:p w14:paraId="6701E8B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0.207</w:t>
            </w:r>
          </w:p>
        </w:tc>
        <w:tc>
          <w:tcPr>
            <w:tcW w:w="1471" w:type="dxa"/>
            <w:tcBorders>
              <w:bottom w:val="single" w:sz="4" w:space="0" w:color="auto"/>
            </w:tcBorders>
          </w:tcPr>
          <w:p w14:paraId="4F48E32F"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0.756</w:t>
            </w:r>
          </w:p>
        </w:tc>
        <w:tc>
          <w:tcPr>
            <w:tcW w:w="252" w:type="dxa"/>
            <w:tcBorders>
              <w:bottom w:val="single" w:sz="4" w:space="0" w:color="auto"/>
            </w:tcBorders>
          </w:tcPr>
          <w:p w14:paraId="3A4058D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73E2FEDB" w14:textId="77777777" w:rsidTr="002F782A">
        <w:tc>
          <w:tcPr>
            <w:cnfStyle w:val="001000000000" w:firstRow="0" w:lastRow="0" w:firstColumn="1" w:lastColumn="0" w:oddVBand="0" w:evenVBand="0" w:oddHBand="0" w:evenHBand="0" w:firstRowFirstColumn="0" w:firstRowLastColumn="0" w:lastRowFirstColumn="0" w:lastRowLastColumn="0"/>
            <w:tcW w:w="12708" w:type="dxa"/>
            <w:gridSpan w:val="9"/>
            <w:tcBorders>
              <w:top w:val="single" w:sz="4" w:space="0" w:color="auto"/>
            </w:tcBorders>
          </w:tcPr>
          <w:p w14:paraId="12878416"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Robust standard errors in parentheses; *** p&lt;0.01, ** p&lt;0.05, * p&lt;0.1</w:t>
            </w:r>
          </w:p>
        </w:tc>
      </w:tr>
    </w:tbl>
    <w:p w14:paraId="6658009B" w14:textId="77777777" w:rsidR="00D43014" w:rsidRPr="00C505F5" w:rsidRDefault="00D43014" w:rsidP="00D43014">
      <w:pPr>
        <w:spacing w:after="0"/>
        <w:rPr>
          <w:rFonts w:cs="Times New Roman"/>
          <w:b/>
          <w:sz w:val="28"/>
        </w:rPr>
      </w:pPr>
    </w:p>
    <w:tbl>
      <w:tblPr>
        <w:tblStyle w:val="PlainTable41"/>
        <w:tblW w:w="0" w:type="auto"/>
        <w:tblLayout w:type="fixed"/>
        <w:tblLook w:val="04A0" w:firstRow="1" w:lastRow="0" w:firstColumn="1" w:lastColumn="0" w:noHBand="0" w:noVBand="1"/>
      </w:tblPr>
      <w:tblGrid>
        <w:gridCol w:w="2169"/>
        <w:gridCol w:w="1476"/>
        <w:gridCol w:w="1476"/>
        <w:gridCol w:w="1443"/>
        <w:gridCol w:w="1443"/>
        <w:gridCol w:w="1530"/>
        <w:gridCol w:w="1731"/>
      </w:tblGrid>
      <w:tr w:rsidR="00D43014" w:rsidRPr="00C505F5" w14:paraId="2D473874"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tcBorders>
          </w:tcPr>
          <w:p w14:paraId="591C2D9F" w14:textId="77777777" w:rsidR="00D43014" w:rsidRPr="00C505F5" w:rsidRDefault="00D43014" w:rsidP="002F782A">
            <w:pPr>
              <w:pStyle w:val="ListParagraph"/>
              <w:ind w:left="0"/>
              <w:rPr>
                <w:rFonts w:cs="Times New Roman"/>
                <w:sz w:val="24"/>
                <w:szCs w:val="24"/>
              </w:rPr>
            </w:pPr>
          </w:p>
        </w:tc>
        <w:tc>
          <w:tcPr>
            <w:tcW w:w="1476" w:type="dxa"/>
            <w:tcBorders>
              <w:top w:val="single" w:sz="4" w:space="0" w:color="auto"/>
            </w:tcBorders>
          </w:tcPr>
          <w:p w14:paraId="290F1B82"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(8)</w:t>
            </w:r>
          </w:p>
        </w:tc>
        <w:tc>
          <w:tcPr>
            <w:tcW w:w="1476" w:type="dxa"/>
            <w:tcBorders>
              <w:top w:val="single" w:sz="4" w:space="0" w:color="auto"/>
            </w:tcBorders>
          </w:tcPr>
          <w:p w14:paraId="439F0F89"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(9)</w:t>
            </w:r>
          </w:p>
        </w:tc>
        <w:tc>
          <w:tcPr>
            <w:tcW w:w="1443" w:type="dxa"/>
            <w:tcBorders>
              <w:top w:val="single" w:sz="4" w:space="0" w:color="auto"/>
            </w:tcBorders>
          </w:tcPr>
          <w:p w14:paraId="4823D548"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(10)</w:t>
            </w:r>
          </w:p>
        </w:tc>
        <w:tc>
          <w:tcPr>
            <w:tcW w:w="1443" w:type="dxa"/>
            <w:tcBorders>
              <w:top w:val="single" w:sz="4" w:space="0" w:color="auto"/>
            </w:tcBorders>
          </w:tcPr>
          <w:p w14:paraId="21BA152F"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(11)</w:t>
            </w:r>
          </w:p>
        </w:tc>
        <w:tc>
          <w:tcPr>
            <w:tcW w:w="1530" w:type="dxa"/>
            <w:tcBorders>
              <w:top w:val="single" w:sz="4" w:space="0" w:color="auto"/>
            </w:tcBorders>
          </w:tcPr>
          <w:p w14:paraId="7ACB605F"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(12)</w:t>
            </w:r>
          </w:p>
        </w:tc>
        <w:tc>
          <w:tcPr>
            <w:tcW w:w="1731" w:type="dxa"/>
            <w:tcBorders>
              <w:top w:val="single" w:sz="4" w:space="0" w:color="auto"/>
            </w:tcBorders>
          </w:tcPr>
          <w:p w14:paraId="673D1478"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(13)</w:t>
            </w:r>
          </w:p>
        </w:tc>
      </w:tr>
      <w:tr w:rsidR="00D43014" w:rsidRPr="00C505F5" w14:paraId="140A0B89"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bottom w:val="single" w:sz="4" w:space="0" w:color="auto"/>
            </w:tcBorders>
          </w:tcPr>
          <w:p w14:paraId="204D9375"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VARIABLES</w:t>
            </w:r>
          </w:p>
        </w:tc>
        <w:tc>
          <w:tcPr>
            <w:tcW w:w="1476" w:type="dxa"/>
            <w:tcBorders>
              <w:bottom w:val="single" w:sz="4" w:space="0" w:color="auto"/>
            </w:tcBorders>
          </w:tcPr>
          <w:p w14:paraId="5B1EB6C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Bahrain</w:t>
            </w:r>
          </w:p>
        </w:tc>
        <w:tc>
          <w:tcPr>
            <w:tcW w:w="1476" w:type="dxa"/>
            <w:tcBorders>
              <w:bottom w:val="single" w:sz="4" w:space="0" w:color="auto"/>
            </w:tcBorders>
          </w:tcPr>
          <w:p w14:paraId="445626B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Brunei</w:t>
            </w:r>
          </w:p>
        </w:tc>
        <w:tc>
          <w:tcPr>
            <w:tcW w:w="1443" w:type="dxa"/>
            <w:tcBorders>
              <w:bottom w:val="single" w:sz="4" w:space="0" w:color="auto"/>
            </w:tcBorders>
          </w:tcPr>
          <w:p w14:paraId="3818061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Kazakhstan</w:t>
            </w:r>
          </w:p>
        </w:tc>
        <w:tc>
          <w:tcPr>
            <w:tcW w:w="1443" w:type="dxa"/>
            <w:tcBorders>
              <w:bottom w:val="single" w:sz="4" w:space="0" w:color="auto"/>
            </w:tcBorders>
          </w:tcPr>
          <w:p w14:paraId="0CAE380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Qatar</w:t>
            </w:r>
          </w:p>
        </w:tc>
        <w:tc>
          <w:tcPr>
            <w:tcW w:w="1530" w:type="dxa"/>
            <w:tcBorders>
              <w:bottom w:val="single" w:sz="4" w:space="0" w:color="auto"/>
            </w:tcBorders>
          </w:tcPr>
          <w:p w14:paraId="12A8740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Russia</w:t>
            </w:r>
          </w:p>
        </w:tc>
        <w:tc>
          <w:tcPr>
            <w:tcW w:w="1731" w:type="dxa"/>
            <w:tcBorders>
              <w:bottom w:val="single" w:sz="4" w:space="0" w:color="auto"/>
            </w:tcBorders>
          </w:tcPr>
          <w:p w14:paraId="63782AAD"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Saudi Arabia</w:t>
            </w:r>
          </w:p>
        </w:tc>
      </w:tr>
      <w:tr w:rsidR="00D43014" w:rsidRPr="00C505F5" w14:paraId="643B9185" w14:textId="77777777" w:rsidTr="002F782A">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tcBorders>
          </w:tcPr>
          <w:p w14:paraId="606954B1" w14:textId="77777777" w:rsidR="00D43014" w:rsidRPr="00C505F5" w:rsidRDefault="00D43014" w:rsidP="002F782A">
            <w:pPr>
              <w:pStyle w:val="ListParagraph"/>
              <w:ind w:left="0"/>
              <w:rPr>
                <w:rFonts w:cs="Times New Roman"/>
                <w:sz w:val="24"/>
                <w:szCs w:val="24"/>
              </w:rPr>
            </w:pPr>
          </w:p>
        </w:tc>
        <w:tc>
          <w:tcPr>
            <w:tcW w:w="1476" w:type="dxa"/>
            <w:tcBorders>
              <w:top w:val="single" w:sz="4" w:space="0" w:color="auto"/>
            </w:tcBorders>
          </w:tcPr>
          <w:p w14:paraId="43E306E8"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76" w:type="dxa"/>
            <w:tcBorders>
              <w:top w:val="single" w:sz="4" w:space="0" w:color="auto"/>
            </w:tcBorders>
          </w:tcPr>
          <w:p w14:paraId="778CCEB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43" w:type="dxa"/>
            <w:tcBorders>
              <w:top w:val="single" w:sz="4" w:space="0" w:color="auto"/>
            </w:tcBorders>
          </w:tcPr>
          <w:p w14:paraId="6FE42E68"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43" w:type="dxa"/>
            <w:tcBorders>
              <w:top w:val="single" w:sz="4" w:space="0" w:color="auto"/>
            </w:tcBorders>
          </w:tcPr>
          <w:p w14:paraId="1FD52E77"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530" w:type="dxa"/>
            <w:tcBorders>
              <w:top w:val="single" w:sz="4" w:space="0" w:color="auto"/>
            </w:tcBorders>
          </w:tcPr>
          <w:p w14:paraId="5064473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731" w:type="dxa"/>
            <w:tcBorders>
              <w:top w:val="single" w:sz="4" w:space="0" w:color="auto"/>
            </w:tcBorders>
          </w:tcPr>
          <w:p w14:paraId="320E28A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109C74C7"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Pr>
          <w:p w14:paraId="5C4A9440" w14:textId="77777777" w:rsidR="00D43014" w:rsidRPr="00C505F5" w:rsidRDefault="00D43014" w:rsidP="002F782A">
            <w:pPr>
              <w:pStyle w:val="ListParagraph"/>
              <w:ind w:left="0"/>
              <w:rPr>
                <w:rFonts w:cs="Times New Roman"/>
                <w:sz w:val="24"/>
                <w:szCs w:val="24"/>
              </w:rPr>
            </w:pPr>
            <m:oMathPara>
              <m:oMathParaPr>
                <m:jc m:val="left"/>
              </m:oMathParaPr>
              <m:oMath>
                <m:r>
                  <m:rPr>
                    <m:sty m:val="bi"/>
                  </m:rPr>
                  <w:rPr>
                    <w:rFonts w:ascii="Cambria Math" w:hAnsi="Cambria Math" w:cs="Times New Roman"/>
                    <w:sz w:val="24"/>
                    <w:szCs w:val="24"/>
                  </w:rPr>
                  <m:t>∆Res/GD</m:t>
                </m:r>
                <m:r>
                  <m:rPr>
                    <m:sty m:val="bi"/>
                  </m:rPr>
                  <w:rPr>
                    <w:rFonts w:ascii="Cambria Math" w:hAnsi="Cambria Math" w:cs="Cambria Math"/>
                    <w:sz w:val="24"/>
                    <w:szCs w:val="24"/>
                  </w:rPr>
                  <m:t>P</m:t>
                </m:r>
              </m:oMath>
            </m:oMathPara>
          </w:p>
        </w:tc>
        <w:tc>
          <w:tcPr>
            <w:tcW w:w="1476" w:type="dxa"/>
          </w:tcPr>
          <w:p w14:paraId="34263B8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-1.269**</w:t>
            </w:r>
          </w:p>
        </w:tc>
        <w:tc>
          <w:tcPr>
            <w:tcW w:w="1476" w:type="dxa"/>
          </w:tcPr>
          <w:p w14:paraId="39C6B9E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2.004</w:t>
            </w:r>
          </w:p>
        </w:tc>
        <w:tc>
          <w:tcPr>
            <w:tcW w:w="1443" w:type="dxa"/>
          </w:tcPr>
          <w:p w14:paraId="17D6C98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-2.562**</w:t>
            </w:r>
          </w:p>
        </w:tc>
        <w:tc>
          <w:tcPr>
            <w:tcW w:w="1443" w:type="dxa"/>
          </w:tcPr>
          <w:p w14:paraId="25FE2E7D"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-1.670*</w:t>
            </w:r>
          </w:p>
        </w:tc>
        <w:tc>
          <w:tcPr>
            <w:tcW w:w="1530" w:type="dxa"/>
          </w:tcPr>
          <w:p w14:paraId="234A413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3.071***</w:t>
            </w:r>
          </w:p>
        </w:tc>
        <w:tc>
          <w:tcPr>
            <w:tcW w:w="1731" w:type="dxa"/>
          </w:tcPr>
          <w:p w14:paraId="72B47940"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-1.396***</w:t>
            </w:r>
          </w:p>
        </w:tc>
      </w:tr>
      <w:tr w:rsidR="00D43014" w:rsidRPr="00C505F5" w14:paraId="0FB8FE31" w14:textId="77777777" w:rsidTr="002F782A">
        <w:tc>
          <w:tcPr>
            <w:cnfStyle w:val="001000000000" w:firstRow="0" w:lastRow="0" w:firstColumn="1" w:lastColumn="0" w:oddVBand="0" w:evenVBand="0" w:oddHBand="0" w:evenHBand="0" w:firstRowFirstColumn="0" w:firstRowLastColumn="0" w:lastRowFirstColumn="0" w:lastRowLastColumn="0"/>
            <w:tcW w:w="2169" w:type="dxa"/>
          </w:tcPr>
          <w:p w14:paraId="5D38B8C1" w14:textId="77777777" w:rsidR="00D43014" w:rsidRPr="00C505F5" w:rsidRDefault="00D43014" w:rsidP="002F782A">
            <w:pPr>
              <w:pStyle w:val="ListParagraph"/>
              <w:ind w:left="0"/>
              <w:rPr>
                <w:rFonts w:cs="Times New Roman"/>
                <w:sz w:val="24"/>
                <w:szCs w:val="24"/>
              </w:rPr>
            </w:pPr>
          </w:p>
        </w:tc>
        <w:tc>
          <w:tcPr>
            <w:tcW w:w="1476" w:type="dxa"/>
          </w:tcPr>
          <w:p w14:paraId="6414A25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(0.526)</w:t>
            </w:r>
          </w:p>
        </w:tc>
        <w:tc>
          <w:tcPr>
            <w:tcW w:w="1476" w:type="dxa"/>
          </w:tcPr>
          <w:p w14:paraId="06A603B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(2.074)</w:t>
            </w:r>
          </w:p>
        </w:tc>
        <w:tc>
          <w:tcPr>
            <w:tcW w:w="1443" w:type="dxa"/>
          </w:tcPr>
          <w:p w14:paraId="29E81D01"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(1.163)</w:t>
            </w:r>
          </w:p>
        </w:tc>
        <w:tc>
          <w:tcPr>
            <w:tcW w:w="1443" w:type="dxa"/>
          </w:tcPr>
          <w:p w14:paraId="48AD6D5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(0.897)</w:t>
            </w:r>
          </w:p>
        </w:tc>
        <w:tc>
          <w:tcPr>
            <w:tcW w:w="1530" w:type="dxa"/>
          </w:tcPr>
          <w:p w14:paraId="404811A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(1.109)</w:t>
            </w:r>
          </w:p>
        </w:tc>
        <w:tc>
          <w:tcPr>
            <w:tcW w:w="1731" w:type="dxa"/>
          </w:tcPr>
          <w:p w14:paraId="27DACB61"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(0.181)</w:t>
            </w:r>
          </w:p>
        </w:tc>
      </w:tr>
      <w:tr w:rsidR="00D43014" w:rsidRPr="00C505F5" w14:paraId="355C19E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Pr>
          <w:p w14:paraId="46FC48E2"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Time trend</w:t>
            </w:r>
          </w:p>
        </w:tc>
        <w:tc>
          <w:tcPr>
            <w:tcW w:w="1476" w:type="dxa"/>
          </w:tcPr>
          <w:p w14:paraId="5784F0F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0.006***</w:t>
            </w:r>
          </w:p>
        </w:tc>
        <w:tc>
          <w:tcPr>
            <w:tcW w:w="1476" w:type="dxa"/>
          </w:tcPr>
          <w:p w14:paraId="221C74DE"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443" w:type="dxa"/>
          </w:tcPr>
          <w:p w14:paraId="38BC334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443" w:type="dxa"/>
          </w:tcPr>
          <w:p w14:paraId="2708015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530" w:type="dxa"/>
          </w:tcPr>
          <w:p w14:paraId="7928123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0.003***</w:t>
            </w:r>
          </w:p>
        </w:tc>
        <w:tc>
          <w:tcPr>
            <w:tcW w:w="1731" w:type="dxa"/>
          </w:tcPr>
          <w:p w14:paraId="114F96E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r>
      <w:tr w:rsidR="00D43014" w:rsidRPr="00C505F5" w14:paraId="229D509B" w14:textId="77777777" w:rsidTr="002F782A">
        <w:tc>
          <w:tcPr>
            <w:cnfStyle w:val="001000000000" w:firstRow="0" w:lastRow="0" w:firstColumn="1" w:lastColumn="0" w:oddVBand="0" w:evenVBand="0" w:oddHBand="0" w:evenHBand="0" w:firstRowFirstColumn="0" w:firstRowLastColumn="0" w:lastRowFirstColumn="0" w:lastRowLastColumn="0"/>
            <w:tcW w:w="2169" w:type="dxa"/>
          </w:tcPr>
          <w:p w14:paraId="295B2098" w14:textId="77777777" w:rsidR="00D43014" w:rsidRPr="00C505F5" w:rsidRDefault="00D43014" w:rsidP="002F782A">
            <w:pPr>
              <w:pStyle w:val="ListParagraph"/>
              <w:ind w:left="0"/>
              <w:rPr>
                <w:rFonts w:cs="Times New Roman"/>
                <w:sz w:val="24"/>
                <w:szCs w:val="24"/>
              </w:rPr>
            </w:pPr>
          </w:p>
        </w:tc>
        <w:tc>
          <w:tcPr>
            <w:tcW w:w="1476" w:type="dxa"/>
          </w:tcPr>
          <w:p w14:paraId="27FE20FE"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476" w:type="dxa"/>
          </w:tcPr>
          <w:p w14:paraId="5B446579"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43" w:type="dxa"/>
          </w:tcPr>
          <w:p w14:paraId="69F5AB72"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43" w:type="dxa"/>
          </w:tcPr>
          <w:p w14:paraId="10BF221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530" w:type="dxa"/>
          </w:tcPr>
          <w:p w14:paraId="0F8C630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731" w:type="dxa"/>
          </w:tcPr>
          <w:p w14:paraId="17BF57F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r>
      <w:tr w:rsidR="00D43014" w:rsidRPr="00C505F5" w14:paraId="18D012D3"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Pr>
          <w:p w14:paraId="082A098D"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Constant</w:t>
            </w:r>
          </w:p>
        </w:tc>
        <w:tc>
          <w:tcPr>
            <w:tcW w:w="1476" w:type="dxa"/>
          </w:tcPr>
          <w:p w14:paraId="4FBD256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3.370***</w:t>
            </w:r>
          </w:p>
        </w:tc>
        <w:tc>
          <w:tcPr>
            <w:tcW w:w="1476" w:type="dxa"/>
          </w:tcPr>
          <w:p w14:paraId="2650258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4.439***</w:t>
            </w:r>
          </w:p>
        </w:tc>
        <w:tc>
          <w:tcPr>
            <w:tcW w:w="1443" w:type="dxa"/>
          </w:tcPr>
          <w:p w14:paraId="6BBC685C"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4.343***</w:t>
            </w:r>
          </w:p>
        </w:tc>
        <w:tc>
          <w:tcPr>
            <w:tcW w:w="1443" w:type="dxa"/>
          </w:tcPr>
          <w:p w14:paraId="35FC73BB"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4.250***</w:t>
            </w:r>
          </w:p>
        </w:tc>
        <w:tc>
          <w:tcPr>
            <w:tcW w:w="1530" w:type="dxa"/>
          </w:tcPr>
          <w:p w14:paraId="30F08C6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4.045***</w:t>
            </w:r>
          </w:p>
        </w:tc>
        <w:tc>
          <w:tcPr>
            <w:tcW w:w="1731" w:type="dxa"/>
          </w:tcPr>
          <w:p w14:paraId="1746F92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4.555***</w:t>
            </w:r>
          </w:p>
        </w:tc>
      </w:tr>
      <w:tr w:rsidR="00D43014" w:rsidRPr="00C505F5" w14:paraId="44FEDD55" w14:textId="77777777" w:rsidTr="002F782A">
        <w:tc>
          <w:tcPr>
            <w:cnfStyle w:val="001000000000" w:firstRow="0" w:lastRow="0" w:firstColumn="1" w:lastColumn="0" w:oddVBand="0" w:evenVBand="0" w:oddHBand="0" w:evenHBand="0" w:firstRowFirstColumn="0" w:firstRowLastColumn="0" w:lastRowFirstColumn="0" w:lastRowLastColumn="0"/>
            <w:tcW w:w="2169" w:type="dxa"/>
          </w:tcPr>
          <w:p w14:paraId="016EE619" w14:textId="77777777" w:rsidR="00D43014" w:rsidRPr="00C505F5" w:rsidRDefault="00D43014" w:rsidP="002F782A">
            <w:pPr>
              <w:pStyle w:val="ListParagraph"/>
              <w:ind w:left="0"/>
              <w:rPr>
                <w:rFonts w:cs="Times New Roman"/>
                <w:sz w:val="24"/>
                <w:szCs w:val="24"/>
              </w:rPr>
            </w:pPr>
          </w:p>
        </w:tc>
        <w:tc>
          <w:tcPr>
            <w:tcW w:w="1476" w:type="dxa"/>
          </w:tcPr>
          <w:p w14:paraId="167DFE76"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(0.386)</w:t>
            </w:r>
          </w:p>
        </w:tc>
        <w:tc>
          <w:tcPr>
            <w:tcW w:w="1476" w:type="dxa"/>
          </w:tcPr>
          <w:p w14:paraId="7A97C33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(0.020)</w:t>
            </w:r>
          </w:p>
        </w:tc>
        <w:tc>
          <w:tcPr>
            <w:tcW w:w="1443" w:type="dxa"/>
          </w:tcPr>
          <w:p w14:paraId="2B2A06B7"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(0.026)</w:t>
            </w:r>
          </w:p>
        </w:tc>
        <w:tc>
          <w:tcPr>
            <w:tcW w:w="1443" w:type="dxa"/>
          </w:tcPr>
          <w:p w14:paraId="06506CF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(0.114)</w:t>
            </w:r>
          </w:p>
        </w:tc>
        <w:tc>
          <w:tcPr>
            <w:tcW w:w="1530" w:type="dxa"/>
          </w:tcPr>
          <w:p w14:paraId="56718C22"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(0.042)</w:t>
            </w:r>
          </w:p>
        </w:tc>
        <w:tc>
          <w:tcPr>
            <w:tcW w:w="1731" w:type="dxa"/>
          </w:tcPr>
          <w:p w14:paraId="5D19E1F8"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(0.054)</w:t>
            </w:r>
          </w:p>
        </w:tc>
      </w:tr>
      <w:tr w:rsidR="00D43014" w:rsidRPr="00C505F5" w14:paraId="5E0D5E4E"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bottom w:val="single" w:sz="4" w:space="0" w:color="auto"/>
            </w:tcBorders>
          </w:tcPr>
          <w:p w14:paraId="007DD17C" w14:textId="77777777" w:rsidR="00D43014" w:rsidRPr="00C505F5" w:rsidRDefault="00D43014" w:rsidP="002F782A">
            <w:pPr>
              <w:pStyle w:val="ListParagraph"/>
              <w:ind w:left="0"/>
              <w:rPr>
                <w:rFonts w:cs="Times New Roman"/>
                <w:sz w:val="24"/>
                <w:szCs w:val="24"/>
              </w:rPr>
            </w:pPr>
          </w:p>
        </w:tc>
        <w:tc>
          <w:tcPr>
            <w:tcW w:w="1476" w:type="dxa"/>
            <w:tcBorders>
              <w:bottom w:val="single" w:sz="4" w:space="0" w:color="auto"/>
            </w:tcBorders>
          </w:tcPr>
          <w:p w14:paraId="75DA401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76" w:type="dxa"/>
            <w:tcBorders>
              <w:bottom w:val="single" w:sz="4" w:space="0" w:color="auto"/>
            </w:tcBorders>
          </w:tcPr>
          <w:p w14:paraId="50D9751E"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43" w:type="dxa"/>
            <w:tcBorders>
              <w:bottom w:val="single" w:sz="4" w:space="0" w:color="auto"/>
            </w:tcBorders>
          </w:tcPr>
          <w:p w14:paraId="416EDF4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43" w:type="dxa"/>
            <w:tcBorders>
              <w:bottom w:val="single" w:sz="4" w:space="0" w:color="auto"/>
            </w:tcBorders>
          </w:tcPr>
          <w:p w14:paraId="5578AFC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0" w:type="dxa"/>
            <w:tcBorders>
              <w:bottom w:val="single" w:sz="4" w:space="0" w:color="auto"/>
            </w:tcBorders>
          </w:tcPr>
          <w:p w14:paraId="11FBA72E"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731" w:type="dxa"/>
            <w:tcBorders>
              <w:bottom w:val="single" w:sz="4" w:space="0" w:color="auto"/>
            </w:tcBorders>
          </w:tcPr>
          <w:p w14:paraId="7E49534B"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3E21E19E" w14:textId="77777777" w:rsidTr="002F782A">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tcBorders>
          </w:tcPr>
          <w:p w14:paraId="41E7AC21"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Observations</w:t>
            </w:r>
          </w:p>
        </w:tc>
        <w:tc>
          <w:tcPr>
            <w:tcW w:w="1476" w:type="dxa"/>
            <w:tcBorders>
              <w:top w:val="single" w:sz="4" w:space="0" w:color="auto"/>
            </w:tcBorders>
          </w:tcPr>
          <w:p w14:paraId="6FC3470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19</w:t>
            </w:r>
          </w:p>
        </w:tc>
        <w:tc>
          <w:tcPr>
            <w:tcW w:w="1476" w:type="dxa"/>
            <w:tcBorders>
              <w:top w:val="single" w:sz="4" w:space="0" w:color="auto"/>
            </w:tcBorders>
          </w:tcPr>
          <w:p w14:paraId="3187C31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142</w:t>
            </w:r>
          </w:p>
        </w:tc>
        <w:tc>
          <w:tcPr>
            <w:tcW w:w="1443" w:type="dxa"/>
            <w:tcBorders>
              <w:top w:val="single" w:sz="4" w:space="0" w:color="auto"/>
            </w:tcBorders>
          </w:tcPr>
          <w:p w14:paraId="4054E99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225</w:t>
            </w:r>
          </w:p>
        </w:tc>
        <w:tc>
          <w:tcPr>
            <w:tcW w:w="1443" w:type="dxa"/>
            <w:tcBorders>
              <w:top w:val="single" w:sz="4" w:space="0" w:color="auto"/>
            </w:tcBorders>
          </w:tcPr>
          <w:p w14:paraId="1492B062"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72</w:t>
            </w:r>
          </w:p>
        </w:tc>
        <w:tc>
          <w:tcPr>
            <w:tcW w:w="1530" w:type="dxa"/>
            <w:tcBorders>
              <w:top w:val="single" w:sz="4" w:space="0" w:color="auto"/>
            </w:tcBorders>
          </w:tcPr>
          <w:p w14:paraId="5A85679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731" w:type="dxa"/>
            <w:tcBorders>
              <w:top w:val="single" w:sz="4" w:space="0" w:color="auto"/>
            </w:tcBorders>
          </w:tcPr>
          <w:p w14:paraId="4AE4948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72</w:t>
            </w:r>
          </w:p>
        </w:tc>
      </w:tr>
      <w:tr w:rsidR="00D43014" w:rsidRPr="00C505F5" w14:paraId="2003AC1C"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bottom w:val="single" w:sz="4" w:space="0" w:color="auto"/>
            </w:tcBorders>
          </w:tcPr>
          <w:p w14:paraId="34D9528D"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R-squared</w:t>
            </w:r>
          </w:p>
        </w:tc>
        <w:tc>
          <w:tcPr>
            <w:tcW w:w="1476" w:type="dxa"/>
            <w:tcBorders>
              <w:bottom w:val="single" w:sz="4" w:space="0" w:color="auto"/>
            </w:tcBorders>
          </w:tcPr>
          <w:p w14:paraId="1040B12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0.338</w:t>
            </w:r>
          </w:p>
        </w:tc>
        <w:tc>
          <w:tcPr>
            <w:tcW w:w="1476" w:type="dxa"/>
            <w:tcBorders>
              <w:bottom w:val="single" w:sz="4" w:space="0" w:color="auto"/>
            </w:tcBorders>
          </w:tcPr>
          <w:p w14:paraId="1CD82AE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43" w:type="dxa"/>
            <w:tcBorders>
              <w:bottom w:val="single" w:sz="4" w:space="0" w:color="auto"/>
            </w:tcBorders>
          </w:tcPr>
          <w:p w14:paraId="2BF20F8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0.249</w:t>
            </w:r>
          </w:p>
        </w:tc>
        <w:tc>
          <w:tcPr>
            <w:tcW w:w="1443" w:type="dxa"/>
            <w:tcBorders>
              <w:bottom w:val="single" w:sz="4" w:space="0" w:color="auto"/>
            </w:tcBorders>
          </w:tcPr>
          <w:p w14:paraId="004A3EFB"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0" w:type="dxa"/>
            <w:tcBorders>
              <w:bottom w:val="single" w:sz="4" w:space="0" w:color="auto"/>
            </w:tcBorders>
          </w:tcPr>
          <w:p w14:paraId="3B5ED89C"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0.390</w:t>
            </w:r>
          </w:p>
        </w:tc>
        <w:tc>
          <w:tcPr>
            <w:tcW w:w="1731" w:type="dxa"/>
            <w:tcBorders>
              <w:bottom w:val="single" w:sz="4" w:space="0" w:color="auto"/>
            </w:tcBorders>
          </w:tcPr>
          <w:p w14:paraId="40A89FB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0.735</w:t>
            </w:r>
          </w:p>
        </w:tc>
      </w:tr>
    </w:tbl>
    <w:p w14:paraId="1D49BDF6" w14:textId="77777777" w:rsidR="00D43014" w:rsidRPr="00A42E75" w:rsidRDefault="00D43014" w:rsidP="00D43014">
      <w:pPr>
        <w:ind w:left="360"/>
        <w:rPr>
          <w:rFonts w:cs="Times New Roman"/>
          <w:b/>
          <w:sz w:val="28"/>
        </w:rPr>
      </w:pPr>
      <w:r w:rsidRPr="00A42E75">
        <w:rPr>
          <w:rFonts w:cs="Times New Roman"/>
          <w:b/>
          <w:sz w:val="28"/>
        </w:rPr>
        <w:lastRenderedPageBreak/>
        <w:t xml:space="preserve">B4)   IV: Log of REER on </w:t>
      </w:r>
      <m:oMath>
        <m:r>
          <w:rPr>
            <w:rFonts w:ascii="Cambria Math" w:hAnsi="Cambria Math" w:cs="Times New Roman"/>
            <w:sz w:val="24"/>
            <w:szCs w:val="24"/>
          </w:rPr>
          <m:t>∆</m:t>
        </m:r>
        <m:r>
          <m:rPr>
            <m:sty m:val="bi"/>
          </m:rPr>
          <w:rPr>
            <w:rFonts w:ascii="Cambria Math" w:hAnsi="Cambria Math" w:cs="Times New Roman"/>
            <w:sz w:val="24"/>
            <w:szCs w:val="24"/>
          </w:rPr>
          <m:t>Res</m:t>
        </m:r>
        <m:r>
          <w:rPr>
            <w:rFonts w:ascii="Cambria Math" w:hAnsi="Cambria Math" w:cs="Times New Roman"/>
            <w:sz w:val="24"/>
            <w:szCs w:val="24"/>
          </w:rPr>
          <m:t>/</m:t>
        </m:r>
        <m:r>
          <m:rPr>
            <m:sty m:val="bi"/>
          </m:rPr>
          <w:rPr>
            <w:rFonts w:ascii="Cambria Math" w:hAnsi="Cambria Math" w:cs="Times New Roman"/>
            <w:sz w:val="24"/>
            <w:szCs w:val="24"/>
          </w:rPr>
          <m:t>M</m:t>
        </m:r>
        <m:r>
          <w:rPr>
            <w:rFonts w:ascii="Cambria Math" w:hAnsi="Cambria Math" w:cs="Cambria Math"/>
            <w:sz w:val="24"/>
            <w:szCs w:val="24"/>
          </w:rPr>
          <m:t>1</m:t>
        </m:r>
      </m:oMath>
      <w:r w:rsidRPr="00A42E75">
        <w:rPr>
          <w:rFonts w:cs="Times New Roman"/>
          <w:b/>
          <w:sz w:val="28"/>
        </w:rPr>
        <w:t xml:space="preserve"> and a time trend</w:t>
      </w:r>
    </w:p>
    <w:p w14:paraId="3109599D" w14:textId="77777777" w:rsidR="00D43014" w:rsidRPr="00C505F5" w:rsidRDefault="00D43014" w:rsidP="00D43014">
      <w:pPr>
        <w:pStyle w:val="ListParagraph"/>
        <w:rPr>
          <w:rFonts w:cs="Times New Roman"/>
          <w:sz w:val="24"/>
        </w:rPr>
      </w:pPr>
      <w:r w:rsidRPr="00C505F5">
        <w:rPr>
          <w:rFonts w:cs="Times New Roman"/>
          <w:sz w:val="24"/>
        </w:rPr>
        <w:t>Instruments: log of VIX and a price index</w:t>
      </w:r>
    </w:p>
    <w:tbl>
      <w:tblPr>
        <w:tblStyle w:val="PlainTable41"/>
        <w:tblW w:w="11288" w:type="dxa"/>
        <w:tblLook w:val="04A0" w:firstRow="1" w:lastRow="0" w:firstColumn="1" w:lastColumn="0" w:noHBand="0" w:noVBand="1"/>
      </w:tblPr>
      <w:tblGrid>
        <w:gridCol w:w="2086"/>
        <w:gridCol w:w="1547"/>
        <w:gridCol w:w="1531"/>
        <w:gridCol w:w="1531"/>
        <w:gridCol w:w="1531"/>
        <w:gridCol w:w="1531"/>
        <w:gridCol w:w="1531"/>
      </w:tblGrid>
      <w:tr w:rsidR="00D43014" w:rsidRPr="00C505F5" w14:paraId="2B9AFF8D"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Borders>
              <w:top w:val="single" w:sz="4" w:space="0" w:color="auto"/>
            </w:tcBorders>
          </w:tcPr>
          <w:p w14:paraId="4EBFAE4E" w14:textId="77777777" w:rsidR="00D43014" w:rsidRPr="00C505F5" w:rsidRDefault="00D43014" w:rsidP="002F782A">
            <w:pPr>
              <w:rPr>
                <w:rFonts w:cs="Times New Roman"/>
                <w:sz w:val="24"/>
                <w:szCs w:val="24"/>
              </w:rPr>
            </w:pPr>
          </w:p>
        </w:tc>
        <w:tc>
          <w:tcPr>
            <w:tcW w:w="1547" w:type="dxa"/>
            <w:tcBorders>
              <w:top w:val="single" w:sz="4" w:space="0" w:color="auto"/>
            </w:tcBorders>
          </w:tcPr>
          <w:p w14:paraId="2A8ED11C"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w:t>
            </w:r>
          </w:p>
        </w:tc>
        <w:tc>
          <w:tcPr>
            <w:tcW w:w="1531" w:type="dxa"/>
            <w:tcBorders>
              <w:top w:val="single" w:sz="4" w:space="0" w:color="auto"/>
            </w:tcBorders>
          </w:tcPr>
          <w:p w14:paraId="43F8F2CB"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w:t>
            </w:r>
          </w:p>
        </w:tc>
        <w:tc>
          <w:tcPr>
            <w:tcW w:w="1531" w:type="dxa"/>
            <w:tcBorders>
              <w:top w:val="single" w:sz="4" w:space="0" w:color="auto"/>
            </w:tcBorders>
          </w:tcPr>
          <w:p w14:paraId="4087247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(3)</w:t>
            </w:r>
          </w:p>
        </w:tc>
        <w:tc>
          <w:tcPr>
            <w:tcW w:w="1531" w:type="dxa"/>
            <w:tcBorders>
              <w:top w:val="single" w:sz="4" w:space="0" w:color="auto"/>
            </w:tcBorders>
          </w:tcPr>
          <w:p w14:paraId="1B8FF24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(4)</w:t>
            </w:r>
          </w:p>
        </w:tc>
        <w:tc>
          <w:tcPr>
            <w:tcW w:w="1531" w:type="dxa"/>
            <w:tcBorders>
              <w:top w:val="single" w:sz="4" w:space="0" w:color="auto"/>
            </w:tcBorders>
          </w:tcPr>
          <w:p w14:paraId="7C4F6FD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(5)</w:t>
            </w:r>
          </w:p>
        </w:tc>
        <w:tc>
          <w:tcPr>
            <w:tcW w:w="1531" w:type="dxa"/>
            <w:tcBorders>
              <w:top w:val="single" w:sz="4" w:space="0" w:color="auto"/>
            </w:tcBorders>
          </w:tcPr>
          <w:p w14:paraId="0E81FB86"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(6)</w:t>
            </w:r>
          </w:p>
        </w:tc>
      </w:tr>
      <w:tr w:rsidR="00D43014" w:rsidRPr="00C505F5" w14:paraId="50FCC0E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Borders>
              <w:bottom w:val="single" w:sz="4" w:space="0" w:color="auto"/>
            </w:tcBorders>
          </w:tcPr>
          <w:p w14:paraId="744A7CB7" w14:textId="77777777" w:rsidR="00D43014" w:rsidRPr="00C505F5" w:rsidRDefault="00D43014" w:rsidP="002F782A">
            <w:pPr>
              <w:rPr>
                <w:rFonts w:cs="Times New Roman"/>
                <w:sz w:val="24"/>
                <w:szCs w:val="24"/>
              </w:rPr>
            </w:pPr>
            <w:r w:rsidRPr="00C505F5">
              <w:rPr>
                <w:rFonts w:cs="Times New Roman"/>
                <w:sz w:val="24"/>
                <w:szCs w:val="24"/>
              </w:rPr>
              <w:t>VARIABLES</w:t>
            </w:r>
          </w:p>
        </w:tc>
        <w:tc>
          <w:tcPr>
            <w:tcW w:w="1547" w:type="dxa"/>
            <w:tcBorders>
              <w:bottom w:val="single" w:sz="4" w:space="0" w:color="auto"/>
            </w:tcBorders>
          </w:tcPr>
          <w:p w14:paraId="689F770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 Africa</w:t>
            </w:r>
          </w:p>
        </w:tc>
        <w:tc>
          <w:tcPr>
            <w:tcW w:w="1531" w:type="dxa"/>
            <w:tcBorders>
              <w:bottom w:val="single" w:sz="4" w:space="0" w:color="auto"/>
            </w:tcBorders>
          </w:tcPr>
          <w:p w14:paraId="48A6662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Brazil</w:t>
            </w:r>
          </w:p>
        </w:tc>
        <w:tc>
          <w:tcPr>
            <w:tcW w:w="1531" w:type="dxa"/>
            <w:tcBorders>
              <w:bottom w:val="single" w:sz="4" w:space="0" w:color="auto"/>
            </w:tcBorders>
          </w:tcPr>
          <w:p w14:paraId="32AA478E"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Chile</w:t>
            </w:r>
          </w:p>
        </w:tc>
        <w:tc>
          <w:tcPr>
            <w:tcW w:w="1531" w:type="dxa"/>
            <w:tcBorders>
              <w:bottom w:val="single" w:sz="4" w:space="0" w:color="auto"/>
            </w:tcBorders>
          </w:tcPr>
          <w:p w14:paraId="4987D47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Colombia</w:t>
            </w:r>
          </w:p>
        </w:tc>
        <w:tc>
          <w:tcPr>
            <w:tcW w:w="1531" w:type="dxa"/>
            <w:tcBorders>
              <w:bottom w:val="single" w:sz="4" w:space="0" w:color="auto"/>
            </w:tcBorders>
          </w:tcPr>
          <w:p w14:paraId="7AEE0CA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Indonesia</w:t>
            </w:r>
          </w:p>
        </w:tc>
        <w:tc>
          <w:tcPr>
            <w:tcW w:w="1531" w:type="dxa"/>
            <w:tcBorders>
              <w:bottom w:val="single" w:sz="4" w:space="0" w:color="auto"/>
            </w:tcBorders>
          </w:tcPr>
          <w:p w14:paraId="19684A7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Mongolia</w:t>
            </w:r>
          </w:p>
        </w:tc>
      </w:tr>
      <w:tr w:rsidR="00D43014" w:rsidRPr="00C505F5" w14:paraId="0D168661" w14:textId="77777777" w:rsidTr="002F782A">
        <w:tc>
          <w:tcPr>
            <w:cnfStyle w:val="001000000000" w:firstRow="0" w:lastRow="0" w:firstColumn="1" w:lastColumn="0" w:oddVBand="0" w:evenVBand="0" w:oddHBand="0" w:evenHBand="0" w:firstRowFirstColumn="0" w:firstRowLastColumn="0" w:lastRowFirstColumn="0" w:lastRowLastColumn="0"/>
            <w:tcW w:w="2086" w:type="dxa"/>
            <w:tcBorders>
              <w:top w:val="single" w:sz="4" w:space="0" w:color="auto"/>
            </w:tcBorders>
          </w:tcPr>
          <w:p w14:paraId="0B81D87B" w14:textId="77777777" w:rsidR="00D43014" w:rsidRPr="00C505F5" w:rsidRDefault="00D43014" w:rsidP="002F782A">
            <w:pPr>
              <w:rPr>
                <w:rFonts w:cs="Times New Roman"/>
                <w:sz w:val="24"/>
                <w:szCs w:val="24"/>
              </w:rPr>
            </w:pPr>
          </w:p>
        </w:tc>
        <w:tc>
          <w:tcPr>
            <w:tcW w:w="1547" w:type="dxa"/>
            <w:tcBorders>
              <w:top w:val="single" w:sz="4" w:space="0" w:color="auto"/>
            </w:tcBorders>
          </w:tcPr>
          <w:p w14:paraId="0F5AA9B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531" w:type="dxa"/>
            <w:tcBorders>
              <w:top w:val="single" w:sz="4" w:space="0" w:color="auto"/>
            </w:tcBorders>
          </w:tcPr>
          <w:p w14:paraId="242ECDA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531" w:type="dxa"/>
            <w:tcBorders>
              <w:top w:val="single" w:sz="4" w:space="0" w:color="auto"/>
            </w:tcBorders>
          </w:tcPr>
          <w:p w14:paraId="3294E55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531" w:type="dxa"/>
            <w:tcBorders>
              <w:top w:val="single" w:sz="4" w:space="0" w:color="auto"/>
            </w:tcBorders>
          </w:tcPr>
          <w:p w14:paraId="152E709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531" w:type="dxa"/>
            <w:tcBorders>
              <w:top w:val="single" w:sz="4" w:space="0" w:color="auto"/>
            </w:tcBorders>
          </w:tcPr>
          <w:p w14:paraId="31A1A5E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531" w:type="dxa"/>
            <w:tcBorders>
              <w:top w:val="single" w:sz="4" w:space="0" w:color="auto"/>
            </w:tcBorders>
          </w:tcPr>
          <w:p w14:paraId="2167258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6A3DFD29"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Pr>
          <w:p w14:paraId="342DF9C7" w14:textId="77777777" w:rsidR="00D43014" w:rsidRPr="00C505F5" w:rsidRDefault="00D43014" w:rsidP="002F782A">
            <w:pPr>
              <w:rPr>
                <w:rFonts w:cs="Times New Roman"/>
                <w:sz w:val="24"/>
                <w:szCs w:val="24"/>
              </w:rPr>
            </w:pPr>
            <m:oMathPara>
              <m:oMathParaPr>
                <m:jc m:val="left"/>
              </m:oMathParaPr>
              <m:oMath>
                <m:r>
                  <m:rPr>
                    <m:sty m:val="bi"/>
                  </m:rPr>
                  <w:rPr>
                    <w:rFonts w:ascii="Cambria Math" w:hAnsi="Cambria Math" w:cs="Times New Roman"/>
                    <w:sz w:val="24"/>
                    <w:szCs w:val="24"/>
                  </w:rPr>
                  <m:t>∆Res/M</m:t>
                </m:r>
                <m:r>
                  <m:rPr>
                    <m:sty m:val="bi"/>
                  </m:rPr>
                  <w:rPr>
                    <w:rFonts w:ascii="Cambria Math" w:hAnsi="Cambria Math" w:cs="Times New Roman"/>
                    <w:sz w:val="24"/>
                    <w:szCs w:val="24"/>
                  </w:rPr>
                  <m:t>1</m:t>
                </m:r>
              </m:oMath>
            </m:oMathPara>
          </w:p>
        </w:tc>
        <w:tc>
          <w:tcPr>
            <w:tcW w:w="1547" w:type="dxa"/>
          </w:tcPr>
          <w:p w14:paraId="62D4062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36.876***</w:t>
            </w:r>
          </w:p>
        </w:tc>
        <w:tc>
          <w:tcPr>
            <w:tcW w:w="1531" w:type="dxa"/>
          </w:tcPr>
          <w:p w14:paraId="7AFD159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3.987***</w:t>
            </w:r>
          </w:p>
        </w:tc>
        <w:tc>
          <w:tcPr>
            <w:tcW w:w="1531" w:type="dxa"/>
          </w:tcPr>
          <w:p w14:paraId="5A31C1E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6.470**</w:t>
            </w:r>
          </w:p>
        </w:tc>
        <w:tc>
          <w:tcPr>
            <w:tcW w:w="1531" w:type="dxa"/>
          </w:tcPr>
          <w:p w14:paraId="41E9A85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7.770***</w:t>
            </w:r>
          </w:p>
        </w:tc>
        <w:tc>
          <w:tcPr>
            <w:tcW w:w="1531" w:type="dxa"/>
          </w:tcPr>
          <w:p w14:paraId="3BEC0C7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2.242</w:t>
            </w:r>
          </w:p>
        </w:tc>
        <w:tc>
          <w:tcPr>
            <w:tcW w:w="1531" w:type="dxa"/>
          </w:tcPr>
          <w:p w14:paraId="69A7ED0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r>
      <w:tr w:rsidR="00D43014" w:rsidRPr="00C505F5" w14:paraId="3208664E" w14:textId="77777777" w:rsidTr="002F782A">
        <w:tc>
          <w:tcPr>
            <w:cnfStyle w:val="001000000000" w:firstRow="0" w:lastRow="0" w:firstColumn="1" w:lastColumn="0" w:oddVBand="0" w:evenVBand="0" w:oddHBand="0" w:evenHBand="0" w:firstRowFirstColumn="0" w:firstRowLastColumn="0" w:lastRowFirstColumn="0" w:lastRowLastColumn="0"/>
            <w:tcW w:w="2086" w:type="dxa"/>
          </w:tcPr>
          <w:p w14:paraId="67260E3F" w14:textId="77777777" w:rsidR="00D43014" w:rsidRPr="00C505F5" w:rsidRDefault="00D43014" w:rsidP="002F782A">
            <w:pPr>
              <w:rPr>
                <w:rFonts w:cs="Times New Roman"/>
                <w:sz w:val="24"/>
                <w:szCs w:val="24"/>
              </w:rPr>
            </w:pPr>
          </w:p>
        </w:tc>
        <w:tc>
          <w:tcPr>
            <w:tcW w:w="1547" w:type="dxa"/>
          </w:tcPr>
          <w:p w14:paraId="39FD667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(8.855)</w:t>
            </w:r>
          </w:p>
        </w:tc>
        <w:tc>
          <w:tcPr>
            <w:tcW w:w="1531" w:type="dxa"/>
          </w:tcPr>
          <w:p w14:paraId="4951E74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(1.415)</w:t>
            </w:r>
          </w:p>
        </w:tc>
        <w:tc>
          <w:tcPr>
            <w:tcW w:w="1531" w:type="dxa"/>
          </w:tcPr>
          <w:p w14:paraId="6622AA7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(2.806)</w:t>
            </w:r>
          </w:p>
        </w:tc>
        <w:tc>
          <w:tcPr>
            <w:tcW w:w="1531" w:type="dxa"/>
          </w:tcPr>
          <w:p w14:paraId="5AF38ED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(2.908)</w:t>
            </w:r>
          </w:p>
        </w:tc>
        <w:tc>
          <w:tcPr>
            <w:tcW w:w="1531" w:type="dxa"/>
          </w:tcPr>
          <w:p w14:paraId="4CBBE3F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(5.341)</w:t>
            </w:r>
          </w:p>
        </w:tc>
        <w:tc>
          <w:tcPr>
            <w:tcW w:w="1531" w:type="dxa"/>
          </w:tcPr>
          <w:p w14:paraId="5F2538F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(0.250)</w:t>
            </w:r>
          </w:p>
        </w:tc>
      </w:tr>
      <w:tr w:rsidR="00D43014" w:rsidRPr="00C505F5" w14:paraId="535F6117"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Pr>
          <w:p w14:paraId="074985BF" w14:textId="77777777" w:rsidR="00D43014" w:rsidRPr="00C505F5" w:rsidRDefault="00D43014" w:rsidP="002F782A">
            <w:pPr>
              <w:rPr>
                <w:rFonts w:cs="Times New Roman"/>
                <w:sz w:val="24"/>
                <w:szCs w:val="24"/>
              </w:rPr>
            </w:pPr>
            <w:r w:rsidRPr="00C505F5">
              <w:rPr>
                <w:rFonts w:cs="Times New Roman"/>
                <w:sz w:val="24"/>
                <w:szCs w:val="24"/>
              </w:rPr>
              <w:t>Time trend</w:t>
            </w:r>
          </w:p>
        </w:tc>
        <w:tc>
          <w:tcPr>
            <w:tcW w:w="1547" w:type="dxa"/>
          </w:tcPr>
          <w:p w14:paraId="2A9CA7D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56DF801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531" w:type="dxa"/>
          </w:tcPr>
          <w:p w14:paraId="57424A9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2534B1A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719097A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531" w:type="dxa"/>
          </w:tcPr>
          <w:p w14:paraId="5317CEA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r>
      <w:tr w:rsidR="00D43014" w:rsidRPr="00C505F5" w14:paraId="2F4C9E50" w14:textId="77777777" w:rsidTr="002F782A">
        <w:tc>
          <w:tcPr>
            <w:cnfStyle w:val="001000000000" w:firstRow="0" w:lastRow="0" w:firstColumn="1" w:lastColumn="0" w:oddVBand="0" w:evenVBand="0" w:oddHBand="0" w:evenHBand="0" w:firstRowFirstColumn="0" w:firstRowLastColumn="0" w:lastRowFirstColumn="0" w:lastRowLastColumn="0"/>
            <w:tcW w:w="2086" w:type="dxa"/>
          </w:tcPr>
          <w:p w14:paraId="0D1C7E55" w14:textId="77777777" w:rsidR="00D43014" w:rsidRPr="00C505F5" w:rsidRDefault="00D43014" w:rsidP="002F782A">
            <w:pPr>
              <w:rPr>
                <w:rFonts w:cs="Times New Roman"/>
                <w:sz w:val="24"/>
                <w:szCs w:val="24"/>
              </w:rPr>
            </w:pPr>
          </w:p>
        </w:tc>
        <w:tc>
          <w:tcPr>
            <w:tcW w:w="1547" w:type="dxa"/>
          </w:tcPr>
          <w:p w14:paraId="1927479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12F234F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70E78C2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7DF9720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6597CB0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0B53F78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r>
      <w:tr w:rsidR="00D43014" w:rsidRPr="00C505F5" w14:paraId="776E3692"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Pr>
          <w:p w14:paraId="29621E7B" w14:textId="77777777" w:rsidR="00D43014" w:rsidRPr="00C505F5" w:rsidRDefault="00D43014" w:rsidP="002F782A">
            <w:pPr>
              <w:rPr>
                <w:rFonts w:cs="Times New Roman"/>
                <w:sz w:val="24"/>
                <w:szCs w:val="24"/>
              </w:rPr>
            </w:pPr>
            <w:r w:rsidRPr="00C505F5">
              <w:rPr>
                <w:rFonts w:cs="Times New Roman"/>
                <w:sz w:val="24"/>
                <w:szCs w:val="24"/>
              </w:rPr>
              <w:t>Constant</w:t>
            </w:r>
          </w:p>
        </w:tc>
        <w:tc>
          <w:tcPr>
            <w:tcW w:w="1547" w:type="dxa"/>
          </w:tcPr>
          <w:p w14:paraId="3438301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4.487***</w:t>
            </w:r>
          </w:p>
        </w:tc>
        <w:tc>
          <w:tcPr>
            <w:tcW w:w="1531" w:type="dxa"/>
          </w:tcPr>
          <w:p w14:paraId="6A99F9A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4.294***</w:t>
            </w:r>
          </w:p>
        </w:tc>
        <w:tc>
          <w:tcPr>
            <w:tcW w:w="1531" w:type="dxa"/>
          </w:tcPr>
          <w:p w14:paraId="300AB1C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4.549***</w:t>
            </w:r>
          </w:p>
        </w:tc>
        <w:tc>
          <w:tcPr>
            <w:tcW w:w="1531" w:type="dxa"/>
          </w:tcPr>
          <w:p w14:paraId="2553687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4.465***</w:t>
            </w:r>
          </w:p>
        </w:tc>
        <w:tc>
          <w:tcPr>
            <w:tcW w:w="1531" w:type="dxa"/>
          </w:tcPr>
          <w:p w14:paraId="0BDBDED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4.290***</w:t>
            </w:r>
          </w:p>
        </w:tc>
        <w:tc>
          <w:tcPr>
            <w:tcW w:w="1531" w:type="dxa"/>
          </w:tcPr>
          <w:p w14:paraId="0D00EC1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4.402***</w:t>
            </w:r>
          </w:p>
        </w:tc>
      </w:tr>
      <w:tr w:rsidR="00D43014" w:rsidRPr="00C505F5" w14:paraId="2C3E80E2" w14:textId="77777777" w:rsidTr="002F782A">
        <w:tc>
          <w:tcPr>
            <w:cnfStyle w:val="001000000000" w:firstRow="0" w:lastRow="0" w:firstColumn="1" w:lastColumn="0" w:oddVBand="0" w:evenVBand="0" w:oddHBand="0" w:evenHBand="0" w:firstRowFirstColumn="0" w:firstRowLastColumn="0" w:lastRowFirstColumn="0" w:lastRowLastColumn="0"/>
            <w:tcW w:w="2086" w:type="dxa"/>
          </w:tcPr>
          <w:p w14:paraId="5A3087C8" w14:textId="77777777" w:rsidR="00D43014" w:rsidRPr="00C505F5" w:rsidRDefault="00D43014" w:rsidP="002F782A">
            <w:pPr>
              <w:rPr>
                <w:rFonts w:cs="Times New Roman"/>
                <w:sz w:val="24"/>
                <w:szCs w:val="24"/>
              </w:rPr>
            </w:pPr>
          </w:p>
        </w:tc>
        <w:tc>
          <w:tcPr>
            <w:tcW w:w="1547" w:type="dxa"/>
          </w:tcPr>
          <w:p w14:paraId="12D5F08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(0.045)</w:t>
            </w:r>
          </w:p>
        </w:tc>
        <w:tc>
          <w:tcPr>
            <w:tcW w:w="1531" w:type="dxa"/>
          </w:tcPr>
          <w:p w14:paraId="347941F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(0.077)</w:t>
            </w:r>
          </w:p>
        </w:tc>
        <w:tc>
          <w:tcPr>
            <w:tcW w:w="1531" w:type="dxa"/>
          </w:tcPr>
          <w:p w14:paraId="2AE448D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(0.058)</w:t>
            </w:r>
          </w:p>
        </w:tc>
        <w:tc>
          <w:tcPr>
            <w:tcW w:w="1531" w:type="dxa"/>
          </w:tcPr>
          <w:p w14:paraId="12CA5A9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(0.047)</w:t>
            </w:r>
          </w:p>
        </w:tc>
        <w:tc>
          <w:tcPr>
            <w:tcW w:w="1531" w:type="dxa"/>
          </w:tcPr>
          <w:p w14:paraId="7801EC1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(0.085)</w:t>
            </w:r>
          </w:p>
        </w:tc>
        <w:tc>
          <w:tcPr>
            <w:tcW w:w="1531" w:type="dxa"/>
          </w:tcPr>
          <w:p w14:paraId="7CCBA9D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(0.019)</w:t>
            </w:r>
          </w:p>
        </w:tc>
      </w:tr>
      <w:tr w:rsidR="00D43014" w:rsidRPr="00C505F5" w14:paraId="4A9B1549"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Borders>
              <w:bottom w:val="single" w:sz="4" w:space="0" w:color="auto"/>
            </w:tcBorders>
          </w:tcPr>
          <w:p w14:paraId="74E31C5D" w14:textId="77777777" w:rsidR="00D43014" w:rsidRPr="00C505F5" w:rsidRDefault="00D43014" w:rsidP="002F782A">
            <w:pPr>
              <w:rPr>
                <w:rFonts w:cs="Times New Roman"/>
                <w:sz w:val="24"/>
                <w:szCs w:val="24"/>
              </w:rPr>
            </w:pPr>
          </w:p>
        </w:tc>
        <w:tc>
          <w:tcPr>
            <w:tcW w:w="1547" w:type="dxa"/>
            <w:tcBorders>
              <w:bottom w:val="single" w:sz="4" w:space="0" w:color="auto"/>
            </w:tcBorders>
          </w:tcPr>
          <w:p w14:paraId="47C419D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491F2E7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4C47106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5D4E2D7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1B322DF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6F19C4A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7328F12F" w14:textId="77777777" w:rsidTr="002F782A">
        <w:tc>
          <w:tcPr>
            <w:cnfStyle w:val="001000000000" w:firstRow="0" w:lastRow="0" w:firstColumn="1" w:lastColumn="0" w:oddVBand="0" w:evenVBand="0" w:oddHBand="0" w:evenHBand="0" w:firstRowFirstColumn="0" w:firstRowLastColumn="0" w:lastRowFirstColumn="0" w:lastRowLastColumn="0"/>
            <w:tcW w:w="2086" w:type="dxa"/>
            <w:tcBorders>
              <w:top w:val="single" w:sz="4" w:space="0" w:color="auto"/>
            </w:tcBorders>
          </w:tcPr>
          <w:p w14:paraId="3A8C75D9" w14:textId="77777777" w:rsidR="00D43014" w:rsidRPr="00C505F5" w:rsidRDefault="00D43014" w:rsidP="002F782A">
            <w:pPr>
              <w:rPr>
                <w:rFonts w:cs="Times New Roman"/>
                <w:sz w:val="24"/>
                <w:szCs w:val="24"/>
              </w:rPr>
            </w:pPr>
            <w:r w:rsidRPr="00C505F5">
              <w:rPr>
                <w:rFonts w:cs="Times New Roman"/>
                <w:sz w:val="24"/>
                <w:szCs w:val="24"/>
              </w:rPr>
              <w:t>Observations</w:t>
            </w:r>
          </w:p>
        </w:tc>
        <w:tc>
          <w:tcPr>
            <w:tcW w:w="1547" w:type="dxa"/>
            <w:tcBorders>
              <w:top w:val="single" w:sz="4" w:space="0" w:color="auto"/>
            </w:tcBorders>
          </w:tcPr>
          <w:p w14:paraId="3991E7F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531" w:type="dxa"/>
            <w:tcBorders>
              <w:top w:val="single" w:sz="4" w:space="0" w:color="auto"/>
            </w:tcBorders>
          </w:tcPr>
          <w:p w14:paraId="2D7DACC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531" w:type="dxa"/>
            <w:tcBorders>
              <w:top w:val="single" w:sz="4" w:space="0" w:color="auto"/>
            </w:tcBorders>
          </w:tcPr>
          <w:p w14:paraId="495B10C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531" w:type="dxa"/>
            <w:tcBorders>
              <w:top w:val="single" w:sz="4" w:space="0" w:color="auto"/>
            </w:tcBorders>
          </w:tcPr>
          <w:p w14:paraId="459FC07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531" w:type="dxa"/>
            <w:tcBorders>
              <w:top w:val="single" w:sz="4" w:space="0" w:color="auto"/>
            </w:tcBorders>
          </w:tcPr>
          <w:p w14:paraId="1CA7801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531" w:type="dxa"/>
            <w:tcBorders>
              <w:top w:val="single" w:sz="4" w:space="0" w:color="auto"/>
            </w:tcBorders>
          </w:tcPr>
          <w:p w14:paraId="60E959D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r>
      <w:tr w:rsidR="00D43014" w:rsidRPr="00C505F5" w14:paraId="1A0A9BC5"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Borders>
              <w:bottom w:val="single" w:sz="4" w:space="0" w:color="auto"/>
            </w:tcBorders>
          </w:tcPr>
          <w:p w14:paraId="04B994FC" w14:textId="77777777" w:rsidR="00D43014" w:rsidRPr="00C505F5" w:rsidRDefault="00D43014" w:rsidP="002F782A">
            <w:pPr>
              <w:rPr>
                <w:rFonts w:cs="Times New Roman"/>
                <w:sz w:val="24"/>
                <w:szCs w:val="24"/>
              </w:rPr>
            </w:pPr>
            <w:r w:rsidRPr="00C505F5">
              <w:rPr>
                <w:rFonts w:cs="Times New Roman"/>
                <w:sz w:val="24"/>
                <w:szCs w:val="24"/>
              </w:rPr>
              <w:t>R-squared</w:t>
            </w:r>
          </w:p>
        </w:tc>
        <w:tc>
          <w:tcPr>
            <w:tcW w:w="1547" w:type="dxa"/>
            <w:tcBorders>
              <w:bottom w:val="single" w:sz="4" w:space="0" w:color="auto"/>
            </w:tcBorders>
          </w:tcPr>
          <w:p w14:paraId="5E95333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1CDB344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20724DF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5C257DA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25516A3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0.128</w:t>
            </w:r>
          </w:p>
        </w:tc>
        <w:tc>
          <w:tcPr>
            <w:tcW w:w="1531" w:type="dxa"/>
            <w:tcBorders>
              <w:bottom w:val="single" w:sz="4" w:space="0" w:color="auto"/>
            </w:tcBorders>
          </w:tcPr>
          <w:p w14:paraId="3F64D34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0.529</w:t>
            </w:r>
          </w:p>
        </w:tc>
      </w:tr>
    </w:tbl>
    <w:p w14:paraId="24069EE6" w14:textId="77777777" w:rsidR="00D43014" w:rsidRPr="00C505F5" w:rsidRDefault="00D43014" w:rsidP="00D43014">
      <w:pPr>
        <w:pStyle w:val="ListParagraph"/>
        <w:spacing w:after="0"/>
        <w:rPr>
          <w:rFonts w:cs="Times New Roman"/>
          <w:b/>
          <w:sz w:val="28"/>
        </w:rPr>
      </w:pPr>
    </w:p>
    <w:tbl>
      <w:tblPr>
        <w:tblStyle w:val="PlainTable41"/>
        <w:tblW w:w="11999" w:type="dxa"/>
        <w:tblLayout w:type="fixed"/>
        <w:tblLook w:val="04A0" w:firstRow="1" w:lastRow="0" w:firstColumn="1" w:lastColumn="0" w:noHBand="0" w:noVBand="1"/>
      </w:tblPr>
      <w:tblGrid>
        <w:gridCol w:w="2169"/>
        <w:gridCol w:w="1521"/>
        <w:gridCol w:w="1260"/>
        <w:gridCol w:w="1563"/>
        <w:gridCol w:w="1260"/>
        <w:gridCol w:w="1260"/>
        <w:gridCol w:w="1260"/>
        <w:gridCol w:w="1706"/>
      </w:tblGrid>
      <w:tr w:rsidR="00D43014" w:rsidRPr="00C505F5" w14:paraId="32ACE70C"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tcBorders>
          </w:tcPr>
          <w:p w14:paraId="2D0A983A" w14:textId="77777777" w:rsidR="00D43014" w:rsidRPr="00C505F5" w:rsidRDefault="00D43014" w:rsidP="002F782A">
            <w:pPr>
              <w:pStyle w:val="ListParagraph"/>
              <w:ind w:left="0"/>
              <w:rPr>
                <w:rFonts w:cs="Times New Roman"/>
                <w:sz w:val="24"/>
                <w:szCs w:val="24"/>
              </w:rPr>
            </w:pPr>
          </w:p>
        </w:tc>
        <w:tc>
          <w:tcPr>
            <w:tcW w:w="1521" w:type="dxa"/>
            <w:tcBorders>
              <w:top w:val="single" w:sz="4" w:space="0" w:color="auto"/>
            </w:tcBorders>
          </w:tcPr>
          <w:p w14:paraId="0A7EA52B"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w:t>
            </w:r>
          </w:p>
        </w:tc>
        <w:tc>
          <w:tcPr>
            <w:tcW w:w="1260" w:type="dxa"/>
            <w:tcBorders>
              <w:top w:val="single" w:sz="4" w:space="0" w:color="auto"/>
            </w:tcBorders>
          </w:tcPr>
          <w:p w14:paraId="379309A9"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(8)</w:t>
            </w:r>
          </w:p>
        </w:tc>
        <w:tc>
          <w:tcPr>
            <w:tcW w:w="1563" w:type="dxa"/>
            <w:tcBorders>
              <w:top w:val="single" w:sz="4" w:space="0" w:color="auto"/>
            </w:tcBorders>
          </w:tcPr>
          <w:p w14:paraId="1EE66439"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(9)</w:t>
            </w:r>
          </w:p>
        </w:tc>
        <w:tc>
          <w:tcPr>
            <w:tcW w:w="1260" w:type="dxa"/>
            <w:tcBorders>
              <w:top w:val="single" w:sz="4" w:space="0" w:color="auto"/>
            </w:tcBorders>
          </w:tcPr>
          <w:p w14:paraId="079FB1A8"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(10)</w:t>
            </w:r>
          </w:p>
        </w:tc>
        <w:tc>
          <w:tcPr>
            <w:tcW w:w="1260" w:type="dxa"/>
            <w:tcBorders>
              <w:top w:val="single" w:sz="4" w:space="0" w:color="auto"/>
            </w:tcBorders>
          </w:tcPr>
          <w:p w14:paraId="146F306F"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(11)</w:t>
            </w:r>
          </w:p>
        </w:tc>
        <w:tc>
          <w:tcPr>
            <w:tcW w:w="1260" w:type="dxa"/>
            <w:tcBorders>
              <w:top w:val="single" w:sz="4" w:space="0" w:color="auto"/>
            </w:tcBorders>
          </w:tcPr>
          <w:p w14:paraId="08A1C0DC"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(12)</w:t>
            </w:r>
          </w:p>
        </w:tc>
        <w:tc>
          <w:tcPr>
            <w:tcW w:w="1706" w:type="dxa"/>
            <w:tcBorders>
              <w:top w:val="single" w:sz="4" w:space="0" w:color="auto"/>
            </w:tcBorders>
          </w:tcPr>
          <w:p w14:paraId="407063AE"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(13)</w:t>
            </w:r>
          </w:p>
        </w:tc>
      </w:tr>
      <w:tr w:rsidR="00D43014" w:rsidRPr="00C505F5" w14:paraId="70393168"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bottom w:val="single" w:sz="4" w:space="0" w:color="auto"/>
            </w:tcBorders>
          </w:tcPr>
          <w:p w14:paraId="2E289339"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VARIABLES</w:t>
            </w:r>
          </w:p>
        </w:tc>
        <w:tc>
          <w:tcPr>
            <w:tcW w:w="1521" w:type="dxa"/>
            <w:tcBorders>
              <w:bottom w:val="single" w:sz="4" w:space="0" w:color="auto"/>
            </w:tcBorders>
          </w:tcPr>
          <w:p w14:paraId="65A4BFB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Azerbaijan</w:t>
            </w:r>
          </w:p>
        </w:tc>
        <w:tc>
          <w:tcPr>
            <w:tcW w:w="1260" w:type="dxa"/>
            <w:tcBorders>
              <w:bottom w:val="single" w:sz="4" w:space="0" w:color="auto"/>
            </w:tcBorders>
          </w:tcPr>
          <w:p w14:paraId="7C5B5FF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Bahrain</w:t>
            </w:r>
          </w:p>
        </w:tc>
        <w:tc>
          <w:tcPr>
            <w:tcW w:w="1563" w:type="dxa"/>
            <w:tcBorders>
              <w:bottom w:val="single" w:sz="4" w:space="0" w:color="auto"/>
            </w:tcBorders>
          </w:tcPr>
          <w:p w14:paraId="587D5F1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Kazakhstan</w:t>
            </w:r>
          </w:p>
        </w:tc>
        <w:tc>
          <w:tcPr>
            <w:tcW w:w="1260" w:type="dxa"/>
            <w:tcBorders>
              <w:bottom w:val="single" w:sz="4" w:space="0" w:color="auto"/>
            </w:tcBorders>
          </w:tcPr>
          <w:p w14:paraId="5CB5155F"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Kuwait</w:t>
            </w:r>
          </w:p>
        </w:tc>
        <w:tc>
          <w:tcPr>
            <w:tcW w:w="1260" w:type="dxa"/>
            <w:tcBorders>
              <w:bottom w:val="single" w:sz="4" w:space="0" w:color="auto"/>
            </w:tcBorders>
          </w:tcPr>
          <w:p w14:paraId="2A01C39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Qatar</w:t>
            </w:r>
          </w:p>
        </w:tc>
        <w:tc>
          <w:tcPr>
            <w:tcW w:w="1260" w:type="dxa"/>
            <w:tcBorders>
              <w:bottom w:val="single" w:sz="4" w:space="0" w:color="auto"/>
            </w:tcBorders>
          </w:tcPr>
          <w:p w14:paraId="20B8544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Russia</w:t>
            </w:r>
          </w:p>
        </w:tc>
        <w:tc>
          <w:tcPr>
            <w:tcW w:w="1706" w:type="dxa"/>
            <w:tcBorders>
              <w:bottom w:val="single" w:sz="4" w:space="0" w:color="auto"/>
            </w:tcBorders>
          </w:tcPr>
          <w:p w14:paraId="5A8660B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Saudi Arabia</w:t>
            </w:r>
          </w:p>
        </w:tc>
      </w:tr>
      <w:tr w:rsidR="00D43014" w:rsidRPr="00C505F5" w14:paraId="300F4D1B" w14:textId="77777777" w:rsidTr="002F782A">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tcBorders>
          </w:tcPr>
          <w:p w14:paraId="5D295652" w14:textId="77777777" w:rsidR="00D43014" w:rsidRPr="00C505F5" w:rsidRDefault="00D43014" w:rsidP="002F782A">
            <w:pPr>
              <w:pStyle w:val="ListParagraph"/>
              <w:ind w:left="0"/>
              <w:rPr>
                <w:rFonts w:cs="Times New Roman"/>
                <w:b w:val="0"/>
                <w:sz w:val="24"/>
                <w:szCs w:val="24"/>
              </w:rPr>
            </w:pPr>
          </w:p>
        </w:tc>
        <w:tc>
          <w:tcPr>
            <w:tcW w:w="1521" w:type="dxa"/>
            <w:tcBorders>
              <w:top w:val="single" w:sz="4" w:space="0" w:color="auto"/>
            </w:tcBorders>
          </w:tcPr>
          <w:p w14:paraId="15E1653A"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60" w:type="dxa"/>
            <w:tcBorders>
              <w:top w:val="single" w:sz="4" w:space="0" w:color="auto"/>
            </w:tcBorders>
          </w:tcPr>
          <w:p w14:paraId="02F528F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563" w:type="dxa"/>
            <w:tcBorders>
              <w:top w:val="single" w:sz="4" w:space="0" w:color="auto"/>
            </w:tcBorders>
          </w:tcPr>
          <w:p w14:paraId="1230EC0A"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60" w:type="dxa"/>
            <w:tcBorders>
              <w:top w:val="single" w:sz="4" w:space="0" w:color="auto"/>
            </w:tcBorders>
          </w:tcPr>
          <w:p w14:paraId="79DBF57A"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60" w:type="dxa"/>
            <w:tcBorders>
              <w:top w:val="single" w:sz="4" w:space="0" w:color="auto"/>
            </w:tcBorders>
          </w:tcPr>
          <w:p w14:paraId="066542D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60" w:type="dxa"/>
            <w:tcBorders>
              <w:top w:val="single" w:sz="4" w:space="0" w:color="auto"/>
            </w:tcBorders>
          </w:tcPr>
          <w:p w14:paraId="75C29702"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706" w:type="dxa"/>
            <w:tcBorders>
              <w:top w:val="single" w:sz="4" w:space="0" w:color="auto"/>
            </w:tcBorders>
          </w:tcPr>
          <w:p w14:paraId="4528248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13038922"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Pr>
          <w:p w14:paraId="560DBF67" w14:textId="77777777" w:rsidR="00D43014" w:rsidRPr="00C505F5" w:rsidRDefault="00D43014" w:rsidP="002F782A">
            <w:pPr>
              <w:pStyle w:val="ListParagraph"/>
              <w:ind w:left="0"/>
              <w:rPr>
                <w:rFonts w:cs="Times New Roman"/>
                <w:sz w:val="24"/>
                <w:szCs w:val="24"/>
              </w:rPr>
            </w:pPr>
            <m:oMathPara>
              <m:oMathParaPr>
                <m:jc m:val="left"/>
              </m:oMathParaPr>
              <m:oMath>
                <m:r>
                  <m:rPr>
                    <m:sty m:val="bi"/>
                  </m:rPr>
                  <w:rPr>
                    <w:rFonts w:ascii="Cambria Math" w:hAnsi="Cambria Math" w:cs="Times New Roman"/>
                    <w:sz w:val="24"/>
                    <w:szCs w:val="24"/>
                  </w:rPr>
                  <m:t>∆Res/M</m:t>
                </m:r>
                <m:r>
                  <m:rPr>
                    <m:sty m:val="bi"/>
                  </m:rPr>
                  <w:rPr>
                    <w:rFonts w:ascii="Cambria Math" w:hAnsi="Cambria Math" w:cs="Cambria Math"/>
                    <w:sz w:val="24"/>
                    <w:szCs w:val="24"/>
                  </w:rPr>
                  <m:t>1</m:t>
                </m:r>
              </m:oMath>
            </m:oMathPara>
          </w:p>
        </w:tc>
        <w:tc>
          <w:tcPr>
            <w:tcW w:w="1521" w:type="dxa"/>
          </w:tcPr>
          <w:p w14:paraId="6874ADE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-1.540***</w:t>
            </w:r>
          </w:p>
        </w:tc>
        <w:tc>
          <w:tcPr>
            <w:tcW w:w="1260" w:type="dxa"/>
          </w:tcPr>
          <w:p w14:paraId="5F406ECD"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-15.274</w:t>
            </w:r>
          </w:p>
        </w:tc>
        <w:tc>
          <w:tcPr>
            <w:tcW w:w="1563" w:type="dxa"/>
          </w:tcPr>
          <w:p w14:paraId="45E7A04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-2.016***</w:t>
            </w:r>
          </w:p>
        </w:tc>
        <w:tc>
          <w:tcPr>
            <w:tcW w:w="1260" w:type="dxa"/>
          </w:tcPr>
          <w:p w14:paraId="61FD0D5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-7.732</w:t>
            </w:r>
          </w:p>
        </w:tc>
        <w:tc>
          <w:tcPr>
            <w:tcW w:w="1260" w:type="dxa"/>
          </w:tcPr>
          <w:p w14:paraId="43F600B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2.583</w:t>
            </w:r>
          </w:p>
        </w:tc>
        <w:tc>
          <w:tcPr>
            <w:tcW w:w="1260" w:type="dxa"/>
          </w:tcPr>
          <w:p w14:paraId="4F85A60C"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1.828**</w:t>
            </w:r>
          </w:p>
        </w:tc>
        <w:tc>
          <w:tcPr>
            <w:tcW w:w="1706" w:type="dxa"/>
          </w:tcPr>
          <w:p w14:paraId="553FFE1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-2.138***</w:t>
            </w:r>
          </w:p>
        </w:tc>
      </w:tr>
      <w:tr w:rsidR="00D43014" w:rsidRPr="00C505F5" w14:paraId="5F2427E3" w14:textId="77777777" w:rsidTr="002F782A">
        <w:tc>
          <w:tcPr>
            <w:cnfStyle w:val="001000000000" w:firstRow="0" w:lastRow="0" w:firstColumn="1" w:lastColumn="0" w:oddVBand="0" w:evenVBand="0" w:oddHBand="0" w:evenHBand="0" w:firstRowFirstColumn="0" w:firstRowLastColumn="0" w:lastRowFirstColumn="0" w:lastRowLastColumn="0"/>
            <w:tcW w:w="2169" w:type="dxa"/>
          </w:tcPr>
          <w:p w14:paraId="09B0897D" w14:textId="77777777" w:rsidR="00D43014" w:rsidRPr="00C505F5" w:rsidRDefault="00D43014" w:rsidP="002F782A">
            <w:pPr>
              <w:pStyle w:val="ListParagraph"/>
              <w:ind w:left="0"/>
              <w:rPr>
                <w:rFonts w:cs="Times New Roman"/>
                <w:sz w:val="24"/>
                <w:szCs w:val="24"/>
              </w:rPr>
            </w:pPr>
          </w:p>
        </w:tc>
        <w:tc>
          <w:tcPr>
            <w:tcW w:w="1521" w:type="dxa"/>
          </w:tcPr>
          <w:p w14:paraId="5497335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(0.595)</w:t>
            </w:r>
          </w:p>
        </w:tc>
        <w:tc>
          <w:tcPr>
            <w:tcW w:w="1260" w:type="dxa"/>
          </w:tcPr>
          <w:p w14:paraId="479A3E0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(24.278)</w:t>
            </w:r>
          </w:p>
        </w:tc>
        <w:tc>
          <w:tcPr>
            <w:tcW w:w="1563" w:type="dxa"/>
          </w:tcPr>
          <w:p w14:paraId="034AFBE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(0.698)</w:t>
            </w:r>
          </w:p>
        </w:tc>
        <w:tc>
          <w:tcPr>
            <w:tcW w:w="1260" w:type="dxa"/>
          </w:tcPr>
          <w:p w14:paraId="6EAD659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(7.227)</w:t>
            </w:r>
          </w:p>
        </w:tc>
        <w:tc>
          <w:tcPr>
            <w:tcW w:w="1260" w:type="dxa"/>
          </w:tcPr>
          <w:p w14:paraId="0D201C72"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(5.855)</w:t>
            </w:r>
          </w:p>
        </w:tc>
        <w:tc>
          <w:tcPr>
            <w:tcW w:w="1260" w:type="dxa"/>
          </w:tcPr>
          <w:p w14:paraId="23EFF4E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(0.912)</w:t>
            </w:r>
          </w:p>
        </w:tc>
        <w:tc>
          <w:tcPr>
            <w:tcW w:w="1706" w:type="dxa"/>
          </w:tcPr>
          <w:p w14:paraId="4792A08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(0.267)</w:t>
            </w:r>
          </w:p>
        </w:tc>
      </w:tr>
      <w:tr w:rsidR="00D43014" w:rsidRPr="00C505F5" w14:paraId="305C6A1E"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Pr>
          <w:p w14:paraId="091B240F"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Time trend</w:t>
            </w:r>
          </w:p>
        </w:tc>
        <w:tc>
          <w:tcPr>
            <w:tcW w:w="1521" w:type="dxa"/>
          </w:tcPr>
          <w:p w14:paraId="7142F8D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260" w:type="dxa"/>
          </w:tcPr>
          <w:p w14:paraId="31511C1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563" w:type="dxa"/>
          </w:tcPr>
          <w:p w14:paraId="0FAF32A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260" w:type="dxa"/>
          </w:tcPr>
          <w:p w14:paraId="4F375FD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260" w:type="dxa"/>
          </w:tcPr>
          <w:p w14:paraId="1A64FB9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260" w:type="dxa"/>
          </w:tcPr>
          <w:p w14:paraId="2F14E86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706" w:type="dxa"/>
          </w:tcPr>
          <w:p w14:paraId="5024D71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-0.000*</w:t>
            </w:r>
          </w:p>
        </w:tc>
      </w:tr>
      <w:tr w:rsidR="00D43014" w:rsidRPr="00C505F5" w14:paraId="18F0DED6" w14:textId="77777777" w:rsidTr="002F782A">
        <w:tc>
          <w:tcPr>
            <w:cnfStyle w:val="001000000000" w:firstRow="0" w:lastRow="0" w:firstColumn="1" w:lastColumn="0" w:oddVBand="0" w:evenVBand="0" w:oddHBand="0" w:evenHBand="0" w:firstRowFirstColumn="0" w:firstRowLastColumn="0" w:lastRowFirstColumn="0" w:lastRowLastColumn="0"/>
            <w:tcW w:w="2169" w:type="dxa"/>
          </w:tcPr>
          <w:p w14:paraId="645FD5CA" w14:textId="77777777" w:rsidR="00D43014" w:rsidRPr="00C505F5" w:rsidRDefault="00D43014" w:rsidP="002F782A">
            <w:pPr>
              <w:pStyle w:val="ListParagraph"/>
              <w:ind w:left="0"/>
              <w:rPr>
                <w:rFonts w:cs="Times New Roman"/>
                <w:sz w:val="24"/>
                <w:szCs w:val="24"/>
              </w:rPr>
            </w:pPr>
          </w:p>
        </w:tc>
        <w:tc>
          <w:tcPr>
            <w:tcW w:w="1521" w:type="dxa"/>
          </w:tcPr>
          <w:p w14:paraId="4B999EDE"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260" w:type="dxa"/>
          </w:tcPr>
          <w:p w14:paraId="5F70877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563" w:type="dxa"/>
          </w:tcPr>
          <w:p w14:paraId="7B0A7BE8"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260" w:type="dxa"/>
          </w:tcPr>
          <w:p w14:paraId="5C4067A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260" w:type="dxa"/>
          </w:tcPr>
          <w:p w14:paraId="2DD5023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260" w:type="dxa"/>
          </w:tcPr>
          <w:p w14:paraId="5FC34A61"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706" w:type="dxa"/>
          </w:tcPr>
          <w:p w14:paraId="620946E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r>
      <w:tr w:rsidR="00D43014" w:rsidRPr="00C505F5" w14:paraId="5BB2F430"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Pr>
          <w:p w14:paraId="6BA17AF3"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Constant</w:t>
            </w:r>
          </w:p>
        </w:tc>
        <w:tc>
          <w:tcPr>
            <w:tcW w:w="1521" w:type="dxa"/>
          </w:tcPr>
          <w:p w14:paraId="2CF6B9DC"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4.449***</w:t>
            </w:r>
          </w:p>
        </w:tc>
        <w:tc>
          <w:tcPr>
            <w:tcW w:w="1260" w:type="dxa"/>
          </w:tcPr>
          <w:p w14:paraId="1044F0E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4.937***</w:t>
            </w:r>
          </w:p>
        </w:tc>
        <w:tc>
          <w:tcPr>
            <w:tcW w:w="1563" w:type="dxa"/>
          </w:tcPr>
          <w:p w14:paraId="3FD9DE4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4.435***</w:t>
            </w:r>
          </w:p>
        </w:tc>
        <w:tc>
          <w:tcPr>
            <w:tcW w:w="1260" w:type="dxa"/>
          </w:tcPr>
          <w:p w14:paraId="24310AE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4.490***</w:t>
            </w:r>
          </w:p>
        </w:tc>
        <w:tc>
          <w:tcPr>
            <w:tcW w:w="1260" w:type="dxa"/>
          </w:tcPr>
          <w:p w14:paraId="087C3A34"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4.227***</w:t>
            </w:r>
          </w:p>
        </w:tc>
        <w:tc>
          <w:tcPr>
            <w:tcW w:w="1260" w:type="dxa"/>
          </w:tcPr>
          <w:p w14:paraId="20D1A12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4.752***</w:t>
            </w:r>
          </w:p>
        </w:tc>
        <w:tc>
          <w:tcPr>
            <w:tcW w:w="1706" w:type="dxa"/>
          </w:tcPr>
          <w:p w14:paraId="25201AD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4.847***</w:t>
            </w:r>
          </w:p>
        </w:tc>
      </w:tr>
      <w:tr w:rsidR="00D43014" w:rsidRPr="00C505F5" w14:paraId="520760E5" w14:textId="77777777" w:rsidTr="002F782A">
        <w:tc>
          <w:tcPr>
            <w:cnfStyle w:val="001000000000" w:firstRow="0" w:lastRow="0" w:firstColumn="1" w:lastColumn="0" w:oddVBand="0" w:evenVBand="0" w:oddHBand="0" w:evenHBand="0" w:firstRowFirstColumn="0" w:firstRowLastColumn="0" w:lastRowFirstColumn="0" w:lastRowLastColumn="0"/>
            <w:tcW w:w="2169" w:type="dxa"/>
          </w:tcPr>
          <w:p w14:paraId="7B4EAADA" w14:textId="77777777" w:rsidR="00D43014" w:rsidRPr="00C505F5" w:rsidRDefault="00D43014" w:rsidP="002F782A">
            <w:pPr>
              <w:pStyle w:val="ListParagraph"/>
              <w:ind w:left="0"/>
              <w:rPr>
                <w:rFonts w:cs="Times New Roman"/>
                <w:sz w:val="24"/>
                <w:szCs w:val="24"/>
              </w:rPr>
            </w:pPr>
          </w:p>
        </w:tc>
        <w:tc>
          <w:tcPr>
            <w:tcW w:w="1521" w:type="dxa"/>
          </w:tcPr>
          <w:p w14:paraId="13FD7019"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(0.044)</w:t>
            </w:r>
          </w:p>
        </w:tc>
        <w:tc>
          <w:tcPr>
            <w:tcW w:w="1260" w:type="dxa"/>
          </w:tcPr>
          <w:p w14:paraId="7CC22F2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(0.425)</w:t>
            </w:r>
          </w:p>
        </w:tc>
        <w:tc>
          <w:tcPr>
            <w:tcW w:w="1563" w:type="dxa"/>
          </w:tcPr>
          <w:p w14:paraId="409783E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(0.076)</w:t>
            </w:r>
          </w:p>
        </w:tc>
        <w:tc>
          <w:tcPr>
            <w:tcW w:w="1260" w:type="dxa"/>
          </w:tcPr>
          <w:p w14:paraId="0FABBFF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(0.106)</w:t>
            </w:r>
          </w:p>
        </w:tc>
        <w:tc>
          <w:tcPr>
            <w:tcW w:w="1260" w:type="dxa"/>
          </w:tcPr>
          <w:p w14:paraId="4AEF0233"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(0.236)</w:t>
            </w:r>
          </w:p>
        </w:tc>
        <w:tc>
          <w:tcPr>
            <w:tcW w:w="1260" w:type="dxa"/>
          </w:tcPr>
          <w:p w14:paraId="4E343837"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(0.116)</w:t>
            </w:r>
          </w:p>
        </w:tc>
        <w:tc>
          <w:tcPr>
            <w:tcW w:w="1706" w:type="dxa"/>
          </w:tcPr>
          <w:p w14:paraId="445D801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(0.014)</w:t>
            </w:r>
          </w:p>
        </w:tc>
      </w:tr>
      <w:tr w:rsidR="00D43014" w:rsidRPr="00C505F5" w14:paraId="289BBEBF"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bottom w:val="single" w:sz="4" w:space="0" w:color="auto"/>
            </w:tcBorders>
          </w:tcPr>
          <w:p w14:paraId="001D2509" w14:textId="77777777" w:rsidR="00D43014" w:rsidRPr="00C505F5" w:rsidRDefault="00D43014" w:rsidP="002F782A">
            <w:pPr>
              <w:pStyle w:val="ListParagraph"/>
              <w:ind w:left="0"/>
              <w:rPr>
                <w:rFonts w:cs="Times New Roman"/>
                <w:sz w:val="24"/>
                <w:szCs w:val="24"/>
              </w:rPr>
            </w:pPr>
          </w:p>
        </w:tc>
        <w:tc>
          <w:tcPr>
            <w:tcW w:w="1521" w:type="dxa"/>
            <w:tcBorders>
              <w:bottom w:val="single" w:sz="4" w:space="0" w:color="auto"/>
            </w:tcBorders>
          </w:tcPr>
          <w:p w14:paraId="792276B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3A30A63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63" w:type="dxa"/>
            <w:tcBorders>
              <w:bottom w:val="single" w:sz="4" w:space="0" w:color="auto"/>
            </w:tcBorders>
          </w:tcPr>
          <w:p w14:paraId="77657780"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0AA65C7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2B35271B"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3129F84C"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706" w:type="dxa"/>
            <w:tcBorders>
              <w:bottom w:val="single" w:sz="4" w:space="0" w:color="auto"/>
            </w:tcBorders>
          </w:tcPr>
          <w:p w14:paraId="32274C0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610D318A" w14:textId="77777777" w:rsidTr="002F782A">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tcBorders>
          </w:tcPr>
          <w:p w14:paraId="79F16CF1"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Observations</w:t>
            </w:r>
          </w:p>
        </w:tc>
        <w:tc>
          <w:tcPr>
            <w:tcW w:w="1521" w:type="dxa"/>
            <w:tcBorders>
              <w:top w:val="single" w:sz="4" w:space="0" w:color="auto"/>
            </w:tcBorders>
          </w:tcPr>
          <w:p w14:paraId="3DED454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260" w:type="dxa"/>
            <w:tcBorders>
              <w:top w:val="single" w:sz="4" w:space="0" w:color="auto"/>
            </w:tcBorders>
          </w:tcPr>
          <w:p w14:paraId="5288563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141</w:t>
            </w:r>
          </w:p>
        </w:tc>
        <w:tc>
          <w:tcPr>
            <w:tcW w:w="1563" w:type="dxa"/>
            <w:tcBorders>
              <w:top w:val="single" w:sz="4" w:space="0" w:color="auto"/>
            </w:tcBorders>
          </w:tcPr>
          <w:p w14:paraId="5361560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145</w:t>
            </w:r>
          </w:p>
        </w:tc>
        <w:tc>
          <w:tcPr>
            <w:tcW w:w="1260" w:type="dxa"/>
            <w:tcBorders>
              <w:top w:val="single" w:sz="4" w:space="0" w:color="auto"/>
            </w:tcBorders>
          </w:tcPr>
          <w:p w14:paraId="582D10C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169</w:t>
            </w:r>
          </w:p>
        </w:tc>
        <w:tc>
          <w:tcPr>
            <w:tcW w:w="1260" w:type="dxa"/>
            <w:tcBorders>
              <w:top w:val="single" w:sz="4" w:space="0" w:color="auto"/>
            </w:tcBorders>
          </w:tcPr>
          <w:p w14:paraId="53EA30E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157</w:t>
            </w:r>
          </w:p>
        </w:tc>
        <w:tc>
          <w:tcPr>
            <w:tcW w:w="1260" w:type="dxa"/>
            <w:tcBorders>
              <w:top w:val="single" w:sz="4" w:space="0" w:color="auto"/>
            </w:tcBorders>
          </w:tcPr>
          <w:p w14:paraId="5A641DF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97</w:t>
            </w:r>
          </w:p>
        </w:tc>
        <w:tc>
          <w:tcPr>
            <w:tcW w:w="1706" w:type="dxa"/>
            <w:tcBorders>
              <w:top w:val="single" w:sz="4" w:space="0" w:color="auto"/>
            </w:tcBorders>
          </w:tcPr>
          <w:p w14:paraId="4DDE37B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r>
      <w:tr w:rsidR="00D43014" w:rsidRPr="00C505F5" w14:paraId="09582BC6"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bottom w:val="single" w:sz="4" w:space="0" w:color="auto"/>
            </w:tcBorders>
          </w:tcPr>
          <w:p w14:paraId="523259D7" w14:textId="77777777" w:rsidR="00D43014" w:rsidRPr="00C505F5" w:rsidRDefault="00D43014" w:rsidP="002F782A">
            <w:pPr>
              <w:pStyle w:val="ListParagraph"/>
              <w:ind w:left="0"/>
              <w:rPr>
                <w:rFonts w:cs="Times New Roman"/>
                <w:sz w:val="24"/>
                <w:szCs w:val="24"/>
              </w:rPr>
            </w:pPr>
          </w:p>
        </w:tc>
        <w:tc>
          <w:tcPr>
            <w:tcW w:w="1521" w:type="dxa"/>
            <w:tcBorders>
              <w:bottom w:val="single" w:sz="4" w:space="0" w:color="auto"/>
            </w:tcBorders>
          </w:tcPr>
          <w:p w14:paraId="70AD7DB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4ABCFC4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63" w:type="dxa"/>
            <w:tcBorders>
              <w:bottom w:val="single" w:sz="4" w:space="0" w:color="auto"/>
            </w:tcBorders>
          </w:tcPr>
          <w:p w14:paraId="4F26C9CB"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1E184BB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251D4C3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70020F0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706" w:type="dxa"/>
            <w:tcBorders>
              <w:bottom w:val="single" w:sz="4" w:space="0" w:color="auto"/>
            </w:tcBorders>
          </w:tcPr>
          <w:p w14:paraId="1A06939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4537DD1A" w14:textId="77777777" w:rsidTr="002F782A">
        <w:tc>
          <w:tcPr>
            <w:cnfStyle w:val="001000000000" w:firstRow="0" w:lastRow="0" w:firstColumn="1" w:lastColumn="0" w:oddVBand="0" w:evenVBand="0" w:oddHBand="0" w:evenHBand="0" w:firstRowFirstColumn="0" w:firstRowLastColumn="0" w:lastRowFirstColumn="0" w:lastRowLastColumn="0"/>
            <w:tcW w:w="11999" w:type="dxa"/>
            <w:gridSpan w:val="8"/>
            <w:tcBorders>
              <w:top w:val="single" w:sz="4" w:space="0" w:color="auto"/>
            </w:tcBorders>
          </w:tcPr>
          <w:p w14:paraId="1693F558"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Robust standard errors in parentheses; *** p&lt;0.01, ** p&lt;0.05, * p&lt;0.1</w:t>
            </w:r>
          </w:p>
        </w:tc>
      </w:tr>
    </w:tbl>
    <w:p w14:paraId="0B2A07C3" w14:textId="77777777" w:rsidR="00D43014" w:rsidRPr="00C505F5" w:rsidRDefault="00D43014" w:rsidP="00D43014">
      <w:pPr>
        <w:pStyle w:val="ListParagraph"/>
        <w:rPr>
          <w:rFonts w:cs="Times New Roman"/>
          <w:b/>
          <w:sz w:val="28"/>
        </w:rPr>
      </w:pPr>
    </w:p>
    <w:p w14:paraId="0D8D3B9C" w14:textId="77777777" w:rsidR="00D43014" w:rsidRPr="00C505F5" w:rsidRDefault="00D43014" w:rsidP="00D43014">
      <w:pPr>
        <w:pStyle w:val="ListParagraph"/>
        <w:spacing w:after="0"/>
        <w:rPr>
          <w:rFonts w:cs="Times New Roman"/>
          <w:b/>
          <w:sz w:val="28"/>
        </w:rPr>
      </w:pPr>
      <w:r w:rsidRPr="00C505F5">
        <w:rPr>
          <w:rFonts w:cs="Times New Roman"/>
          <w:b/>
          <w:sz w:val="28"/>
        </w:rPr>
        <w:lastRenderedPageBreak/>
        <w:t xml:space="preserve">B5) IV: Log of REER on </w:t>
      </w:r>
      <m:oMath>
        <m:r>
          <w:rPr>
            <w:rFonts w:ascii="Cambria Math" w:hAnsi="Cambria Math" w:cs="Times New Roman"/>
            <w:sz w:val="24"/>
            <w:szCs w:val="24"/>
          </w:rPr>
          <m:t>∆</m:t>
        </m:r>
        <m:r>
          <m:rPr>
            <m:sty m:val="bi"/>
          </m:rPr>
          <w:rPr>
            <w:rFonts w:ascii="Cambria Math" w:hAnsi="Cambria Math" w:cs="Times New Roman"/>
            <w:sz w:val="24"/>
            <w:szCs w:val="24"/>
          </w:rPr>
          <m:t>Res</m:t>
        </m:r>
        <m:r>
          <w:rPr>
            <w:rFonts w:ascii="Cambria Math" w:hAnsi="Cambria Math" w:cs="Times New Roman"/>
            <w:sz w:val="24"/>
            <w:szCs w:val="24"/>
          </w:rPr>
          <m:t>/</m:t>
        </m:r>
        <m:r>
          <m:rPr>
            <m:sty m:val="bi"/>
          </m:rPr>
          <w:rPr>
            <w:rFonts w:ascii="Cambria Math" w:hAnsi="Cambria Math" w:cs="Times New Roman"/>
            <w:sz w:val="24"/>
            <w:szCs w:val="24"/>
          </w:rPr>
          <m:t>M</m:t>
        </m:r>
        <m:r>
          <m:rPr>
            <m:sty m:val="bi"/>
          </m:rPr>
          <w:rPr>
            <w:rFonts w:ascii="Cambria Math" w:hAnsi="Cambria Math" w:cs="Cambria Math"/>
            <w:sz w:val="24"/>
            <w:szCs w:val="24"/>
          </w:rPr>
          <m:t>B</m:t>
        </m:r>
      </m:oMath>
      <w:r w:rsidRPr="00C505F5">
        <w:rPr>
          <w:rFonts w:cs="Times New Roman"/>
          <w:b/>
          <w:sz w:val="28"/>
        </w:rPr>
        <w:t xml:space="preserve"> and a time trend</w:t>
      </w:r>
    </w:p>
    <w:p w14:paraId="7E348DB6" w14:textId="77777777" w:rsidR="00D43014" w:rsidRPr="00C505F5" w:rsidRDefault="00D43014" w:rsidP="00D43014">
      <w:pPr>
        <w:pStyle w:val="ListParagraph"/>
        <w:spacing w:after="0"/>
        <w:rPr>
          <w:rFonts w:cs="Times New Roman"/>
          <w:sz w:val="24"/>
        </w:rPr>
      </w:pPr>
      <w:r w:rsidRPr="00C505F5">
        <w:rPr>
          <w:rFonts w:cs="Times New Roman"/>
          <w:sz w:val="24"/>
        </w:rPr>
        <w:t>Instruments: log of VIX and a price index</w:t>
      </w:r>
    </w:p>
    <w:tbl>
      <w:tblPr>
        <w:tblStyle w:val="PlainTable41"/>
        <w:tblW w:w="0" w:type="auto"/>
        <w:tblLayout w:type="fixed"/>
        <w:tblLook w:val="04A0" w:firstRow="1" w:lastRow="0" w:firstColumn="1" w:lastColumn="0" w:noHBand="0" w:noVBand="1"/>
      </w:tblPr>
      <w:tblGrid>
        <w:gridCol w:w="2007"/>
        <w:gridCol w:w="1146"/>
        <w:gridCol w:w="1148"/>
        <w:gridCol w:w="1148"/>
        <w:gridCol w:w="1229"/>
        <w:gridCol w:w="1067"/>
        <w:gridCol w:w="1093"/>
        <w:gridCol w:w="1170"/>
        <w:gridCol w:w="1260"/>
        <w:gridCol w:w="1258"/>
        <w:gridCol w:w="1311"/>
      </w:tblGrid>
      <w:tr w:rsidR="00D43014" w:rsidRPr="00C505F5" w14:paraId="5B96F665"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Borders>
              <w:top w:val="single" w:sz="4" w:space="0" w:color="auto"/>
            </w:tcBorders>
          </w:tcPr>
          <w:p w14:paraId="412D683E" w14:textId="77777777" w:rsidR="00D43014" w:rsidRPr="00C505F5" w:rsidRDefault="00D43014" w:rsidP="002F782A">
            <w:pPr>
              <w:rPr>
                <w:rFonts w:cs="Times New Roman"/>
              </w:rPr>
            </w:pPr>
          </w:p>
        </w:tc>
        <w:tc>
          <w:tcPr>
            <w:tcW w:w="1146" w:type="dxa"/>
            <w:tcBorders>
              <w:top w:val="single" w:sz="4" w:space="0" w:color="auto"/>
            </w:tcBorders>
          </w:tcPr>
          <w:p w14:paraId="0604E65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w:t>
            </w:r>
          </w:p>
        </w:tc>
        <w:tc>
          <w:tcPr>
            <w:tcW w:w="1148" w:type="dxa"/>
            <w:tcBorders>
              <w:top w:val="single" w:sz="4" w:space="0" w:color="auto"/>
            </w:tcBorders>
          </w:tcPr>
          <w:p w14:paraId="050687C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(2)</w:t>
            </w:r>
          </w:p>
        </w:tc>
        <w:tc>
          <w:tcPr>
            <w:tcW w:w="1148" w:type="dxa"/>
            <w:tcBorders>
              <w:top w:val="single" w:sz="4" w:space="0" w:color="auto"/>
            </w:tcBorders>
          </w:tcPr>
          <w:p w14:paraId="6694B3A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(3)</w:t>
            </w:r>
          </w:p>
        </w:tc>
        <w:tc>
          <w:tcPr>
            <w:tcW w:w="1229" w:type="dxa"/>
            <w:tcBorders>
              <w:top w:val="single" w:sz="4" w:space="0" w:color="auto"/>
            </w:tcBorders>
          </w:tcPr>
          <w:p w14:paraId="71BC7131"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(4)</w:t>
            </w:r>
          </w:p>
        </w:tc>
        <w:tc>
          <w:tcPr>
            <w:tcW w:w="1067" w:type="dxa"/>
            <w:tcBorders>
              <w:top w:val="single" w:sz="4" w:space="0" w:color="auto"/>
            </w:tcBorders>
          </w:tcPr>
          <w:p w14:paraId="654F641A"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(5)</w:t>
            </w:r>
          </w:p>
        </w:tc>
        <w:tc>
          <w:tcPr>
            <w:tcW w:w="1093" w:type="dxa"/>
            <w:tcBorders>
              <w:top w:val="single" w:sz="4" w:space="0" w:color="auto"/>
            </w:tcBorders>
          </w:tcPr>
          <w:p w14:paraId="31C02AAA"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(6)</w:t>
            </w:r>
          </w:p>
        </w:tc>
        <w:tc>
          <w:tcPr>
            <w:tcW w:w="1170" w:type="dxa"/>
            <w:tcBorders>
              <w:top w:val="single" w:sz="4" w:space="0" w:color="auto"/>
            </w:tcBorders>
          </w:tcPr>
          <w:p w14:paraId="343180D8"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(7)</w:t>
            </w:r>
          </w:p>
        </w:tc>
        <w:tc>
          <w:tcPr>
            <w:tcW w:w="1260" w:type="dxa"/>
            <w:tcBorders>
              <w:top w:val="single" w:sz="4" w:space="0" w:color="auto"/>
            </w:tcBorders>
          </w:tcPr>
          <w:p w14:paraId="6A28A41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(8)</w:t>
            </w:r>
          </w:p>
        </w:tc>
        <w:tc>
          <w:tcPr>
            <w:tcW w:w="1258" w:type="dxa"/>
            <w:tcBorders>
              <w:top w:val="single" w:sz="4" w:space="0" w:color="auto"/>
            </w:tcBorders>
          </w:tcPr>
          <w:p w14:paraId="342B634A"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(9)</w:t>
            </w:r>
          </w:p>
        </w:tc>
        <w:tc>
          <w:tcPr>
            <w:tcW w:w="1311" w:type="dxa"/>
            <w:tcBorders>
              <w:top w:val="single" w:sz="4" w:space="0" w:color="auto"/>
            </w:tcBorders>
          </w:tcPr>
          <w:p w14:paraId="7F8CE76B"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p>
        </w:tc>
      </w:tr>
      <w:tr w:rsidR="00D43014" w:rsidRPr="00C505F5" w14:paraId="014D1D8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Borders>
              <w:bottom w:val="single" w:sz="4" w:space="0" w:color="auto"/>
            </w:tcBorders>
          </w:tcPr>
          <w:p w14:paraId="49776AB7" w14:textId="77777777" w:rsidR="00D43014" w:rsidRPr="00C505F5" w:rsidRDefault="00D43014" w:rsidP="002F782A">
            <w:pPr>
              <w:rPr>
                <w:rFonts w:cs="Times New Roman"/>
              </w:rPr>
            </w:pPr>
            <w:r w:rsidRPr="00C505F5">
              <w:rPr>
                <w:rFonts w:cs="Times New Roman"/>
              </w:rPr>
              <w:t>VARIABLES</w:t>
            </w:r>
          </w:p>
        </w:tc>
        <w:tc>
          <w:tcPr>
            <w:tcW w:w="1146" w:type="dxa"/>
            <w:tcBorders>
              <w:bottom w:val="single" w:sz="4" w:space="0" w:color="auto"/>
            </w:tcBorders>
          </w:tcPr>
          <w:p w14:paraId="0545C92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 Africa</w:t>
            </w:r>
          </w:p>
        </w:tc>
        <w:tc>
          <w:tcPr>
            <w:tcW w:w="1148" w:type="dxa"/>
            <w:tcBorders>
              <w:bottom w:val="single" w:sz="4" w:space="0" w:color="auto"/>
            </w:tcBorders>
          </w:tcPr>
          <w:p w14:paraId="6142620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Brazil</w:t>
            </w:r>
          </w:p>
        </w:tc>
        <w:tc>
          <w:tcPr>
            <w:tcW w:w="1148" w:type="dxa"/>
            <w:tcBorders>
              <w:bottom w:val="single" w:sz="4" w:space="0" w:color="auto"/>
            </w:tcBorders>
          </w:tcPr>
          <w:p w14:paraId="4AB7EC0E"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Chile</w:t>
            </w:r>
          </w:p>
        </w:tc>
        <w:tc>
          <w:tcPr>
            <w:tcW w:w="1229" w:type="dxa"/>
            <w:tcBorders>
              <w:bottom w:val="single" w:sz="4" w:space="0" w:color="auto"/>
            </w:tcBorders>
          </w:tcPr>
          <w:p w14:paraId="0CE7A770"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Colombia</w:t>
            </w:r>
          </w:p>
        </w:tc>
        <w:tc>
          <w:tcPr>
            <w:tcW w:w="1067" w:type="dxa"/>
            <w:tcBorders>
              <w:bottom w:val="single" w:sz="4" w:space="0" w:color="auto"/>
            </w:tcBorders>
          </w:tcPr>
          <w:p w14:paraId="2E0F18B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Peru</w:t>
            </w:r>
          </w:p>
        </w:tc>
        <w:tc>
          <w:tcPr>
            <w:tcW w:w="1093" w:type="dxa"/>
            <w:tcBorders>
              <w:bottom w:val="single" w:sz="4" w:space="0" w:color="auto"/>
            </w:tcBorders>
          </w:tcPr>
          <w:p w14:paraId="143380E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UAE</w:t>
            </w:r>
          </w:p>
        </w:tc>
        <w:tc>
          <w:tcPr>
            <w:tcW w:w="1170" w:type="dxa"/>
            <w:tcBorders>
              <w:bottom w:val="single" w:sz="4" w:space="0" w:color="auto"/>
            </w:tcBorders>
          </w:tcPr>
          <w:p w14:paraId="16E479F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Indonesia</w:t>
            </w:r>
          </w:p>
        </w:tc>
        <w:tc>
          <w:tcPr>
            <w:tcW w:w="1260" w:type="dxa"/>
            <w:tcBorders>
              <w:bottom w:val="single" w:sz="4" w:space="0" w:color="auto"/>
            </w:tcBorders>
          </w:tcPr>
          <w:p w14:paraId="5627584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Papua NG</w:t>
            </w:r>
          </w:p>
        </w:tc>
        <w:tc>
          <w:tcPr>
            <w:tcW w:w="1258" w:type="dxa"/>
            <w:tcBorders>
              <w:bottom w:val="single" w:sz="4" w:space="0" w:color="auto"/>
            </w:tcBorders>
          </w:tcPr>
          <w:p w14:paraId="3E72CFC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Azerbaij</w:t>
            </w:r>
            <w:r>
              <w:rPr>
                <w:rFonts w:cs="Times New Roman"/>
                <w:b/>
              </w:rPr>
              <w:t xml:space="preserve">an </w:t>
            </w:r>
          </w:p>
        </w:tc>
        <w:tc>
          <w:tcPr>
            <w:tcW w:w="1311" w:type="dxa"/>
            <w:tcBorders>
              <w:bottom w:val="single" w:sz="4" w:space="0" w:color="auto"/>
            </w:tcBorders>
          </w:tcPr>
          <w:p w14:paraId="55999DF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p>
        </w:tc>
      </w:tr>
      <w:tr w:rsidR="00D43014" w:rsidRPr="00C505F5" w14:paraId="4765351C" w14:textId="77777777" w:rsidTr="002F782A">
        <w:tc>
          <w:tcPr>
            <w:cnfStyle w:val="001000000000" w:firstRow="0" w:lastRow="0" w:firstColumn="1" w:lastColumn="0" w:oddVBand="0" w:evenVBand="0" w:oddHBand="0" w:evenHBand="0" w:firstRowFirstColumn="0" w:firstRowLastColumn="0" w:lastRowFirstColumn="0" w:lastRowLastColumn="0"/>
            <w:tcW w:w="2007" w:type="dxa"/>
            <w:tcBorders>
              <w:top w:val="single" w:sz="4" w:space="0" w:color="auto"/>
            </w:tcBorders>
          </w:tcPr>
          <w:p w14:paraId="0672FBB2" w14:textId="77777777" w:rsidR="00D43014" w:rsidRPr="00C505F5" w:rsidRDefault="00D43014" w:rsidP="002F782A">
            <w:pPr>
              <w:rPr>
                <w:rFonts w:cs="Times New Roman"/>
              </w:rPr>
            </w:pPr>
          </w:p>
        </w:tc>
        <w:tc>
          <w:tcPr>
            <w:tcW w:w="1146" w:type="dxa"/>
            <w:tcBorders>
              <w:top w:val="single" w:sz="4" w:space="0" w:color="auto"/>
            </w:tcBorders>
          </w:tcPr>
          <w:p w14:paraId="042E96D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148" w:type="dxa"/>
            <w:tcBorders>
              <w:top w:val="single" w:sz="4" w:space="0" w:color="auto"/>
            </w:tcBorders>
          </w:tcPr>
          <w:p w14:paraId="0A5E47E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148" w:type="dxa"/>
            <w:tcBorders>
              <w:top w:val="single" w:sz="4" w:space="0" w:color="auto"/>
            </w:tcBorders>
          </w:tcPr>
          <w:p w14:paraId="5DFA2D0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29" w:type="dxa"/>
            <w:tcBorders>
              <w:top w:val="single" w:sz="4" w:space="0" w:color="auto"/>
            </w:tcBorders>
          </w:tcPr>
          <w:p w14:paraId="619E83C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067" w:type="dxa"/>
            <w:tcBorders>
              <w:top w:val="single" w:sz="4" w:space="0" w:color="auto"/>
            </w:tcBorders>
          </w:tcPr>
          <w:p w14:paraId="1932CE3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093" w:type="dxa"/>
            <w:tcBorders>
              <w:top w:val="single" w:sz="4" w:space="0" w:color="auto"/>
            </w:tcBorders>
          </w:tcPr>
          <w:p w14:paraId="4D1D50F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170" w:type="dxa"/>
            <w:tcBorders>
              <w:top w:val="single" w:sz="4" w:space="0" w:color="auto"/>
            </w:tcBorders>
          </w:tcPr>
          <w:p w14:paraId="78B911A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60" w:type="dxa"/>
            <w:tcBorders>
              <w:top w:val="single" w:sz="4" w:space="0" w:color="auto"/>
            </w:tcBorders>
          </w:tcPr>
          <w:p w14:paraId="6EE6939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58" w:type="dxa"/>
            <w:tcBorders>
              <w:top w:val="single" w:sz="4" w:space="0" w:color="auto"/>
            </w:tcBorders>
          </w:tcPr>
          <w:p w14:paraId="1EB9385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311" w:type="dxa"/>
            <w:tcBorders>
              <w:top w:val="single" w:sz="4" w:space="0" w:color="auto"/>
            </w:tcBorders>
          </w:tcPr>
          <w:p w14:paraId="42B225E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43B8CC1D"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Pr>
          <w:p w14:paraId="10B3485E" w14:textId="77777777" w:rsidR="00D43014" w:rsidRPr="00C505F5" w:rsidRDefault="00D43014" w:rsidP="002F782A">
            <w:pPr>
              <w:jc w:val="both"/>
              <w:rPr>
                <w:rFonts w:cs="Times New Roman"/>
              </w:rPr>
            </w:pPr>
            <m:oMathPara>
              <m:oMathParaPr>
                <m:jc m:val="left"/>
              </m:oMathParaPr>
              <m:oMath>
                <m:r>
                  <m:rPr>
                    <m:sty m:val="bi"/>
                  </m:rPr>
                  <w:rPr>
                    <w:rFonts w:ascii="Cambria Math" w:hAnsi="Cambria Math" w:cs="Times New Roman"/>
                    <w:sz w:val="24"/>
                    <w:szCs w:val="24"/>
                  </w:rPr>
                  <m:t>∆Res/M</m:t>
                </m:r>
                <m:r>
                  <m:rPr>
                    <m:sty m:val="bi"/>
                  </m:rPr>
                  <w:rPr>
                    <w:rFonts w:ascii="Cambria Math" w:hAnsi="Cambria Math" w:cs="Cambria Math"/>
                    <w:sz w:val="24"/>
                    <w:szCs w:val="24"/>
                  </w:rPr>
                  <m:t>B</m:t>
                </m:r>
              </m:oMath>
            </m:oMathPara>
          </w:p>
        </w:tc>
        <w:tc>
          <w:tcPr>
            <w:tcW w:w="1146" w:type="dxa"/>
          </w:tcPr>
          <w:p w14:paraId="48EC05C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5.846***</w:t>
            </w:r>
          </w:p>
        </w:tc>
        <w:tc>
          <w:tcPr>
            <w:tcW w:w="1148" w:type="dxa"/>
          </w:tcPr>
          <w:p w14:paraId="21A6960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6.750***</w:t>
            </w:r>
          </w:p>
        </w:tc>
        <w:tc>
          <w:tcPr>
            <w:tcW w:w="1148" w:type="dxa"/>
          </w:tcPr>
          <w:p w14:paraId="0ED5A81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2.741***</w:t>
            </w:r>
          </w:p>
        </w:tc>
        <w:tc>
          <w:tcPr>
            <w:tcW w:w="1229" w:type="dxa"/>
          </w:tcPr>
          <w:p w14:paraId="359E3A4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5.419**</w:t>
            </w:r>
          </w:p>
        </w:tc>
        <w:tc>
          <w:tcPr>
            <w:tcW w:w="1067" w:type="dxa"/>
          </w:tcPr>
          <w:p w14:paraId="122E409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-0.461*</w:t>
            </w:r>
          </w:p>
        </w:tc>
        <w:tc>
          <w:tcPr>
            <w:tcW w:w="1093" w:type="dxa"/>
          </w:tcPr>
          <w:p w14:paraId="137073F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-0.568**</w:t>
            </w:r>
          </w:p>
        </w:tc>
        <w:tc>
          <w:tcPr>
            <w:tcW w:w="1170" w:type="dxa"/>
          </w:tcPr>
          <w:p w14:paraId="5C1D8A6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-8.107</w:t>
            </w:r>
          </w:p>
        </w:tc>
        <w:tc>
          <w:tcPr>
            <w:tcW w:w="1260" w:type="dxa"/>
          </w:tcPr>
          <w:p w14:paraId="745413D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-0.231</w:t>
            </w:r>
          </w:p>
        </w:tc>
        <w:tc>
          <w:tcPr>
            <w:tcW w:w="1258" w:type="dxa"/>
          </w:tcPr>
          <w:p w14:paraId="588A31A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-1.468**</w:t>
            </w:r>
          </w:p>
        </w:tc>
        <w:tc>
          <w:tcPr>
            <w:tcW w:w="1311" w:type="dxa"/>
          </w:tcPr>
          <w:p w14:paraId="48A02BB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07693B31" w14:textId="77777777" w:rsidTr="002F782A">
        <w:tc>
          <w:tcPr>
            <w:cnfStyle w:val="001000000000" w:firstRow="0" w:lastRow="0" w:firstColumn="1" w:lastColumn="0" w:oddVBand="0" w:evenVBand="0" w:oddHBand="0" w:evenHBand="0" w:firstRowFirstColumn="0" w:firstRowLastColumn="0" w:lastRowFirstColumn="0" w:lastRowLastColumn="0"/>
            <w:tcW w:w="2007" w:type="dxa"/>
          </w:tcPr>
          <w:p w14:paraId="237B51D3" w14:textId="77777777" w:rsidR="00D43014" w:rsidRPr="00C505F5" w:rsidRDefault="00D43014" w:rsidP="002F782A">
            <w:pPr>
              <w:rPr>
                <w:rFonts w:cs="Times New Roman"/>
              </w:rPr>
            </w:pPr>
          </w:p>
        </w:tc>
        <w:tc>
          <w:tcPr>
            <w:tcW w:w="1146" w:type="dxa"/>
          </w:tcPr>
          <w:p w14:paraId="4CFEC49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(1.389)</w:t>
            </w:r>
          </w:p>
        </w:tc>
        <w:tc>
          <w:tcPr>
            <w:tcW w:w="1148" w:type="dxa"/>
          </w:tcPr>
          <w:p w14:paraId="64C8FD3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(2.053)</w:t>
            </w:r>
          </w:p>
        </w:tc>
        <w:tc>
          <w:tcPr>
            <w:tcW w:w="1148" w:type="dxa"/>
          </w:tcPr>
          <w:p w14:paraId="0DA72CC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(0.814)</w:t>
            </w:r>
          </w:p>
        </w:tc>
        <w:tc>
          <w:tcPr>
            <w:tcW w:w="1229" w:type="dxa"/>
          </w:tcPr>
          <w:p w14:paraId="616E9E0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(2.131)</w:t>
            </w:r>
          </w:p>
        </w:tc>
        <w:tc>
          <w:tcPr>
            <w:tcW w:w="1067" w:type="dxa"/>
          </w:tcPr>
          <w:p w14:paraId="6BB2099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(0.247)</w:t>
            </w:r>
          </w:p>
        </w:tc>
        <w:tc>
          <w:tcPr>
            <w:tcW w:w="1093" w:type="dxa"/>
          </w:tcPr>
          <w:p w14:paraId="282636B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(0.253)</w:t>
            </w:r>
          </w:p>
        </w:tc>
        <w:tc>
          <w:tcPr>
            <w:tcW w:w="1170" w:type="dxa"/>
          </w:tcPr>
          <w:p w14:paraId="5D0E4DD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(18.714)</w:t>
            </w:r>
          </w:p>
        </w:tc>
        <w:tc>
          <w:tcPr>
            <w:tcW w:w="1260" w:type="dxa"/>
          </w:tcPr>
          <w:p w14:paraId="08CC396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(0.207)</w:t>
            </w:r>
          </w:p>
        </w:tc>
        <w:tc>
          <w:tcPr>
            <w:tcW w:w="1258" w:type="dxa"/>
          </w:tcPr>
          <w:p w14:paraId="1DC1C15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(0.579)</w:t>
            </w:r>
          </w:p>
        </w:tc>
        <w:tc>
          <w:tcPr>
            <w:tcW w:w="1311" w:type="dxa"/>
          </w:tcPr>
          <w:p w14:paraId="2D21DEB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73628BA1"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Pr>
          <w:p w14:paraId="6B10892F" w14:textId="77777777" w:rsidR="00D43014" w:rsidRPr="00C505F5" w:rsidRDefault="00D43014" w:rsidP="002F782A">
            <w:pPr>
              <w:rPr>
                <w:rFonts w:cs="Times New Roman"/>
              </w:rPr>
            </w:pPr>
            <w:r w:rsidRPr="00C505F5">
              <w:rPr>
                <w:rFonts w:cs="Times New Roman"/>
              </w:rPr>
              <w:t>Time trend</w:t>
            </w:r>
          </w:p>
        </w:tc>
        <w:tc>
          <w:tcPr>
            <w:tcW w:w="1146" w:type="dxa"/>
          </w:tcPr>
          <w:p w14:paraId="746BCDB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0.000</w:t>
            </w:r>
          </w:p>
        </w:tc>
        <w:tc>
          <w:tcPr>
            <w:tcW w:w="1148" w:type="dxa"/>
          </w:tcPr>
          <w:p w14:paraId="66C049E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148" w:type="dxa"/>
          </w:tcPr>
          <w:p w14:paraId="79E14F4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0.000</w:t>
            </w:r>
          </w:p>
        </w:tc>
        <w:tc>
          <w:tcPr>
            <w:tcW w:w="1229" w:type="dxa"/>
          </w:tcPr>
          <w:p w14:paraId="53AB67D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067" w:type="dxa"/>
          </w:tcPr>
          <w:p w14:paraId="71BC093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093" w:type="dxa"/>
          </w:tcPr>
          <w:p w14:paraId="55BA2F7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170" w:type="dxa"/>
          </w:tcPr>
          <w:p w14:paraId="62BCA45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c>
          <w:tcPr>
            <w:tcW w:w="1260" w:type="dxa"/>
          </w:tcPr>
          <w:p w14:paraId="79F9F7A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c>
          <w:tcPr>
            <w:tcW w:w="1258" w:type="dxa"/>
          </w:tcPr>
          <w:p w14:paraId="059E64D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c>
          <w:tcPr>
            <w:tcW w:w="1311" w:type="dxa"/>
          </w:tcPr>
          <w:p w14:paraId="288E3A6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75A2A750" w14:textId="77777777" w:rsidTr="002F782A">
        <w:tc>
          <w:tcPr>
            <w:cnfStyle w:val="001000000000" w:firstRow="0" w:lastRow="0" w:firstColumn="1" w:lastColumn="0" w:oddVBand="0" w:evenVBand="0" w:oddHBand="0" w:evenHBand="0" w:firstRowFirstColumn="0" w:firstRowLastColumn="0" w:lastRowFirstColumn="0" w:lastRowLastColumn="0"/>
            <w:tcW w:w="2007" w:type="dxa"/>
          </w:tcPr>
          <w:p w14:paraId="26938B03" w14:textId="77777777" w:rsidR="00D43014" w:rsidRPr="00C505F5" w:rsidRDefault="00D43014" w:rsidP="002F782A">
            <w:pPr>
              <w:rPr>
                <w:rFonts w:cs="Times New Roman"/>
              </w:rPr>
            </w:pPr>
          </w:p>
        </w:tc>
        <w:tc>
          <w:tcPr>
            <w:tcW w:w="1146" w:type="dxa"/>
          </w:tcPr>
          <w:p w14:paraId="0548BEB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148" w:type="dxa"/>
          </w:tcPr>
          <w:p w14:paraId="52CA51E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148" w:type="dxa"/>
          </w:tcPr>
          <w:p w14:paraId="36B493F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229" w:type="dxa"/>
          </w:tcPr>
          <w:p w14:paraId="489E039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067" w:type="dxa"/>
          </w:tcPr>
          <w:p w14:paraId="70FB7D0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093" w:type="dxa"/>
          </w:tcPr>
          <w:p w14:paraId="7AF988C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170" w:type="dxa"/>
          </w:tcPr>
          <w:p w14:paraId="5202377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(0.001)</w:t>
            </w:r>
          </w:p>
        </w:tc>
        <w:tc>
          <w:tcPr>
            <w:tcW w:w="1260" w:type="dxa"/>
          </w:tcPr>
          <w:p w14:paraId="3A16374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258" w:type="dxa"/>
          </w:tcPr>
          <w:p w14:paraId="01538C5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311" w:type="dxa"/>
          </w:tcPr>
          <w:p w14:paraId="7D3BAE8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31C1D1F8"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Pr>
          <w:p w14:paraId="7BF997A1" w14:textId="77777777" w:rsidR="00D43014" w:rsidRPr="00C505F5" w:rsidRDefault="00D43014" w:rsidP="002F782A">
            <w:pPr>
              <w:rPr>
                <w:rFonts w:cs="Times New Roman"/>
              </w:rPr>
            </w:pPr>
            <w:r w:rsidRPr="00C505F5">
              <w:rPr>
                <w:rFonts w:cs="Times New Roman"/>
              </w:rPr>
              <w:t>Constant</w:t>
            </w:r>
          </w:p>
        </w:tc>
        <w:tc>
          <w:tcPr>
            <w:tcW w:w="1146" w:type="dxa"/>
          </w:tcPr>
          <w:p w14:paraId="313AE72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4.489***</w:t>
            </w:r>
          </w:p>
        </w:tc>
        <w:tc>
          <w:tcPr>
            <w:tcW w:w="1148" w:type="dxa"/>
          </w:tcPr>
          <w:p w14:paraId="3BC2EA7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4.287***</w:t>
            </w:r>
          </w:p>
        </w:tc>
        <w:tc>
          <w:tcPr>
            <w:tcW w:w="1148" w:type="dxa"/>
          </w:tcPr>
          <w:p w14:paraId="3FAA61A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4.552***</w:t>
            </w:r>
          </w:p>
        </w:tc>
        <w:tc>
          <w:tcPr>
            <w:tcW w:w="1229" w:type="dxa"/>
          </w:tcPr>
          <w:p w14:paraId="0672006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4.455***</w:t>
            </w:r>
          </w:p>
        </w:tc>
        <w:tc>
          <w:tcPr>
            <w:tcW w:w="1067" w:type="dxa"/>
          </w:tcPr>
          <w:p w14:paraId="5E85CE4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4.617***</w:t>
            </w:r>
          </w:p>
        </w:tc>
        <w:tc>
          <w:tcPr>
            <w:tcW w:w="1093" w:type="dxa"/>
          </w:tcPr>
          <w:p w14:paraId="4E482ED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4.547***</w:t>
            </w:r>
          </w:p>
        </w:tc>
        <w:tc>
          <w:tcPr>
            <w:tcW w:w="1170" w:type="dxa"/>
          </w:tcPr>
          <w:p w14:paraId="423B051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4.449***</w:t>
            </w:r>
          </w:p>
        </w:tc>
        <w:tc>
          <w:tcPr>
            <w:tcW w:w="1260" w:type="dxa"/>
          </w:tcPr>
          <w:p w14:paraId="6D401D2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4.446***</w:t>
            </w:r>
          </w:p>
        </w:tc>
        <w:tc>
          <w:tcPr>
            <w:tcW w:w="1258" w:type="dxa"/>
          </w:tcPr>
          <w:p w14:paraId="4FAB1F0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4.445***</w:t>
            </w:r>
          </w:p>
        </w:tc>
        <w:tc>
          <w:tcPr>
            <w:tcW w:w="1311" w:type="dxa"/>
          </w:tcPr>
          <w:p w14:paraId="72D35DC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36E1D877" w14:textId="77777777" w:rsidTr="002F782A">
        <w:tc>
          <w:tcPr>
            <w:cnfStyle w:val="001000000000" w:firstRow="0" w:lastRow="0" w:firstColumn="1" w:lastColumn="0" w:oddVBand="0" w:evenVBand="0" w:oddHBand="0" w:evenHBand="0" w:firstRowFirstColumn="0" w:firstRowLastColumn="0" w:lastRowFirstColumn="0" w:lastRowLastColumn="0"/>
            <w:tcW w:w="2007" w:type="dxa"/>
          </w:tcPr>
          <w:p w14:paraId="73A0EAF0" w14:textId="77777777" w:rsidR="00D43014" w:rsidRPr="00C505F5" w:rsidRDefault="00D43014" w:rsidP="002F782A">
            <w:pPr>
              <w:rPr>
                <w:rFonts w:cs="Times New Roman"/>
              </w:rPr>
            </w:pPr>
          </w:p>
        </w:tc>
        <w:tc>
          <w:tcPr>
            <w:tcW w:w="1146" w:type="dxa"/>
          </w:tcPr>
          <w:p w14:paraId="7F61DCD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(0.045)</w:t>
            </w:r>
          </w:p>
        </w:tc>
        <w:tc>
          <w:tcPr>
            <w:tcW w:w="1148" w:type="dxa"/>
          </w:tcPr>
          <w:p w14:paraId="6862146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(0.064)</w:t>
            </w:r>
          </w:p>
        </w:tc>
        <w:tc>
          <w:tcPr>
            <w:tcW w:w="1148" w:type="dxa"/>
          </w:tcPr>
          <w:p w14:paraId="15B657D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(0.037)</w:t>
            </w:r>
          </w:p>
        </w:tc>
        <w:tc>
          <w:tcPr>
            <w:tcW w:w="1229" w:type="dxa"/>
          </w:tcPr>
          <w:p w14:paraId="0F5590F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(0.046)</w:t>
            </w:r>
          </w:p>
        </w:tc>
        <w:tc>
          <w:tcPr>
            <w:tcW w:w="1067" w:type="dxa"/>
          </w:tcPr>
          <w:p w14:paraId="60A6A80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(0.010)</w:t>
            </w:r>
          </w:p>
        </w:tc>
        <w:tc>
          <w:tcPr>
            <w:tcW w:w="1093" w:type="dxa"/>
          </w:tcPr>
          <w:p w14:paraId="7489B22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(0.039)</w:t>
            </w:r>
          </w:p>
        </w:tc>
        <w:tc>
          <w:tcPr>
            <w:tcW w:w="1170" w:type="dxa"/>
          </w:tcPr>
          <w:p w14:paraId="6185055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(0.277)</w:t>
            </w:r>
          </w:p>
        </w:tc>
        <w:tc>
          <w:tcPr>
            <w:tcW w:w="1260" w:type="dxa"/>
          </w:tcPr>
          <w:p w14:paraId="472AE63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(0.019)</w:t>
            </w:r>
          </w:p>
        </w:tc>
        <w:tc>
          <w:tcPr>
            <w:tcW w:w="1258" w:type="dxa"/>
          </w:tcPr>
          <w:p w14:paraId="53CDF53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(0.043)</w:t>
            </w:r>
          </w:p>
        </w:tc>
        <w:tc>
          <w:tcPr>
            <w:tcW w:w="1311" w:type="dxa"/>
          </w:tcPr>
          <w:p w14:paraId="1F450BC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64ADBF9F"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Borders>
              <w:bottom w:val="single" w:sz="4" w:space="0" w:color="auto"/>
            </w:tcBorders>
          </w:tcPr>
          <w:p w14:paraId="113A1AC9" w14:textId="77777777" w:rsidR="00D43014" w:rsidRPr="00C505F5" w:rsidRDefault="00D43014" w:rsidP="002F782A">
            <w:pPr>
              <w:rPr>
                <w:rFonts w:cs="Times New Roman"/>
              </w:rPr>
            </w:pPr>
          </w:p>
        </w:tc>
        <w:tc>
          <w:tcPr>
            <w:tcW w:w="1146" w:type="dxa"/>
            <w:tcBorders>
              <w:bottom w:val="single" w:sz="4" w:space="0" w:color="auto"/>
            </w:tcBorders>
          </w:tcPr>
          <w:p w14:paraId="7D22446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48" w:type="dxa"/>
            <w:tcBorders>
              <w:bottom w:val="single" w:sz="4" w:space="0" w:color="auto"/>
            </w:tcBorders>
          </w:tcPr>
          <w:p w14:paraId="26A7ADF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48" w:type="dxa"/>
            <w:tcBorders>
              <w:bottom w:val="single" w:sz="4" w:space="0" w:color="auto"/>
            </w:tcBorders>
          </w:tcPr>
          <w:p w14:paraId="09C8ADC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29" w:type="dxa"/>
            <w:tcBorders>
              <w:bottom w:val="single" w:sz="4" w:space="0" w:color="auto"/>
            </w:tcBorders>
          </w:tcPr>
          <w:p w14:paraId="72BF59B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067" w:type="dxa"/>
            <w:tcBorders>
              <w:bottom w:val="single" w:sz="4" w:space="0" w:color="auto"/>
            </w:tcBorders>
          </w:tcPr>
          <w:p w14:paraId="31E2E5E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093" w:type="dxa"/>
            <w:tcBorders>
              <w:bottom w:val="single" w:sz="4" w:space="0" w:color="auto"/>
            </w:tcBorders>
          </w:tcPr>
          <w:p w14:paraId="689AAFF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70" w:type="dxa"/>
            <w:tcBorders>
              <w:bottom w:val="single" w:sz="4" w:space="0" w:color="auto"/>
            </w:tcBorders>
          </w:tcPr>
          <w:p w14:paraId="115CDFB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0" w:type="dxa"/>
            <w:tcBorders>
              <w:bottom w:val="single" w:sz="4" w:space="0" w:color="auto"/>
            </w:tcBorders>
          </w:tcPr>
          <w:p w14:paraId="32FFFCB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58" w:type="dxa"/>
            <w:tcBorders>
              <w:bottom w:val="single" w:sz="4" w:space="0" w:color="auto"/>
            </w:tcBorders>
          </w:tcPr>
          <w:p w14:paraId="218E2AD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311" w:type="dxa"/>
            <w:tcBorders>
              <w:bottom w:val="single" w:sz="4" w:space="0" w:color="auto"/>
            </w:tcBorders>
          </w:tcPr>
          <w:p w14:paraId="660EE68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6D543E8E" w14:textId="77777777" w:rsidTr="002F782A">
        <w:tc>
          <w:tcPr>
            <w:cnfStyle w:val="001000000000" w:firstRow="0" w:lastRow="0" w:firstColumn="1" w:lastColumn="0" w:oddVBand="0" w:evenVBand="0" w:oddHBand="0" w:evenHBand="0" w:firstRowFirstColumn="0" w:firstRowLastColumn="0" w:lastRowFirstColumn="0" w:lastRowLastColumn="0"/>
            <w:tcW w:w="2007" w:type="dxa"/>
            <w:tcBorders>
              <w:top w:val="single" w:sz="4" w:space="0" w:color="auto"/>
            </w:tcBorders>
          </w:tcPr>
          <w:p w14:paraId="789D3204" w14:textId="77777777" w:rsidR="00D43014" w:rsidRPr="00C505F5" w:rsidRDefault="00D43014" w:rsidP="002F782A">
            <w:pPr>
              <w:rPr>
                <w:rFonts w:cs="Times New Roman"/>
              </w:rPr>
            </w:pPr>
            <w:r w:rsidRPr="00C505F5">
              <w:rPr>
                <w:rFonts w:cs="Times New Roman"/>
              </w:rPr>
              <w:t>Observations</w:t>
            </w:r>
          </w:p>
        </w:tc>
        <w:tc>
          <w:tcPr>
            <w:tcW w:w="1146" w:type="dxa"/>
            <w:tcBorders>
              <w:top w:val="single" w:sz="4" w:space="0" w:color="auto"/>
            </w:tcBorders>
          </w:tcPr>
          <w:p w14:paraId="4194BBF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48" w:type="dxa"/>
            <w:tcBorders>
              <w:top w:val="single" w:sz="4" w:space="0" w:color="auto"/>
            </w:tcBorders>
          </w:tcPr>
          <w:p w14:paraId="01FAC30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48" w:type="dxa"/>
            <w:tcBorders>
              <w:top w:val="single" w:sz="4" w:space="0" w:color="auto"/>
            </w:tcBorders>
          </w:tcPr>
          <w:p w14:paraId="0C18990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29" w:type="dxa"/>
            <w:tcBorders>
              <w:top w:val="single" w:sz="4" w:space="0" w:color="auto"/>
            </w:tcBorders>
          </w:tcPr>
          <w:p w14:paraId="26B4090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067" w:type="dxa"/>
            <w:tcBorders>
              <w:top w:val="single" w:sz="4" w:space="0" w:color="auto"/>
            </w:tcBorders>
          </w:tcPr>
          <w:p w14:paraId="63CA12D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093" w:type="dxa"/>
            <w:tcBorders>
              <w:top w:val="single" w:sz="4" w:space="0" w:color="auto"/>
            </w:tcBorders>
          </w:tcPr>
          <w:p w14:paraId="5A41A87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105</w:t>
            </w:r>
          </w:p>
        </w:tc>
        <w:tc>
          <w:tcPr>
            <w:tcW w:w="1170" w:type="dxa"/>
            <w:tcBorders>
              <w:top w:val="single" w:sz="4" w:space="0" w:color="auto"/>
            </w:tcBorders>
          </w:tcPr>
          <w:p w14:paraId="23E9DEF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60" w:type="dxa"/>
            <w:tcBorders>
              <w:top w:val="single" w:sz="4" w:space="0" w:color="auto"/>
            </w:tcBorders>
          </w:tcPr>
          <w:p w14:paraId="5E1B608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58" w:type="dxa"/>
            <w:tcBorders>
              <w:top w:val="single" w:sz="4" w:space="0" w:color="auto"/>
            </w:tcBorders>
          </w:tcPr>
          <w:p w14:paraId="5B52063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311" w:type="dxa"/>
            <w:tcBorders>
              <w:top w:val="single" w:sz="4" w:space="0" w:color="auto"/>
            </w:tcBorders>
          </w:tcPr>
          <w:p w14:paraId="74C60FA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39533690"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Borders>
              <w:bottom w:val="single" w:sz="4" w:space="0" w:color="auto"/>
            </w:tcBorders>
          </w:tcPr>
          <w:p w14:paraId="53F0BE34" w14:textId="77777777" w:rsidR="00D43014" w:rsidRPr="00C505F5" w:rsidRDefault="00D43014" w:rsidP="002F782A">
            <w:pPr>
              <w:rPr>
                <w:rFonts w:cs="Times New Roman"/>
              </w:rPr>
            </w:pPr>
            <w:r w:rsidRPr="00C505F5">
              <w:rPr>
                <w:rFonts w:cs="Times New Roman"/>
              </w:rPr>
              <w:t>R-squared</w:t>
            </w:r>
          </w:p>
        </w:tc>
        <w:tc>
          <w:tcPr>
            <w:tcW w:w="1146" w:type="dxa"/>
            <w:tcBorders>
              <w:bottom w:val="single" w:sz="4" w:space="0" w:color="auto"/>
            </w:tcBorders>
          </w:tcPr>
          <w:p w14:paraId="55BDAB0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48" w:type="dxa"/>
            <w:tcBorders>
              <w:bottom w:val="single" w:sz="4" w:space="0" w:color="auto"/>
            </w:tcBorders>
          </w:tcPr>
          <w:p w14:paraId="6857191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48" w:type="dxa"/>
            <w:tcBorders>
              <w:bottom w:val="single" w:sz="4" w:space="0" w:color="auto"/>
            </w:tcBorders>
          </w:tcPr>
          <w:p w14:paraId="706A504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29" w:type="dxa"/>
            <w:tcBorders>
              <w:bottom w:val="single" w:sz="4" w:space="0" w:color="auto"/>
            </w:tcBorders>
          </w:tcPr>
          <w:p w14:paraId="3995EA1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067" w:type="dxa"/>
            <w:tcBorders>
              <w:bottom w:val="single" w:sz="4" w:space="0" w:color="auto"/>
            </w:tcBorders>
          </w:tcPr>
          <w:p w14:paraId="47414BD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0.218</w:t>
            </w:r>
          </w:p>
        </w:tc>
        <w:tc>
          <w:tcPr>
            <w:tcW w:w="1093" w:type="dxa"/>
            <w:tcBorders>
              <w:bottom w:val="single" w:sz="4" w:space="0" w:color="auto"/>
            </w:tcBorders>
          </w:tcPr>
          <w:p w14:paraId="2F0763C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0.184</w:t>
            </w:r>
          </w:p>
        </w:tc>
        <w:tc>
          <w:tcPr>
            <w:tcW w:w="1170" w:type="dxa"/>
            <w:tcBorders>
              <w:bottom w:val="single" w:sz="4" w:space="0" w:color="auto"/>
            </w:tcBorders>
          </w:tcPr>
          <w:p w14:paraId="498AA52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0" w:type="dxa"/>
            <w:tcBorders>
              <w:bottom w:val="single" w:sz="4" w:space="0" w:color="auto"/>
            </w:tcBorders>
          </w:tcPr>
          <w:p w14:paraId="66ED977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0.649</w:t>
            </w:r>
          </w:p>
        </w:tc>
        <w:tc>
          <w:tcPr>
            <w:tcW w:w="1258" w:type="dxa"/>
            <w:tcBorders>
              <w:bottom w:val="single" w:sz="4" w:space="0" w:color="auto"/>
            </w:tcBorders>
          </w:tcPr>
          <w:p w14:paraId="43D7833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7.96</w:t>
            </w:r>
          </w:p>
        </w:tc>
        <w:tc>
          <w:tcPr>
            <w:tcW w:w="1311" w:type="dxa"/>
            <w:tcBorders>
              <w:bottom w:val="single" w:sz="4" w:space="0" w:color="auto"/>
            </w:tcBorders>
          </w:tcPr>
          <w:p w14:paraId="3DD1EBE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4AE30AF5" w14:textId="77777777" w:rsidTr="002F782A">
        <w:tc>
          <w:tcPr>
            <w:cnfStyle w:val="001000000000" w:firstRow="0" w:lastRow="0" w:firstColumn="1" w:lastColumn="0" w:oddVBand="0" w:evenVBand="0" w:oddHBand="0" w:evenHBand="0" w:firstRowFirstColumn="0" w:firstRowLastColumn="0" w:lastRowFirstColumn="0" w:lastRowLastColumn="0"/>
            <w:tcW w:w="13837" w:type="dxa"/>
            <w:gridSpan w:val="11"/>
            <w:tcBorders>
              <w:top w:val="single" w:sz="4" w:space="0" w:color="auto"/>
            </w:tcBorders>
          </w:tcPr>
          <w:p w14:paraId="4860F6A6" w14:textId="77777777" w:rsidR="00D43014" w:rsidRPr="00C505F5" w:rsidRDefault="00D43014" w:rsidP="002F782A">
            <w:pPr>
              <w:rPr>
                <w:rFonts w:cs="Times New Roman"/>
              </w:rPr>
            </w:pPr>
            <w:r w:rsidRPr="00C505F5">
              <w:rPr>
                <w:rFonts w:cs="Times New Roman"/>
              </w:rPr>
              <w:t>Robust standard errors in parentheses; *** p&lt;0.01, ** p&lt;0.05, * p&lt;0.1</w:t>
            </w:r>
          </w:p>
        </w:tc>
      </w:tr>
    </w:tbl>
    <w:p w14:paraId="03282BE1" w14:textId="77777777" w:rsidR="00D43014" w:rsidRPr="00C505F5" w:rsidRDefault="00D43014" w:rsidP="00D43014">
      <w:pPr>
        <w:spacing w:after="0"/>
        <w:rPr>
          <w:rFonts w:cs="Times New Roman"/>
        </w:rPr>
      </w:pPr>
    </w:p>
    <w:p w14:paraId="3728062B" w14:textId="77777777" w:rsidR="00D43014" w:rsidRPr="00C505F5" w:rsidRDefault="00D43014" w:rsidP="00D43014">
      <w:pPr>
        <w:spacing w:after="0"/>
        <w:rPr>
          <w:rFonts w:cs="Times New Roman"/>
        </w:rPr>
      </w:pPr>
    </w:p>
    <w:tbl>
      <w:tblPr>
        <w:tblStyle w:val="PlainTable41"/>
        <w:tblW w:w="0" w:type="auto"/>
        <w:tblLayout w:type="fixed"/>
        <w:tblLook w:val="04A0" w:firstRow="1" w:lastRow="0" w:firstColumn="1" w:lastColumn="0" w:noHBand="0" w:noVBand="1"/>
      </w:tblPr>
      <w:tblGrid>
        <w:gridCol w:w="2007"/>
        <w:gridCol w:w="1151"/>
        <w:gridCol w:w="1151"/>
        <w:gridCol w:w="1379"/>
        <w:gridCol w:w="1080"/>
        <w:gridCol w:w="1294"/>
        <w:gridCol w:w="1496"/>
        <w:gridCol w:w="1620"/>
        <w:gridCol w:w="1080"/>
        <w:gridCol w:w="270"/>
        <w:gridCol w:w="567"/>
        <w:gridCol w:w="1219"/>
      </w:tblGrid>
      <w:tr w:rsidR="00D43014" w:rsidRPr="00C505F5" w14:paraId="7F00F41F"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Borders>
              <w:top w:val="single" w:sz="4" w:space="0" w:color="auto"/>
            </w:tcBorders>
          </w:tcPr>
          <w:p w14:paraId="158178A4" w14:textId="77777777" w:rsidR="00D43014" w:rsidRPr="00C505F5" w:rsidRDefault="00D43014" w:rsidP="002F782A">
            <w:pPr>
              <w:rPr>
                <w:rFonts w:cs="Times New Roman"/>
              </w:rPr>
            </w:pPr>
          </w:p>
        </w:tc>
        <w:tc>
          <w:tcPr>
            <w:tcW w:w="1151" w:type="dxa"/>
            <w:tcBorders>
              <w:top w:val="single" w:sz="4" w:space="0" w:color="auto"/>
            </w:tcBorders>
          </w:tcPr>
          <w:p w14:paraId="22FDEDF7"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(10)</w:t>
            </w:r>
          </w:p>
        </w:tc>
        <w:tc>
          <w:tcPr>
            <w:tcW w:w="1151" w:type="dxa"/>
            <w:tcBorders>
              <w:top w:val="single" w:sz="4" w:space="0" w:color="auto"/>
            </w:tcBorders>
          </w:tcPr>
          <w:p w14:paraId="029EF407"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(11)</w:t>
            </w:r>
          </w:p>
        </w:tc>
        <w:tc>
          <w:tcPr>
            <w:tcW w:w="1379" w:type="dxa"/>
            <w:tcBorders>
              <w:top w:val="single" w:sz="4" w:space="0" w:color="auto"/>
            </w:tcBorders>
          </w:tcPr>
          <w:p w14:paraId="2704551C"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(12)</w:t>
            </w:r>
          </w:p>
        </w:tc>
        <w:tc>
          <w:tcPr>
            <w:tcW w:w="1080" w:type="dxa"/>
            <w:tcBorders>
              <w:top w:val="single" w:sz="4" w:space="0" w:color="auto"/>
            </w:tcBorders>
          </w:tcPr>
          <w:p w14:paraId="6C41DF39"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(13)</w:t>
            </w:r>
          </w:p>
        </w:tc>
        <w:tc>
          <w:tcPr>
            <w:tcW w:w="1294" w:type="dxa"/>
            <w:tcBorders>
              <w:top w:val="single" w:sz="4" w:space="0" w:color="auto"/>
            </w:tcBorders>
          </w:tcPr>
          <w:p w14:paraId="361D8C90"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(14)</w:t>
            </w:r>
          </w:p>
        </w:tc>
        <w:tc>
          <w:tcPr>
            <w:tcW w:w="1496" w:type="dxa"/>
            <w:tcBorders>
              <w:top w:val="single" w:sz="4" w:space="0" w:color="auto"/>
            </w:tcBorders>
          </w:tcPr>
          <w:p w14:paraId="26A637B9"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(15)</w:t>
            </w:r>
          </w:p>
        </w:tc>
        <w:tc>
          <w:tcPr>
            <w:tcW w:w="1620" w:type="dxa"/>
            <w:tcBorders>
              <w:top w:val="single" w:sz="4" w:space="0" w:color="auto"/>
            </w:tcBorders>
          </w:tcPr>
          <w:p w14:paraId="51B46BA7"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(16)</w:t>
            </w:r>
          </w:p>
        </w:tc>
        <w:tc>
          <w:tcPr>
            <w:tcW w:w="1080" w:type="dxa"/>
            <w:tcBorders>
              <w:top w:val="single" w:sz="4" w:space="0" w:color="auto"/>
            </w:tcBorders>
          </w:tcPr>
          <w:p w14:paraId="1192CF65"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(17)</w:t>
            </w:r>
          </w:p>
        </w:tc>
        <w:tc>
          <w:tcPr>
            <w:tcW w:w="837" w:type="dxa"/>
            <w:gridSpan w:val="2"/>
            <w:tcBorders>
              <w:top w:val="single" w:sz="4" w:space="0" w:color="auto"/>
            </w:tcBorders>
          </w:tcPr>
          <w:p w14:paraId="482B147B"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p>
        </w:tc>
        <w:tc>
          <w:tcPr>
            <w:tcW w:w="1219" w:type="dxa"/>
            <w:tcBorders>
              <w:top w:val="single" w:sz="4" w:space="0" w:color="auto"/>
            </w:tcBorders>
          </w:tcPr>
          <w:p w14:paraId="37BD94C4"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p>
        </w:tc>
      </w:tr>
      <w:tr w:rsidR="00D43014" w:rsidRPr="00C505F5" w14:paraId="4728E937"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Borders>
              <w:bottom w:val="single" w:sz="4" w:space="0" w:color="auto"/>
            </w:tcBorders>
          </w:tcPr>
          <w:p w14:paraId="62A2500E" w14:textId="77777777" w:rsidR="00D43014" w:rsidRPr="00C505F5" w:rsidRDefault="00D43014" w:rsidP="002F782A">
            <w:pPr>
              <w:rPr>
                <w:rFonts w:cs="Times New Roman"/>
              </w:rPr>
            </w:pPr>
            <w:r w:rsidRPr="00C505F5">
              <w:rPr>
                <w:rFonts w:cs="Times New Roman"/>
              </w:rPr>
              <w:t>VARIABLES</w:t>
            </w:r>
          </w:p>
        </w:tc>
        <w:tc>
          <w:tcPr>
            <w:tcW w:w="1151" w:type="dxa"/>
            <w:tcBorders>
              <w:bottom w:val="single" w:sz="4" w:space="0" w:color="auto"/>
            </w:tcBorders>
          </w:tcPr>
          <w:p w14:paraId="07E6209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Bahrain</w:t>
            </w:r>
          </w:p>
        </w:tc>
        <w:tc>
          <w:tcPr>
            <w:tcW w:w="1151" w:type="dxa"/>
            <w:tcBorders>
              <w:bottom w:val="single" w:sz="4" w:space="0" w:color="auto"/>
            </w:tcBorders>
          </w:tcPr>
          <w:p w14:paraId="227D5C8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Brunei</w:t>
            </w:r>
          </w:p>
        </w:tc>
        <w:tc>
          <w:tcPr>
            <w:tcW w:w="1379" w:type="dxa"/>
            <w:tcBorders>
              <w:bottom w:val="single" w:sz="4" w:space="0" w:color="auto"/>
            </w:tcBorders>
          </w:tcPr>
          <w:p w14:paraId="3E549EA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Kazakhstan</w:t>
            </w:r>
          </w:p>
        </w:tc>
        <w:tc>
          <w:tcPr>
            <w:tcW w:w="1080" w:type="dxa"/>
            <w:tcBorders>
              <w:bottom w:val="single" w:sz="4" w:space="0" w:color="auto"/>
            </w:tcBorders>
          </w:tcPr>
          <w:p w14:paraId="4F57828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Kuwait</w:t>
            </w:r>
          </w:p>
        </w:tc>
        <w:tc>
          <w:tcPr>
            <w:tcW w:w="1294" w:type="dxa"/>
            <w:tcBorders>
              <w:bottom w:val="single" w:sz="4" w:space="0" w:color="auto"/>
            </w:tcBorders>
          </w:tcPr>
          <w:p w14:paraId="6B37334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Qatar</w:t>
            </w:r>
          </w:p>
        </w:tc>
        <w:tc>
          <w:tcPr>
            <w:tcW w:w="1496" w:type="dxa"/>
            <w:tcBorders>
              <w:bottom w:val="single" w:sz="4" w:space="0" w:color="auto"/>
            </w:tcBorders>
          </w:tcPr>
          <w:p w14:paraId="3FB8355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Russia</w:t>
            </w:r>
          </w:p>
        </w:tc>
        <w:tc>
          <w:tcPr>
            <w:tcW w:w="1620" w:type="dxa"/>
            <w:tcBorders>
              <w:bottom w:val="single" w:sz="4" w:space="0" w:color="auto"/>
            </w:tcBorders>
          </w:tcPr>
          <w:p w14:paraId="18E41EB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Saudi Arabia</w:t>
            </w:r>
          </w:p>
        </w:tc>
        <w:tc>
          <w:tcPr>
            <w:tcW w:w="1350" w:type="dxa"/>
            <w:gridSpan w:val="2"/>
            <w:tcBorders>
              <w:bottom w:val="single" w:sz="4" w:space="0" w:color="auto"/>
            </w:tcBorders>
          </w:tcPr>
          <w:p w14:paraId="027ACB2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Mongolia</w:t>
            </w:r>
          </w:p>
        </w:tc>
        <w:tc>
          <w:tcPr>
            <w:tcW w:w="567" w:type="dxa"/>
            <w:tcBorders>
              <w:bottom w:val="single" w:sz="4" w:space="0" w:color="auto"/>
            </w:tcBorders>
          </w:tcPr>
          <w:p w14:paraId="3BCFDF3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p>
        </w:tc>
        <w:tc>
          <w:tcPr>
            <w:tcW w:w="1219" w:type="dxa"/>
            <w:tcBorders>
              <w:bottom w:val="single" w:sz="4" w:space="0" w:color="auto"/>
            </w:tcBorders>
          </w:tcPr>
          <w:p w14:paraId="30B2671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p>
        </w:tc>
      </w:tr>
      <w:tr w:rsidR="00D43014" w:rsidRPr="00C505F5" w14:paraId="442E5EB8" w14:textId="77777777" w:rsidTr="002F782A">
        <w:tc>
          <w:tcPr>
            <w:cnfStyle w:val="001000000000" w:firstRow="0" w:lastRow="0" w:firstColumn="1" w:lastColumn="0" w:oddVBand="0" w:evenVBand="0" w:oddHBand="0" w:evenHBand="0" w:firstRowFirstColumn="0" w:firstRowLastColumn="0" w:lastRowFirstColumn="0" w:lastRowLastColumn="0"/>
            <w:tcW w:w="2007" w:type="dxa"/>
            <w:tcBorders>
              <w:top w:val="single" w:sz="4" w:space="0" w:color="auto"/>
            </w:tcBorders>
          </w:tcPr>
          <w:p w14:paraId="0787CE5B" w14:textId="77777777" w:rsidR="00D43014" w:rsidRPr="00C505F5" w:rsidRDefault="00D43014" w:rsidP="002F782A">
            <w:pPr>
              <w:rPr>
                <w:rFonts w:cs="Times New Roman"/>
              </w:rPr>
            </w:pPr>
          </w:p>
        </w:tc>
        <w:tc>
          <w:tcPr>
            <w:tcW w:w="1151" w:type="dxa"/>
            <w:tcBorders>
              <w:top w:val="single" w:sz="4" w:space="0" w:color="auto"/>
            </w:tcBorders>
          </w:tcPr>
          <w:p w14:paraId="000437B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151" w:type="dxa"/>
            <w:tcBorders>
              <w:top w:val="single" w:sz="4" w:space="0" w:color="auto"/>
            </w:tcBorders>
          </w:tcPr>
          <w:p w14:paraId="3CD9A22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379" w:type="dxa"/>
            <w:tcBorders>
              <w:top w:val="single" w:sz="4" w:space="0" w:color="auto"/>
            </w:tcBorders>
          </w:tcPr>
          <w:p w14:paraId="042F4B2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080" w:type="dxa"/>
            <w:tcBorders>
              <w:top w:val="single" w:sz="4" w:space="0" w:color="auto"/>
            </w:tcBorders>
          </w:tcPr>
          <w:p w14:paraId="2562DE5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94" w:type="dxa"/>
            <w:tcBorders>
              <w:top w:val="single" w:sz="4" w:space="0" w:color="auto"/>
            </w:tcBorders>
          </w:tcPr>
          <w:p w14:paraId="5CF8EB9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496" w:type="dxa"/>
            <w:tcBorders>
              <w:top w:val="single" w:sz="4" w:space="0" w:color="auto"/>
            </w:tcBorders>
          </w:tcPr>
          <w:p w14:paraId="547342A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620" w:type="dxa"/>
            <w:tcBorders>
              <w:top w:val="single" w:sz="4" w:space="0" w:color="auto"/>
            </w:tcBorders>
          </w:tcPr>
          <w:p w14:paraId="64D17E2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350" w:type="dxa"/>
            <w:gridSpan w:val="2"/>
            <w:tcBorders>
              <w:top w:val="single" w:sz="4" w:space="0" w:color="auto"/>
            </w:tcBorders>
          </w:tcPr>
          <w:p w14:paraId="53E1647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Borders>
              <w:top w:val="single" w:sz="4" w:space="0" w:color="auto"/>
            </w:tcBorders>
          </w:tcPr>
          <w:p w14:paraId="08D7782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19" w:type="dxa"/>
            <w:tcBorders>
              <w:top w:val="single" w:sz="4" w:space="0" w:color="auto"/>
            </w:tcBorders>
          </w:tcPr>
          <w:p w14:paraId="4D294AF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6638DFC0"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Pr>
          <w:p w14:paraId="41F48306" w14:textId="77777777" w:rsidR="00D43014" w:rsidRPr="00C505F5" w:rsidRDefault="00D43014" w:rsidP="002F782A">
            <w:pPr>
              <w:rPr>
                <w:rFonts w:cs="Times New Roman"/>
              </w:rPr>
            </w:pPr>
            <m:oMathPara>
              <m:oMathParaPr>
                <m:jc m:val="left"/>
              </m:oMathParaPr>
              <m:oMath>
                <m:r>
                  <m:rPr>
                    <m:sty m:val="bi"/>
                  </m:rPr>
                  <w:rPr>
                    <w:rFonts w:ascii="Cambria Math" w:hAnsi="Cambria Math" w:cs="Times New Roman"/>
                    <w:sz w:val="24"/>
                    <w:szCs w:val="24"/>
                  </w:rPr>
                  <m:t>∆Res/M</m:t>
                </m:r>
                <m:r>
                  <m:rPr>
                    <m:sty m:val="bi"/>
                  </m:rPr>
                  <w:rPr>
                    <w:rFonts w:ascii="Cambria Math" w:hAnsi="Cambria Math" w:cs="Cambria Math"/>
                    <w:sz w:val="24"/>
                    <w:szCs w:val="24"/>
                  </w:rPr>
                  <m:t>B</m:t>
                </m:r>
              </m:oMath>
            </m:oMathPara>
          </w:p>
        </w:tc>
        <w:tc>
          <w:tcPr>
            <w:tcW w:w="1151" w:type="dxa"/>
          </w:tcPr>
          <w:p w14:paraId="5C53504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-8.551</w:t>
            </w:r>
          </w:p>
        </w:tc>
        <w:tc>
          <w:tcPr>
            <w:tcW w:w="1151" w:type="dxa"/>
          </w:tcPr>
          <w:p w14:paraId="033B782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1.604</w:t>
            </w:r>
          </w:p>
        </w:tc>
        <w:tc>
          <w:tcPr>
            <w:tcW w:w="1379" w:type="dxa"/>
          </w:tcPr>
          <w:p w14:paraId="1B7C56A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-0.972**</w:t>
            </w:r>
          </w:p>
        </w:tc>
        <w:tc>
          <w:tcPr>
            <w:tcW w:w="1080" w:type="dxa"/>
          </w:tcPr>
          <w:p w14:paraId="0C14A47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-4.889</w:t>
            </w:r>
          </w:p>
        </w:tc>
        <w:tc>
          <w:tcPr>
            <w:tcW w:w="1294" w:type="dxa"/>
          </w:tcPr>
          <w:p w14:paraId="0EF5BC9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-5.512</w:t>
            </w:r>
          </w:p>
        </w:tc>
        <w:tc>
          <w:tcPr>
            <w:tcW w:w="1496" w:type="dxa"/>
          </w:tcPr>
          <w:p w14:paraId="0450235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1.569***</w:t>
            </w:r>
          </w:p>
        </w:tc>
        <w:tc>
          <w:tcPr>
            <w:tcW w:w="1620" w:type="dxa"/>
          </w:tcPr>
          <w:p w14:paraId="1169064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-0.678***</w:t>
            </w:r>
          </w:p>
        </w:tc>
        <w:tc>
          <w:tcPr>
            <w:tcW w:w="1350" w:type="dxa"/>
            <w:gridSpan w:val="2"/>
          </w:tcPr>
          <w:p w14:paraId="05223EF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-0.095</w:t>
            </w:r>
          </w:p>
        </w:tc>
        <w:tc>
          <w:tcPr>
            <w:tcW w:w="567" w:type="dxa"/>
          </w:tcPr>
          <w:p w14:paraId="0DD7330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19" w:type="dxa"/>
          </w:tcPr>
          <w:p w14:paraId="13CE239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79E1C3B0" w14:textId="77777777" w:rsidTr="002F782A">
        <w:tc>
          <w:tcPr>
            <w:cnfStyle w:val="001000000000" w:firstRow="0" w:lastRow="0" w:firstColumn="1" w:lastColumn="0" w:oddVBand="0" w:evenVBand="0" w:oddHBand="0" w:evenHBand="0" w:firstRowFirstColumn="0" w:firstRowLastColumn="0" w:lastRowFirstColumn="0" w:lastRowLastColumn="0"/>
            <w:tcW w:w="2007" w:type="dxa"/>
          </w:tcPr>
          <w:p w14:paraId="2EECBEEA" w14:textId="77777777" w:rsidR="00D43014" w:rsidRPr="00C505F5" w:rsidRDefault="00D43014" w:rsidP="002F782A">
            <w:pPr>
              <w:rPr>
                <w:rFonts w:cs="Times New Roman"/>
              </w:rPr>
            </w:pPr>
          </w:p>
        </w:tc>
        <w:tc>
          <w:tcPr>
            <w:tcW w:w="1151" w:type="dxa"/>
          </w:tcPr>
          <w:p w14:paraId="4B64DBA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(11.482)</w:t>
            </w:r>
          </w:p>
        </w:tc>
        <w:tc>
          <w:tcPr>
            <w:tcW w:w="1151" w:type="dxa"/>
          </w:tcPr>
          <w:p w14:paraId="774B0B1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(1.305)</w:t>
            </w:r>
          </w:p>
        </w:tc>
        <w:tc>
          <w:tcPr>
            <w:tcW w:w="1379" w:type="dxa"/>
          </w:tcPr>
          <w:p w14:paraId="14F5CD3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(0.467)</w:t>
            </w:r>
          </w:p>
        </w:tc>
        <w:tc>
          <w:tcPr>
            <w:tcW w:w="1080" w:type="dxa"/>
          </w:tcPr>
          <w:p w14:paraId="34CDCE9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(8.869)</w:t>
            </w:r>
          </w:p>
        </w:tc>
        <w:tc>
          <w:tcPr>
            <w:tcW w:w="1294" w:type="dxa"/>
          </w:tcPr>
          <w:p w14:paraId="567BE92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(12.912)</w:t>
            </w:r>
          </w:p>
        </w:tc>
        <w:tc>
          <w:tcPr>
            <w:tcW w:w="1496" w:type="dxa"/>
          </w:tcPr>
          <w:p w14:paraId="6AAD272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(0.554)</w:t>
            </w:r>
          </w:p>
        </w:tc>
        <w:tc>
          <w:tcPr>
            <w:tcW w:w="1620" w:type="dxa"/>
          </w:tcPr>
          <w:p w14:paraId="0FC4122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(0.082)</w:t>
            </w:r>
          </w:p>
        </w:tc>
        <w:tc>
          <w:tcPr>
            <w:tcW w:w="1350" w:type="dxa"/>
            <w:gridSpan w:val="2"/>
          </w:tcPr>
          <w:p w14:paraId="6FF86BB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(0.285)</w:t>
            </w:r>
          </w:p>
        </w:tc>
        <w:tc>
          <w:tcPr>
            <w:tcW w:w="567" w:type="dxa"/>
          </w:tcPr>
          <w:p w14:paraId="2848D1E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19" w:type="dxa"/>
          </w:tcPr>
          <w:p w14:paraId="0CAA3C8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53C2FF86"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Pr>
          <w:p w14:paraId="651D284D" w14:textId="77777777" w:rsidR="00D43014" w:rsidRPr="00C505F5" w:rsidRDefault="00D43014" w:rsidP="002F782A">
            <w:pPr>
              <w:rPr>
                <w:rFonts w:cs="Times New Roman"/>
              </w:rPr>
            </w:pPr>
            <w:r w:rsidRPr="00C505F5">
              <w:rPr>
                <w:rFonts w:cs="Times New Roman"/>
              </w:rPr>
              <w:t>Time trend</w:t>
            </w:r>
          </w:p>
        </w:tc>
        <w:tc>
          <w:tcPr>
            <w:tcW w:w="1151" w:type="dxa"/>
          </w:tcPr>
          <w:p w14:paraId="2AA00B6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151" w:type="dxa"/>
          </w:tcPr>
          <w:p w14:paraId="58E365A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379" w:type="dxa"/>
          </w:tcPr>
          <w:p w14:paraId="26BFD10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080" w:type="dxa"/>
          </w:tcPr>
          <w:p w14:paraId="27C38C3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0.000</w:t>
            </w:r>
          </w:p>
        </w:tc>
        <w:tc>
          <w:tcPr>
            <w:tcW w:w="1294" w:type="dxa"/>
          </w:tcPr>
          <w:p w14:paraId="13E7893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-0.000</w:t>
            </w:r>
          </w:p>
        </w:tc>
        <w:tc>
          <w:tcPr>
            <w:tcW w:w="1496" w:type="dxa"/>
          </w:tcPr>
          <w:p w14:paraId="34884F1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0.003***</w:t>
            </w:r>
          </w:p>
        </w:tc>
        <w:tc>
          <w:tcPr>
            <w:tcW w:w="1620" w:type="dxa"/>
          </w:tcPr>
          <w:p w14:paraId="6C4ED0B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-0.000*</w:t>
            </w:r>
          </w:p>
        </w:tc>
        <w:tc>
          <w:tcPr>
            <w:tcW w:w="1350" w:type="dxa"/>
            <w:gridSpan w:val="2"/>
          </w:tcPr>
          <w:p w14:paraId="26AAC30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c>
          <w:tcPr>
            <w:tcW w:w="567" w:type="dxa"/>
          </w:tcPr>
          <w:p w14:paraId="0008611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19" w:type="dxa"/>
          </w:tcPr>
          <w:p w14:paraId="5C80C99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0254759E" w14:textId="77777777" w:rsidTr="002F782A">
        <w:tc>
          <w:tcPr>
            <w:cnfStyle w:val="001000000000" w:firstRow="0" w:lastRow="0" w:firstColumn="1" w:lastColumn="0" w:oddVBand="0" w:evenVBand="0" w:oddHBand="0" w:evenHBand="0" w:firstRowFirstColumn="0" w:firstRowLastColumn="0" w:lastRowFirstColumn="0" w:lastRowLastColumn="0"/>
            <w:tcW w:w="2007" w:type="dxa"/>
          </w:tcPr>
          <w:p w14:paraId="7AD19257" w14:textId="77777777" w:rsidR="00D43014" w:rsidRPr="00C505F5" w:rsidRDefault="00D43014" w:rsidP="002F782A">
            <w:pPr>
              <w:rPr>
                <w:rFonts w:cs="Times New Roman"/>
              </w:rPr>
            </w:pPr>
          </w:p>
        </w:tc>
        <w:tc>
          <w:tcPr>
            <w:tcW w:w="1151" w:type="dxa"/>
          </w:tcPr>
          <w:p w14:paraId="54E80B9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(0.001)</w:t>
            </w:r>
          </w:p>
        </w:tc>
        <w:tc>
          <w:tcPr>
            <w:tcW w:w="1151" w:type="dxa"/>
          </w:tcPr>
          <w:p w14:paraId="65108C2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379" w:type="dxa"/>
          </w:tcPr>
          <w:p w14:paraId="46DE4D4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080" w:type="dxa"/>
          </w:tcPr>
          <w:p w14:paraId="59484A3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(0.001)</w:t>
            </w:r>
          </w:p>
        </w:tc>
        <w:tc>
          <w:tcPr>
            <w:tcW w:w="1294" w:type="dxa"/>
          </w:tcPr>
          <w:p w14:paraId="4554894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(0.005)</w:t>
            </w:r>
          </w:p>
        </w:tc>
        <w:tc>
          <w:tcPr>
            <w:tcW w:w="1496" w:type="dxa"/>
          </w:tcPr>
          <w:p w14:paraId="5724674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620" w:type="dxa"/>
          </w:tcPr>
          <w:p w14:paraId="2A9BD96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350" w:type="dxa"/>
            <w:gridSpan w:val="2"/>
          </w:tcPr>
          <w:p w14:paraId="37EF210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567" w:type="dxa"/>
          </w:tcPr>
          <w:p w14:paraId="6BD1D0C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19" w:type="dxa"/>
          </w:tcPr>
          <w:p w14:paraId="6B42F24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62529197"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Pr>
          <w:p w14:paraId="7D30E551" w14:textId="77777777" w:rsidR="00D43014" w:rsidRPr="00C505F5" w:rsidRDefault="00D43014" w:rsidP="002F782A">
            <w:pPr>
              <w:rPr>
                <w:rFonts w:cs="Times New Roman"/>
              </w:rPr>
            </w:pPr>
            <w:r w:rsidRPr="00C505F5">
              <w:rPr>
                <w:rFonts w:cs="Times New Roman"/>
              </w:rPr>
              <w:t>Constant</w:t>
            </w:r>
          </w:p>
        </w:tc>
        <w:tc>
          <w:tcPr>
            <w:tcW w:w="1151" w:type="dxa"/>
          </w:tcPr>
          <w:p w14:paraId="57DA5A1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4.981***</w:t>
            </w:r>
          </w:p>
        </w:tc>
        <w:tc>
          <w:tcPr>
            <w:tcW w:w="1151" w:type="dxa"/>
          </w:tcPr>
          <w:p w14:paraId="6EBF63C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4.491***</w:t>
            </w:r>
          </w:p>
        </w:tc>
        <w:tc>
          <w:tcPr>
            <w:tcW w:w="1379" w:type="dxa"/>
          </w:tcPr>
          <w:p w14:paraId="3F64667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4.363***</w:t>
            </w:r>
          </w:p>
        </w:tc>
        <w:tc>
          <w:tcPr>
            <w:tcW w:w="1080" w:type="dxa"/>
          </w:tcPr>
          <w:p w14:paraId="09BBF00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4.725***</w:t>
            </w:r>
          </w:p>
        </w:tc>
        <w:tc>
          <w:tcPr>
            <w:tcW w:w="1294" w:type="dxa"/>
          </w:tcPr>
          <w:p w14:paraId="09F3D54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4.800***</w:t>
            </w:r>
          </w:p>
        </w:tc>
        <w:tc>
          <w:tcPr>
            <w:tcW w:w="1496" w:type="dxa"/>
          </w:tcPr>
          <w:p w14:paraId="6A498FA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4.033***</w:t>
            </w:r>
          </w:p>
        </w:tc>
        <w:tc>
          <w:tcPr>
            <w:tcW w:w="1620" w:type="dxa"/>
          </w:tcPr>
          <w:p w14:paraId="231906D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4.845***</w:t>
            </w:r>
          </w:p>
        </w:tc>
        <w:tc>
          <w:tcPr>
            <w:tcW w:w="1350" w:type="dxa"/>
            <w:gridSpan w:val="2"/>
          </w:tcPr>
          <w:p w14:paraId="1227FB5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4.404***</w:t>
            </w:r>
          </w:p>
        </w:tc>
        <w:tc>
          <w:tcPr>
            <w:tcW w:w="567" w:type="dxa"/>
          </w:tcPr>
          <w:p w14:paraId="22E0EF0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19" w:type="dxa"/>
          </w:tcPr>
          <w:p w14:paraId="2A3F880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78848AD4" w14:textId="77777777" w:rsidTr="002F782A">
        <w:tc>
          <w:tcPr>
            <w:cnfStyle w:val="001000000000" w:firstRow="0" w:lastRow="0" w:firstColumn="1" w:lastColumn="0" w:oddVBand="0" w:evenVBand="0" w:oddHBand="0" w:evenHBand="0" w:firstRowFirstColumn="0" w:firstRowLastColumn="0" w:lastRowFirstColumn="0" w:lastRowLastColumn="0"/>
            <w:tcW w:w="2007" w:type="dxa"/>
          </w:tcPr>
          <w:p w14:paraId="14A84345" w14:textId="77777777" w:rsidR="00D43014" w:rsidRPr="00C505F5" w:rsidRDefault="00D43014" w:rsidP="002F782A">
            <w:pPr>
              <w:rPr>
                <w:rFonts w:cs="Times New Roman"/>
              </w:rPr>
            </w:pPr>
          </w:p>
        </w:tc>
        <w:tc>
          <w:tcPr>
            <w:tcW w:w="1151" w:type="dxa"/>
          </w:tcPr>
          <w:p w14:paraId="162979B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(0.197)</w:t>
            </w:r>
          </w:p>
        </w:tc>
        <w:tc>
          <w:tcPr>
            <w:tcW w:w="1151" w:type="dxa"/>
          </w:tcPr>
          <w:p w14:paraId="5030596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(0.024)</w:t>
            </w:r>
          </w:p>
        </w:tc>
        <w:tc>
          <w:tcPr>
            <w:tcW w:w="1379" w:type="dxa"/>
          </w:tcPr>
          <w:p w14:paraId="69E25CB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(0.031)</w:t>
            </w:r>
          </w:p>
        </w:tc>
        <w:tc>
          <w:tcPr>
            <w:tcW w:w="1080" w:type="dxa"/>
          </w:tcPr>
          <w:p w14:paraId="2C0AECC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(0.276)</w:t>
            </w:r>
          </w:p>
        </w:tc>
        <w:tc>
          <w:tcPr>
            <w:tcW w:w="1294" w:type="dxa"/>
          </w:tcPr>
          <w:p w14:paraId="3A2B9A5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(1.236)</w:t>
            </w:r>
          </w:p>
        </w:tc>
        <w:tc>
          <w:tcPr>
            <w:tcW w:w="1496" w:type="dxa"/>
          </w:tcPr>
          <w:p w14:paraId="35CDC17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(0.047)</w:t>
            </w:r>
          </w:p>
        </w:tc>
        <w:tc>
          <w:tcPr>
            <w:tcW w:w="1620" w:type="dxa"/>
          </w:tcPr>
          <w:p w14:paraId="3183F0B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(0.013)</w:t>
            </w:r>
          </w:p>
        </w:tc>
        <w:tc>
          <w:tcPr>
            <w:tcW w:w="1350" w:type="dxa"/>
            <w:gridSpan w:val="2"/>
          </w:tcPr>
          <w:p w14:paraId="2DB640F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(0.019)</w:t>
            </w:r>
          </w:p>
        </w:tc>
        <w:tc>
          <w:tcPr>
            <w:tcW w:w="567" w:type="dxa"/>
          </w:tcPr>
          <w:p w14:paraId="43E7558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19" w:type="dxa"/>
          </w:tcPr>
          <w:p w14:paraId="1CC97B1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4CC99D3C"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Borders>
              <w:bottom w:val="single" w:sz="4" w:space="0" w:color="auto"/>
            </w:tcBorders>
          </w:tcPr>
          <w:p w14:paraId="0FCEE6EC" w14:textId="77777777" w:rsidR="00D43014" w:rsidRPr="00C505F5" w:rsidRDefault="00D43014" w:rsidP="002F782A">
            <w:pPr>
              <w:rPr>
                <w:rFonts w:cs="Times New Roman"/>
              </w:rPr>
            </w:pPr>
          </w:p>
        </w:tc>
        <w:tc>
          <w:tcPr>
            <w:tcW w:w="1151" w:type="dxa"/>
            <w:tcBorders>
              <w:bottom w:val="single" w:sz="4" w:space="0" w:color="auto"/>
            </w:tcBorders>
          </w:tcPr>
          <w:p w14:paraId="0F7DA19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51" w:type="dxa"/>
            <w:tcBorders>
              <w:bottom w:val="single" w:sz="4" w:space="0" w:color="auto"/>
            </w:tcBorders>
          </w:tcPr>
          <w:p w14:paraId="61ADA82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379" w:type="dxa"/>
            <w:tcBorders>
              <w:bottom w:val="single" w:sz="4" w:space="0" w:color="auto"/>
            </w:tcBorders>
          </w:tcPr>
          <w:p w14:paraId="5E18A8C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080" w:type="dxa"/>
            <w:tcBorders>
              <w:bottom w:val="single" w:sz="4" w:space="0" w:color="auto"/>
            </w:tcBorders>
          </w:tcPr>
          <w:p w14:paraId="730F8E2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94" w:type="dxa"/>
            <w:tcBorders>
              <w:bottom w:val="single" w:sz="4" w:space="0" w:color="auto"/>
            </w:tcBorders>
          </w:tcPr>
          <w:p w14:paraId="36CCEF9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496" w:type="dxa"/>
            <w:tcBorders>
              <w:bottom w:val="single" w:sz="4" w:space="0" w:color="auto"/>
            </w:tcBorders>
          </w:tcPr>
          <w:p w14:paraId="6F105F1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620" w:type="dxa"/>
            <w:tcBorders>
              <w:bottom w:val="single" w:sz="4" w:space="0" w:color="auto"/>
            </w:tcBorders>
          </w:tcPr>
          <w:p w14:paraId="621C595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350" w:type="dxa"/>
            <w:gridSpan w:val="2"/>
            <w:tcBorders>
              <w:bottom w:val="single" w:sz="4" w:space="0" w:color="auto"/>
            </w:tcBorders>
          </w:tcPr>
          <w:p w14:paraId="749BEE6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567" w:type="dxa"/>
            <w:tcBorders>
              <w:bottom w:val="single" w:sz="4" w:space="0" w:color="auto"/>
            </w:tcBorders>
          </w:tcPr>
          <w:p w14:paraId="1D163ED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19" w:type="dxa"/>
            <w:tcBorders>
              <w:bottom w:val="single" w:sz="4" w:space="0" w:color="auto"/>
            </w:tcBorders>
          </w:tcPr>
          <w:p w14:paraId="79765C8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45C647BC" w14:textId="77777777" w:rsidTr="002F782A">
        <w:tc>
          <w:tcPr>
            <w:cnfStyle w:val="001000000000" w:firstRow="0" w:lastRow="0" w:firstColumn="1" w:lastColumn="0" w:oddVBand="0" w:evenVBand="0" w:oddHBand="0" w:evenHBand="0" w:firstRowFirstColumn="0" w:firstRowLastColumn="0" w:lastRowFirstColumn="0" w:lastRowLastColumn="0"/>
            <w:tcW w:w="2007" w:type="dxa"/>
            <w:tcBorders>
              <w:top w:val="single" w:sz="4" w:space="0" w:color="auto"/>
            </w:tcBorders>
          </w:tcPr>
          <w:p w14:paraId="6DA1E521" w14:textId="77777777" w:rsidR="00D43014" w:rsidRPr="00C505F5" w:rsidRDefault="00D43014" w:rsidP="002F782A">
            <w:pPr>
              <w:rPr>
                <w:rFonts w:cs="Times New Roman"/>
              </w:rPr>
            </w:pPr>
            <w:r w:rsidRPr="00C505F5">
              <w:rPr>
                <w:rFonts w:cs="Times New Roman"/>
              </w:rPr>
              <w:t>Observations</w:t>
            </w:r>
          </w:p>
        </w:tc>
        <w:tc>
          <w:tcPr>
            <w:tcW w:w="1151" w:type="dxa"/>
            <w:tcBorders>
              <w:top w:val="single" w:sz="4" w:space="0" w:color="auto"/>
            </w:tcBorders>
          </w:tcPr>
          <w:p w14:paraId="76E0172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222</w:t>
            </w:r>
          </w:p>
        </w:tc>
        <w:tc>
          <w:tcPr>
            <w:tcW w:w="1151" w:type="dxa"/>
            <w:tcBorders>
              <w:top w:val="single" w:sz="4" w:space="0" w:color="auto"/>
            </w:tcBorders>
          </w:tcPr>
          <w:p w14:paraId="0DE4157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168</w:t>
            </w:r>
          </w:p>
        </w:tc>
        <w:tc>
          <w:tcPr>
            <w:tcW w:w="1379" w:type="dxa"/>
            <w:tcBorders>
              <w:top w:val="single" w:sz="4" w:space="0" w:color="auto"/>
            </w:tcBorders>
          </w:tcPr>
          <w:p w14:paraId="021782C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080" w:type="dxa"/>
            <w:tcBorders>
              <w:top w:val="single" w:sz="4" w:space="0" w:color="auto"/>
            </w:tcBorders>
          </w:tcPr>
          <w:p w14:paraId="5B00769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94" w:type="dxa"/>
            <w:tcBorders>
              <w:top w:val="single" w:sz="4" w:space="0" w:color="auto"/>
            </w:tcBorders>
          </w:tcPr>
          <w:p w14:paraId="3BD1589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157</w:t>
            </w:r>
          </w:p>
        </w:tc>
        <w:tc>
          <w:tcPr>
            <w:tcW w:w="1496" w:type="dxa"/>
            <w:tcBorders>
              <w:top w:val="single" w:sz="4" w:space="0" w:color="auto"/>
            </w:tcBorders>
          </w:tcPr>
          <w:p w14:paraId="6940875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620" w:type="dxa"/>
            <w:tcBorders>
              <w:top w:val="single" w:sz="4" w:space="0" w:color="auto"/>
            </w:tcBorders>
          </w:tcPr>
          <w:p w14:paraId="6B9644A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350" w:type="dxa"/>
            <w:gridSpan w:val="2"/>
            <w:tcBorders>
              <w:top w:val="single" w:sz="4" w:space="0" w:color="auto"/>
            </w:tcBorders>
          </w:tcPr>
          <w:p w14:paraId="7ED42E7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567" w:type="dxa"/>
            <w:tcBorders>
              <w:top w:val="single" w:sz="4" w:space="0" w:color="auto"/>
            </w:tcBorders>
          </w:tcPr>
          <w:p w14:paraId="2D07011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19" w:type="dxa"/>
            <w:tcBorders>
              <w:top w:val="single" w:sz="4" w:space="0" w:color="auto"/>
            </w:tcBorders>
          </w:tcPr>
          <w:p w14:paraId="00C2A1D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16F7F0B4"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Pr>
          <w:p w14:paraId="62BAC05A" w14:textId="77777777" w:rsidR="00D43014" w:rsidRPr="00C505F5" w:rsidRDefault="00D43014" w:rsidP="002F782A">
            <w:pPr>
              <w:rPr>
                <w:rFonts w:cs="Times New Roman"/>
              </w:rPr>
            </w:pPr>
            <w:r w:rsidRPr="00C505F5">
              <w:rPr>
                <w:rFonts w:cs="Times New Roman"/>
              </w:rPr>
              <w:t>R-squared</w:t>
            </w:r>
          </w:p>
        </w:tc>
        <w:tc>
          <w:tcPr>
            <w:tcW w:w="1151" w:type="dxa"/>
          </w:tcPr>
          <w:p w14:paraId="317225D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51" w:type="dxa"/>
          </w:tcPr>
          <w:p w14:paraId="0321BD1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379" w:type="dxa"/>
          </w:tcPr>
          <w:p w14:paraId="405EC52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0.238</w:t>
            </w:r>
          </w:p>
        </w:tc>
        <w:tc>
          <w:tcPr>
            <w:tcW w:w="1080" w:type="dxa"/>
          </w:tcPr>
          <w:p w14:paraId="0EBD9DA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94" w:type="dxa"/>
          </w:tcPr>
          <w:p w14:paraId="1B5589D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496" w:type="dxa"/>
          </w:tcPr>
          <w:p w14:paraId="3B95370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0.336</w:t>
            </w:r>
          </w:p>
        </w:tc>
        <w:tc>
          <w:tcPr>
            <w:tcW w:w="1620" w:type="dxa"/>
          </w:tcPr>
          <w:p w14:paraId="666DA79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350" w:type="dxa"/>
            <w:gridSpan w:val="2"/>
          </w:tcPr>
          <w:p w14:paraId="17C2483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0.532</w:t>
            </w:r>
          </w:p>
        </w:tc>
        <w:tc>
          <w:tcPr>
            <w:tcW w:w="567" w:type="dxa"/>
          </w:tcPr>
          <w:p w14:paraId="1358EDA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19" w:type="dxa"/>
          </w:tcPr>
          <w:p w14:paraId="55A0DAD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00E4035C" w14:textId="77777777" w:rsidTr="002F782A">
        <w:tc>
          <w:tcPr>
            <w:cnfStyle w:val="001000000000" w:firstRow="0" w:lastRow="0" w:firstColumn="1" w:lastColumn="0" w:oddVBand="0" w:evenVBand="0" w:oddHBand="0" w:evenHBand="0" w:firstRowFirstColumn="0" w:firstRowLastColumn="0" w:lastRowFirstColumn="0" w:lastRowLastColumn="0"/>
            <w:tcW w:w="14314" w:type="dxa"/>
            <w:gridSpan w:val="12"/>
            <w:tcBorders>
              <w:top w:val="single" w:sz="4" w:space="0" w:color="auto"/>
            </w:tcBorders>
          </w:tcPr>
          <w:p w14:paraId="40D9DC44" w14:textId="77777777" w:rsidR="00D43014" w:rsidRPr="00C505F5" w:rsidRDefault="00D43014" w:rsidP="002F782A">
            <w:pPr>
              <w:rPr>
                <w:rFonts w:cs="Times New Roman"/>
              </w:rPr>
            </w:pPr>
            <w:r w:rsidRPr="00C505F5">
              <w:rPr>
                <w:rFonts w:cs="Times New Roman"/>
              </w:rPr>
              <w:t>Robust standard errors in parentheses; *** p&lt;0.01, ** p&lt;0.05, * p&lt;0.1</w:t>
            </w:r>
          </w:p>
        </w:tc>
      </w:tr>
    </w:tbl>
    <w:p w14:paraId="5FC84273" w14:textId="77777777" w:rsidR="00573318" w:rsidRPr="00FE6187" w:rsidRDefault="00573318" w:rsidP="00B82868">
      <w:pPr>
        <w:rPr>
          <w:sz w:val="18"/>
          <w:szCs w:val="18"/>
          <w:lang w:eastAsia="ko-KR"/>
        </w:rPr>
      </w:pPr>
    </w:p>
    <w:sectPr w:rsidR="00573318" w:rsidRPr="00FE6187" w:rsidSect="002F0B8D">
      <w:pgSz w:w="15840" w:h="12240" w:orient="landscape"/>
      <w:pgMar w:top="1440" w:right="1080" w:bottom="1440" w:left="108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Tilahun Emiru" w:date="2017-05-14T07:45:00Z" w:initials="TE">
    <w:p w14:paraId="5646944A" w14:textId="77777777" w:rsidR="00B06815" w:rsidRDefault="00B06815">
      <w:pPr>
        <w:pStyle w:val="CommentText"/>
      </w:pPr>
      <w:r>
        <w:rPr>
          <w:rStyle w:val="CommentReference"/>
        </w:rPr>
        <w:annotationRef/>
      </w:r>
      <w:r>
        <w:t xml:space="preserve">Could this sentence be rewritten differently? </w:t>
      </w:r>
    </w:p>
  </w:comment>
  <w:comment w:id="1" w:author="Tilahun Emiru" w:date="2017-05-14T07:50:00Z" w:initials="TE">
    <w:p w14:paraId="6CB3CD98" w14:textId="77777777" w:rsidR="00B06815" w:rsidRDefault="00B06815">
      <w:pPr>
        <w:pStyle w:val="CommentText"/>
      </w:pPr>
      <w:r>
        <w:rPr>
          <w:rStyle w:val="CommentReference"/>
        </w:rPr>
        <w:annotationRef/>
      </w:r>
      <w:r>
        <w:t>Pick one of the two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646944A" w15:done="0"/>
  <w15:commentEx w15:paraId="6CB3CD9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BBB3D4" w14:textId="77777777" w:rsidR="00B06815" w:rsidRDefault="00B06815" w:rsidP="004876A6">
      <w:pPr>
        <w:spacing w:after="0" w:line="240" w:lineRule="auto"/>
      </w:pPr>
      <w:r>
        <w:separator/>
      </w:r>
    </w:p>
  </w:endnote>
  <w:endnote w:type="continuationSeparator" w:id="0">
    <w:p w14:paraId="3F1229A1" w14:textId="77777777" w:rsidR="00B06815" w:rsidRDefault="00B06815" w:rsidP="00487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MR10">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8073039"/>
      <w:docPartObj>
        <w:docPartGallery w:val="Page Numbers (Bottom of Page)"/>
        <w:docPartUnique/>
      </w:docPartObj>
    </w:sdtPr>
    <w:sdtEndPr>
      <w:rPr>
        <w:noProof/>
      </w:rPr>
    </w:sdtEndPr>
    <w:sdtContent>
      <w:p w14:paraId="1B0D3F5A" w14:textId="77777777" w:rsidR="00B06815" w:rsidRDefault="00B06815">
        <w:pPr>
          <w:pStyle w:val="Footer"/>
          <w:jc w:val="right"/>
        </w:pPr>
        <w:r>
          <w:fldChar w:fldCharType="begin"/>
        </w:r>
        <w:r>
          <w:instrText xml:space="preserve"> PAGE   \* MERGEFORMAT </w:instrText>
        </w:r>
        <w:r>
          <w:fldChar w:fldCharType="separate"/>
        </w:r>
        <w:r w:rsidR="004E02CB">
          <w:rPr>
            <w:noProof/>
          </w:rPr>
          <w:t>19</w:t>
        </w:r>
        <w:r>
          <w:rPr>
            <w:noProof/>
          </w:rPr>
          <w:fldChar w:fldCharType="end"/>
        </w:r>
      </w:p>
    </w:sdtContent>
  </w:sdt>
  <w:p w14:paraId="66442B5F" w14:textId="77777777" w:rsidR="00B06815" w:rsidRDefault="00B068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96254D" w14:textId="77777777" w:rsidR="00B06815" w:rsidRDefault="00B06815" w:rsidP="004876A6">
      <w:pPr>
        <w:spacing w:after="0" w:line="240" w:lineRule="auto"/>
      </w:pPr>
      <w:r>
        <w:separator/>
      </w:r>
    </w:p>
  </w:footnote>
  <w:footnote w:type="continuationSeparator" w:id="0">
    <w:p w14:paraId="032AB58B" w14:textId="77777777" w:rsidR="00B06815" w:rsidRDefault="00B06815" w:rsidP="004876A6">
      <w:pPr>
        <w:spacing w:after="0" w:line="240" w:lineRule="auto"/>
      </w:pPr>
      <w:r>
        <w:continuationSeparator/>
      </w:r>
    </w:p>
  </w:footnote>
  <w:footnote w:id="1">
    <w:p w14:paraId="0B092CF5" w14:textId="57021D38" w:rsidR="00B06815" w:rsidRDefault="00B06815" w:rsidP="001C3BD5">
      <w:pPr>
        <w:pStyle w:val="FootnoteText"/>
      </w:pPr>
      <w:r>
        <w:rPr>
          <w:rStyle w:val="FootnoteReference"/>
        </w:rPr>
        <w:footnoteRef/>
      </w:r>
      <w:r>
        <w:t xml:space="preserve"> E.g., for Asia: Williamson (2001), Ito (2001), and Frankel (2003).</w:t>
      </w:r>
    </w:p>
  </w:footnote>
  <w:footnote w:id="2">
    <w:p w14:paraId="7A0E65CD" w14:textId="77777777" w:rsidR="00B06815" w:rsidRDefault="00B06815">
      <w:pPr>
        <w:pStyle w:val="FootnoteText"/>
      </w:pPr>
      <w:r w:rsidRPr="00F36D94">
        <w:rPr>
          <w:rStyle w:val="FootnoteReference"/>
          <w:sz w:val="24"/>
          <w:szCs w:val="24"/>
        </w:rPr>
        <w:footnoteRef/>
      </w:r>
      <w:r w:rsidRPr="00F36D94">
        <w:rPr>
          <w:sz w:val="24"/>
          <w:szCs w:val="24"/>
        </w:rPr>
        <w:t xml:space="preserve"> </w:t>
      </w:r>
      <w:r w:rsidRPr="00A45E20">
        <w:rPr>
          <w:sz w:val="24"/>
          <w:szCs w:val="24"/>
        </w:rPr>
        <w:t>G</w:t>
      </w:r>
      <w:r w:rsidRPr="00A45E20">
        <w:rPr>
          <w:rFonts w:cs="Arial"/>
          <w:color w:val="222222"/>
          <w:sz w:val="24"/>
          <w:szCs w:val="24"/>
          <w:shd w:val="clear" w:color="auto" w:fill="FFFFFF"/>
        </w:rPr>
        <w:t xml:space="preserve">hosh, Ostry, and Qureshi (2015) offer </w:t>
      </w:r>
      <w:r w:rsidRPr="00A45E20">
        <w:rPr>
          <w:sz w:val="24"/>
          <w:szCs w:val="24"/>
        </w:rPr>
        <w:t>a recent empirical evaluation</w:t>
      </w:r>
    </w:p>
  </w:footnote>
  <w:footnote w:id="3">
    <w:p w14:paraId="15646F86" w14:textId="57595B3C" w:rsidR="00B06815" w:rsidRDefault="00B06815" w:rsidP="00370A0F">
      <w:pPr>
        <w:pStyle w:val="FootnoteText"/>
      </w:pPr>
      <w:r w:rsidRPr="00041FDE">
        <w:rPr>
          <w:rStyle w:val="FootnoteReference"/>
          <w:sz w:val="24"/>
          <w:szCs w:val="24"/>
        </w:rPr>
        <w:footnoteRef/>
      </w:r>
      <w:r w:rsidRPr="00041FDE">
        <w:rPr>
          <w:sz w:val="24"/>
          <w:szCs w:val="24"/>
        </w:rPr>
        <w:t xml:space="preserve"> E.g.,</w:t>
      </w:r>
      <w:r>
        <w:t xml:space="preserve"> </w:t>
      </w:r>
      <w:r w:rsidRPr="00A45E20">
        <w:rPr>
          <w:sz w:val="24"/>
          <w:szCs w:val="24"/>
        </w:rPr>
        <w:t>G</w:t>
      </w:r>
      <w:r w:rsidRPr="00A45E20">
        <w:rPr>
          <w:rFonts w:cs="Arial"/>
          <w:color w:val="222222"/>
          <w:sz w:val="24"/>
          <w:szCs w:val="24"/>
          <w:shd w:val="clear" w:color="auto" w:fill="FFFFFF"/>
        </w:rPr>
        <w:t>hosh, Ostry, and Qureshi (2015)</w:t>
      </w:r>
      <w:r>
        <w:rPr>
          <w:rFonts w:cs="Arial"/>
          <w:color w:val="222222"/>
          <w:sz w:val="24"/>
          <w:szCs w:val="24"/>
          <w:shd w:val="clear" w:color="auto" w:fill="FFFFFF"/>
        </w:rPr>
        <w:t xml:space="preserve">.  Their “managed float” category has grown to be the largest category of exchange rate regime, with the proviso: </w:t>
      </w:r>
      <w:r w:rsidRPr="00A45E20">
        <w:rPr>
          <w:color w:val="333333"/>
          <w:spacing w:val="2"/>
          <w:sz w:val="24"/>
          <w:szCs w:val="24"/>
          <w:shd w:val="clear" w:color="auto" w:fill="FCFCFC"/>
        </w:rPr>
        <w:t>“‘Managed floating’, however, is a nebulous concept.</w:t>
      </w:r>
      <w:r w:rsidRPr="00A45E20">
        <w:rPr>
          <w:rFonts w:cs="Arial"/>
          <w:color w:val="222222"/>
          <w:sz w:val="24"/>
          <w:szCs w:val="24"/>
          <w:shd w:val="clear" w:color="auto" w:fill="FFFFFF"/>
        </w:rPr>
        <w:t>”</w:t>
      </w:r>
      <w:r>
        <w:rPr>
          <w:rFonts w:cs="Arial"/>
          <w:color w:val="222222"/>
          <w:sz w:val="24"/>
          <w:szCs w:val="24"/>
          <w:shd w:val="clear" w:color="auto" w:fill="FFFFFF"/>
        </w:rPr>
        <w:t xml:space="preserve">  (The proviso suggests the utility of defining a regime that we can call systematically managed floating.)  The most recent classification scheme, by </w:t>
      </w:r>
      <w:r>
        <w:rPr>
          <w:sz w:val="24"/>
          <w:szCs w:val="24"/>
        </w:rPr>
        <w:t xml:space="preserve">Ilzetzki, </w:t>
      </w:r>
      <w:r w:rsidRPr="003D561A">
        <w:rPr>
          <w:sz w:val="24"/>
          <w:szCs w:val="24"/>
        </w:rPr>
        <w:t>Reinhart, Rogoff (2017) again does not support a trend to the corners.</w:t>
      </w:r>
      <w:r>
        <w:rPr>
          <w:sz w:val="24"/>
          <w:szCs w:val="24"/>
        </w:rPr>
        <w:t xml:space="preserve">   The classification studies are discussed in Part 2 of the paper.</w:t>
      </w:r>
    </w:p>
  </w:footnote>
  <w:footnote w:id="4">
    <w:p w14:paraId="49171982" w14:textId="77777777" w:rsidR="00B06815" w:rsidRPr="00B14318" w:rsidRDefault="00B06815">
      <w:pPr>
        <w:pStyle w:val="FootnoteText"/>
        <w:rPr>
          <w:sz w:val="24"/>
          <w:szCs w:val="24"/>
        </w:rPr>
      </w:pPr>
      <w:r w:rsidRPr="00B14318">
        <w:rPr>
          <w:rStyle w:val="FootnoteReference"/>
          <w:sz w:val="24"/>
          <w:szCs w:val="24"/>
        </w:rPr>
        <w:footnoteRef/>
      </w:r>
      <w:r w:rsidRPr="00B14318">
        <w:rPr>
          <w:sz w:val="24"/>
          <w:szCs w:val="24"/>
        </w:rPr>
        <w:t xml:space="preserve"> The author conducted a moderately unscientific poll of annual samples of IMF staff from 2000 to 2010</w:t>
      </w:r>
      <w:r>
        <w:rPr>
          <w:sz w:val="24"/>
          <w:szCs w:val="24"/>
        </w:rPr>
        <w:t>.  At the start, a substantial</w:t>
      </w:r>
      <w:r w:rsidRPr="00B14318">
        <w:rPr>
          <w:sz w:val="24"/>
          <w:szCs w:val="24"/>
        </w:rPr>
        <w:t xml:space="preserve"> majority </w:t>
      </w:r>
      <w:r>
        <w:rPr>
          <w:sz w:val="24"/>
          <w:szCs w:val="24"/>
        </w:rPr>
        <w:t xml:space="preserve">of participants </w:t>
      </w:r>
      <w:r w:rsidRPr="00B14318">
        <w:rPr>
          <w:sz w:val="24"/>
          <w:szCs w:val="24"/>
        </w:rPr>
        <w:t xml:space="preserve">reported the perception that a belief in the corners hypothesis was </w:t>
      </w:r>
      <w:r>
        <w:rPr>
          <w:sz w:val="24"/>
          <w:szCs w:val="24"/>
        </w:rPr>
        <w:t xml:space="preserve">in effect </w:t>
      </w:r>
      <w:r w:rsidRPr="00B14318">
        <w:rPr>
          <w:sz w:val="24"/>
          <w:szCs w:val="24"/>
        </w:rPr>
        <w:t xml:space="preserve">IMF policy.  </w:t>
      </w:r>
      <w:r>
        <w:rPr>
          <w:sz w:val="24"/>
          <w:szCs w:val="24"/>
        </w:rPr>
        <w:t>Subsequently t</w:t>
      </w:r>
      <w:r w:rsidRPr="00B14318">
        <w:rPr>
          <w:sz w:val="24"/>
          <w:szCs w:val="24"/>
        </w:rPr>
        <w:t>he percentage declined and eventually hit zero.</w:t>
      </w:r>
    </w:p>
  </w:footnote>
  <w:footnote w:id="5">
    <w:p w14:paraId="163A620D" w14:textId="77777777" w:rsidR="00B06815" w:rsidRPr="00EC2DA8" w:rsidRDefault="00B06815">
      <w:pPr>
        <w:pStyle w:val="FootnoteText"/>
        <w:rPr>
          <w:sz w:val="24"/>
          <w:szCs w:val="24"/>
        </w:rPr>
      </w:pPr>
      <w:r w:rsidRPr="00EC2DA8">
        <w:rPr>
          <w:rStyle w:val="FootnoteReference"/>
          <w:sz w:val="24"/>
          <w:szCs w:val="24"/>
        </w:rPr>
        <w:footnoteRef/>
      </w:r>
      <w:r w:rsidRPr="00EC2DA8">
        <w:rPr>
          <w:sz w:val="24"/>
          <w:szCs w:val="24"/>
        </w:rPr>
        <w:t xml:space="preserve">  Complicating matters</w:t>
      </w:r>
      <w:r>
        <w:rPr>
          <w:sz w:val="24"/>
          <w:szCs w:val="24"/>
        </w:rPr>
        <w:t xml:space="preserve">, some graphical interpretations depict capital controls, firm fixes, and floating as the three </w:t>
      </w:r>
      <w:r w:rsidRPr="00B0645B">
        <w:rPr>
          <w:sz w:val="24"/>
          <w:szCs w:val="24"/>
        </w:rPr>
        <w:t>sides</w:t>
      </w:r>
      <w:r>
        <w:rPr>
          <w:sz w:val="24"/>
          <w:szCs w:val="24"/>
        </w:rPr>
        <w:t xml:space="preserve"> of the triangle instead of the three corners.   In this case an intermediate regime, such as half-floating and half-independence, cannot be represented by identifying a point along the side of the triangle, but is instead described as “rounding the corners.”  (Klein and Shambaugh, 2015.)</w:t>
      </w:r>
    </w:p>
  </w:footnote>
  <w:footnote w:id="6">
    <w:p w14:paraId="58D04DAF" w14:textId="77777777" w:rsidR="00B06815" w:rsidRPr="009E235D" w:rsidRDefault="00B06815" w:rsidP="00011F62">
      <w:pPr>
        <w:pStyle w:val="FootnoteText"/>
        <w:rPr>
          <w:sz w:val="24"/>
          <w:szCs w:val="24"/>
        </w:rPr>
      </w:pPr>
      <w:r w:rsidRPr="009E235D">
        <w:rPr>
          <w:rStyle w:val="FootnoteReference"/>
          <w:sz w:val="24"/>
          <w:szCs w:val="24"/>
        </w:rPr>
        <w:footnoteRef/>
      </w:r>
      <w:r w:rsidRPr="009E235D">
        <w:rPr>
          <w:sz w:val="24"/>
          <w:szCs w:val="24"/>
        </w:rPr>
        <w:t xml:space="preserve"> Also </w:t>
      </w:r>
      <w:r>
        <w:rPr>
          <w:sz w:val="24"/>
          <w:szCs w:val="24"/>
        </w:rPr>
        <w:t>Miranda-</w:t>
      </w:r>
      <w:r>
        <w:rPr>
          <w:rFonts w:cs="Arial"/>
          <w:sz w:val="24"/>
          <w:szCs w:val="24"/>
        </w:rPr>
        <w:t xml:space="preserve">Agrippino and </w:t>
      </w:r>
      <w:r w:rsidRPr="009E235D">
        <w:rPr>
          <w:rFonts w:cs="Arial"/>
          <w:sz w:val="24"/>
          <w:szCs w:val="24"/>
        </w:rPr>
        <w:t xml:space="preserve">Rey (2014), Devereux and Yetman (2014), </w:t>
      </w:r>
      <w:r w:rsidRPr="009E235D">
        <w:rPr>
          <w:sz w:val="24"/>
          <w:szCs w:val="24"/>
        </w:rPr>
        <w:t>Edwards (2015).</w:t>
      </w:r>
    </w:p>
  </w:footnote>
  <w:footnote w:id="7">
    <w:p w14:paraId="4A411EEC" w14:textId="77777777" w:rsidR="00B06815" w:rsidRPr="00370A0F" w:rsidRDefault="00B06815" w:rsidP="00370A0F">
      <w:pPr>
        <w:spacing w:after="0"/>
        <w:rPr>
          <w:sz w:val="24"/>
          <w:szCs w:val="24"/>
          <w:shd w:val="clear" w:color="auto" w:fill="FFFFFF"/>
        </w:rPr>
      </w:pPr>
      <w:r w:rsidRPr="00370A0F">
        <w:rPr>
          <w:rStyle w:val="FootnoteReference"/>
          <w:sz w:val="24"/>
          <w:szCs w:val="24"/>
        </w:rPr>
        <w:footnoteRef/>
      </w:r>
      <w:r w:rsidRPr="00370A0F">
        <w:rPr>
          <w:sz w:val="24"/>
          <w:szCs w:val="24"/>
        </w:rPr>
        <w:t xml:space="preserve">  Including </w:t>
      </w:r>
      <w:r w:rsidRPr="00370A0F">
        <w:rPr>
          <w:sz w:val="24"/>
          <w:szCs w:val="24"/>
          <w:shd w:val="clear" w:color="auto" w:fill="FFFFFF"/>
        </w:rPr>
        <w:t xml:space="preserve">Aizenman, Chinn, and Ito (2010, 2011), </w:t>
      </w:r>
      <w:r w:rsidRPr="00370A0F">
        <w:rPr>
          <w:sz w:val="24"/>
          <w:szCs w:val="24"/>
        </w:rPr>
        <w:t>Di Giovanni and Shambaugh (2008),</w:t>
      </w:r>
      <w:r w:rsidRPr="00370A0F">
        <w:rPr>
          <w:sz w:val="24"/>
          <w:szCs w:val="24"/>
          <w:shd w:val="clear" w:color="auto" w:fill="FFFFFF"/>
        </w:rPr>
        <w:t xml:space="preserve"> Klein and Shambaugh (2012, 2015), Obstfeld (2015), </w:t>
      </w:r>
      <w:r w:rsidRPr="00370A0F">
        <w:rPr>
          <w:color w:val="222222"/>
          <w:sz w:val="24"/>
          <w:szCs w:val="24"/>
          <w:shd w:val="clear" w:color="auto" w:fill="FFFFFF"/>
        </w:rPr>
        <w:t>Obstfeld, Shambaugh and Taylor (2005), Shambaugh (2004), and</w:t>
      </w:r>
      <w:r w:rsidRPr="00370A0F">
        <w:rPr>
          <w:sz w:val="24"/>
          <w:szCs w:val="24"/>
          <w:shd w:val="clear" w:color="auto" w:fill="FFFFFF"/>
        </w:rPr>
        <w:t xml:space="preserve"> </w:t>
      </w:r>
      <w:r w:rsidRPr="00370A0F">
        <w:rPr>
          <w:color w:val="222222"/>
          <w:sz w:val="24"/>
          <w:szCs w:val="24"/>
          <w:shd w:val="clear" w:color="auto" w:fill="FFFFFF"/>
        </w:rPr>
        <w:t>Frankel, Schmukler and Servén (2004)</w:t>
      </w:r>
      <w:r w:rsidRPr="00370A0F">
        <w:rPr>
          <w:sz w:val="24"/>
          <w:szCs w:val="24"/>
          <w:shd w:val="clear" w:color="auto" w:fill="FFFFFF"/>
        </w:rPr>
        <w:t>.</w:t>
      </w:r>
    </w:p>
  </w:footnote>
  <w:footnote w:id="8">
    <w:p w14:paraId="3F4C103D" w14:textId="77777777" w:rsidR="00B06815" w:rsidRPr="007555F8" w:rsidRDefault="00B06815">
      <w:pPr>
        <w:pStyle w:val="FootnoteText"/>
        <w:rPr>
          <w:sz w:val="24"/>
          <w:szCs w:val="24"/>
        </w:rPr>
      </w:pPr>
      <w:r w:rsidRPr="007555F8">
        <w:rPr>
          <w:rStyle w:val="FootnoteReference"/>
          <w:sz w:val="24"/>
          <w:szCs w:val="24"/>
        </w:rPr>
        <w:footnoteRef/>
      </w:r>
      <w:r w:rsidRPr="007555F8">
        <w:rPr>
          <w:sz w:val="24"/>
          <w:szCs w:val="24"/>
        </w:rPr>
        <w:t xml:space="preserve"> E.g., Truman (2003).</w:t>
      </w:r>
    </w:p>
  </w:footnote>
  <w:footnote w:id="9">
    <w:p w14:paraId="6417B918" w14:textId="77777777" w:rsidR="00B06815" w:rsidRPr="00E324E9" w:rsidRDefault="00B06815" w:rsidP="000D744F">
      <w:pPr>
        <w:pStyle w:val="Bibliography"/>
        <w:spacing w:before="80" w:after="0" w:line="240" w:lineRule="auto"/>
        <w:rPr>
          <w:sz w:val="24"/>
          <w:szCs w:val="24"/>
        </w:rPr>
      </w:pPr>
      <w:r w:rsidRPr="00E324E9">
        <w:rPr>
          <w:rStyle w:val="FootnoteReference"/>
          <w:sz w:val="24"/>
          <w:szCs w:val="24"/>
        </w:rPr>
        <w:footnoteRef/>
      </w:r>
      <w:r w:rsidRPr="00E324E9">
        <w:rPr>
          <w:sz w:val="24"/>
          <w:szCs w:val="24"/>
        </w:rPr>
        <w:t xml:space="preserve"> Some studies of the effectiveness of intervention by advanced-country central banks include </w:t>
      </w:r>
      <w:r w:rsidRPr="00E324E9">
        <w:rPr>
          <w:sz w:val="24"/>
          <w:szCs w:val="24"/>
        </w:rPr>
        <w:br/>
      </w:r>
      <w:r w:rsidRPr="00E324E9">
        <w:rPr>
          <w:rFonts w:cs="Times New Roman"/>
          <w:noProof/>
          <w:color w:val="000000" w:themeColor="text1"/>
          <w:sz w:val="24"/>
          <w:szCs w:val="24"/>
        </w:rPr>
        <w:t>Beine, Bénassy-Quéré, and Lecourt (2002),</w:t>
      </w:r>
      <w:r w:rsidRPr="00E324E9">
        <w:rPr>
          <w:rFonts w:ascii="Times New Roman" w:hAnsi="Times New Roman" w:cs="Times New Roman"/>
          <w:noProof/>
          <w:color w:val="000000" w:themeColor="text1"/>
          <w:sz w:val="24"/>
          <w:szCs w:val="24"/>
        </w:rPr>
        <w:t xml:space="preserve"> </w:t>
      </w:r>
      <w:r w:rsidRPr="00E324E9">
        <w:rPr>
          <w:rFonts w:cs="Times New Roman"/>
          <w:noProof/>
          <w:color w:val="000000" w:themeColor="text1"/>
          <w:sz w:val="24"/>
          <w:szCs w:val="24"/>
        </w:rPr>
        <w:t xml:space="preserve">Dominguez (2006), </w:t>
      </w:r>
      <w:r w:rsidRPr="00E324E9">
        <w:rPr>
          <w:rFonts w:cs="Times New Roman"/>
          <w:color w:val="000000" w:themeColor="text1"/>
          <w:sz w:val="24"/>
          <w:szCs w:val="24"/>
          <w:shd w:val="clear" w:color="auto" w:fill="FFFFFF"/>
        </w:rPr>
        <w:t xml:space="preserve">Dominguez, Fatum, and Vacek (2013), </w:t>
      </w:r>
      <w:r w:rsidRPr="00E324E9">
        <w:rPr>
          <w:sz w:val="24"/>
          <w:szCs w:val="24"/>
        </w:rPr>
        <w:t>Dominguez and Frankel (1993a,b), Fatum and Hutchison (2003, 2010), Humpage (1999)</w:t>
      </w:r>
      <w:r>
        <w:rPr>
          <w:sz w:val="24"/>
          <w:szCs w:val="24"/>
        </w:rPr>
        <w:t xml:space="preserve"> Ito (2003), </w:t>
      </w:r>
      <w:r w:rsidRPr="00603F0E">
        <w:rPr>
          <w:sz w:val="24"/>
          <w:szCs w:val="24"/>
        </w:rPr>
        <w:t>Kearns and Rigobon (2005)</w:t>
      </w:r>
      <w:r>
        <w:rPr>
          <w:sz w:val="24"/>
          <w:szCs w:val="24"/>
        </w:rPr>
        <w:t>, and Obstfeld (1990)</w:t>
      </w:r>
      <w:r w:rsidRPr="00603F0E">
        <w:rPr>
          <w:sz w:val="24"/>
          <w:szCs w:val="24"/>
        </w:rPr>
        <w:t>.</w:t>
      </w:r>
      <w:r>
        <w:rPr>
          <w:sz w:val="24"/>
          <w:szCs w:val="24"/>
        </w:rPr>
        <w:t xml:space="preserve">  </w:t>
      </w:r>
      <w:r w:rsidRPr="00E324E9">
        <w:rPr>
          <w:sz w:val="24"/>
          <w:szCs w:val="24"/>
        </w:rPr>
        <w:t xml:space="preserve"> Surveys include Edison (1993), Menkhoff (2010), and Sarno and Taylor (2001).</w:t>
      </w:r>
    </w:p>
  </w:footnote>
  <w:footnote w:id="10">
    <w:p w14:paraId="7D24ABC0" w14:textId="77777777" w:rsidR="00B06815" w:rsidRDefault="00B06815" w:rsidP="00370A0F">
      <w:pPr>
        <w:pStyle w:val="FootnoteText"/>
      </w:pPr>
      <w:r>
        <w:rPr>
          <w:rStyle w:val="FootnoteReference"/>
        </w:rPr>
        <w:footnoteRef/>
      </w:r>
      <w:r>
        <w:t xml:space="preserve">  </w:t>
      </w:r>
      <w:r>
        <w:rPr>
          <w:sz w:val="24"/>
          <w:szCs w:val="24"/>
        </w:rPr>
        <w:t xml:space="preserve">I see the venerable “signaling hypothesis” (Mussa, 1981) as largely a red herring.  Why would a central bank choose such an opaque way of signaling its intentions? What practical difference does it make whether or not sterilized intervention implies that money supplies will change some day, if it is in the distant future? </w:t>
      </w:r>
    </w:p>
  </w:footnote>
  <w:footnote w:id="11">
    <w:p w14:paraId="02DDE362" w14:textId="67B7DD95" w:rsidR="00B06815" w:rsidRPr="00D14019" w:rsidRDefault="00B06815" w:rsidP="00370A0F">
      <w:pPr>
        <w:pStyle w:val="FootnoteText"/>
        <w:rPr>
          <w:sz w:val="24"/>
          <w:szCs w:val="24"/>
        </w:rPr>
      </w:pPr>
      <w:r w:rsidRPr="00D14019">
        <w:rPr>
          <w:rStyle w:val="FootnoteReference"/>
          <w:sz w:val="24"/>
          <w:szCs w:val="24"/>
        </w:rPr>
        <w:footnoteRef/>
      </w:r>
      <w:r w:rsidRPr="00D14019">
        <w:rPr>
          <w:sz w:val="24"/>
          <w:szCs w:val="24"/>
        </w:rPr>
        <w:t xml:space="preserve"> Frankel (2016) relates the G7’s </w:t>
      </w:r>
      <w:r>
        <w:rPr>
          <w:sz w:val="24"/>
          <w:szCs w:val="24"/>
        </w:rPr>
        <w:t xml:space="preserve">post-millennium </w:t>
      </w:r>
      <w:r w:rsidRPr="00D14019">
        <w:rPr>
          <w:sz w:val="24"/>
          <w:szCs w:val="24"/>
        </w:rPr>
        <w:t>renunciation of foreign exchange intervention.</w:t>
      </w:r>
    </w:p>
  </w:footnote>
  <w:footnote w:id="12">
    <w:p w14:paraId="1568D92E" w14:textId="5692FDA6" w:rsidR="00B06815" w:rsidRPr="00765A68" w:rsidRDefault="00B06815" w:rsidP="00370A0F">
      <w:pPr>
        <w:pStyle w:val="FootnoteText"/>
        <w:rPr>
          <w:sz w:val="24"/>
          <w:szCs w:val="24"/>
        </w:rPr>
      </w:pPr>
      <w:r w:rsidRPr="00765A68">
        <w:rPr>
          <w:rStyle w:val="FootnoteReference"/>
          <w:sz w:val="24"/>
          <w:szCs w:val="24"/>
        </w:rPr>
        <w:footnoteRef/>
      </w:r>
      <w:r w:rsidRPr="00765A68">
        <w:rPr>
          <w:sz w:val="24"/>
          <w:szCs w:val="24"/>
        </w:rPr>
        <w:t xml:space="preserve"> Besides Fratzscher et al (2016), other recent studies of EM intervention include Adler, Lisack and Mano (2015), Adler and Tovar (2011), </w:t>
      </w:r>
      <w:r w:rsidRPr="00765A68">
        <w:rPr>
          <w:rFonts w:cs="Times New Roman"/>
          <w:noProof/>
          <w:color w:val="000000" w:themeColor="text1"/>
          <w:sz w:val="24"/>
          <w:szCs w:val="24"/>
        </w:rPr>
        <w:t>Blanchard, Adler, and de Carvalho Filho (2015), Daude</w:t>
      </w:r>
      <w:r w:rsidRPr="00765A68">
        <w:rPr>
          <w:sz w:val="24"/>
          <w:szCs w:val="24"/>
        </w:rPr>
        <w:t xml:space="preserve">, Levy-Yeyati and Nagengast (2014), and </w:t>
      </w:r>
      <w:r w:rsidRPr="00765A68">
        <w:rPr>
          <w:rFonts w:cs="Times New Roman"/>
          <w:noProof/>
          <w:color w:val="000000" w:themeColor="text1"/>
          <w:sz w:val="24"/>
          <w:szCs w:val="24"/>
        </w:rPr>
        <w:t>Disyatat and Galati (2007)</w:t>
      </w:r>
      <w:r w:rsidRPr="00765A68">
        <w:rPr>
          <w:sz w:val="24"/>
          <w:szCs w:val="24"/>
        </w:rPr>
        <w:t xml:space="preserve">.   </w:t>
      </w:r>
      <w:r w:rsidRPr="00765A68">
        <w:rPr>
          <w:rFonts w:cs="Times New Roman"/>
          <w:color w:val="000000" w:themeColor="text1"/>
          <w:sz w:val="24"/>
          <w:szCs w:val="24"/>
          <w:shd w:val="clear" w:color="auto" w:fill="FFFFFF"/>
        </w:rPr>
        <w:t>Menkhoff (2013) surveys the earlier ones.</w:t>
      </w:r>
    </w:p>
  </w:footnote>
  <w:footnote w:id="13">
    <w:p w14:paraId="7260847D" w14:textId="77777777" w:rsidR="00B06815" w:rsidRPr="00CE0CA3" w:rsidRDefault="00B06815">
      <w:pPr>
        <w:pStyle w:val="FootnoteText"/>
        <w:rPr>
          <w:sz w:val="24"/>
          <w:szCs w:val="24"/>
        </w:rPr>
      </w:pPr>
      <w:r w:rsidRPr="00CE0CA3">
        <w:rPr>
          <w:rStyle w:val="FootnoteReference"/>
          <w:sz w:val="24"/>
          <w:szCs w:val="24"/>
        </w:rPr>
        <w:footnoteRef/>
      </w:r>
      <w:r w:rsidRPr="00CE0CA3">
        <w:rPr>
          <w:sz w:val="24"/>
          <w:szCs w:val="24"/>
        </w:rPr>
        <w:t xml:space="preserve"> Including </w:t>
      </w:r>
      <w:r w:rsidRPr="00CE0CA3">
        <w:rPr>
          <w:rFonts w:cs="Times New Roman"/>
          <w:noProof/>
          <w:color w:val="000000" w:themeColor="text1"/>
          <w:sz w:val="24"/>
          <w:szCs w:val="24"/>
        </w:rPr>
        <w:t xml:space="preserve">Devereux and Engel (2002), </w:t>
      </w:r>
      <w:r w:rsidRPr="00CE0CA3">
        <w:rPr>
          <w:rFonts w:cs="Arial"/>
          <w:color w:val="222222"/>
          <w:sz w:val="24"/>
          <w:szCs w:val="24"/>
          <w:shd w:val="clear" w:color="auto" w:fill="FFFFFF"/>
        </w:rPr>
        <w:t>Flood and Rose (1999),</w:t>
      </w:r>
      <w:r w:rsidRPr="00CE0CA3">
        <w:rPr>
          <w:sz w:val="24"/>
          <w:szCs w:val="24"/>
        </w:rPr>
        <w:t xml:space="preserve"> and Rose (2011).</w:t>
      </w:r>
    </w:p>
  </w:footnote>
  <w:footnote w:id="14">
    <w:p w14:paraId="7BC7AAE3" w14:textId="77777777" w:rsidR="00B06815" w:rsidRPr="00CE0CA3" w:rsidRDefault="00B06815">
      <w:pPr>
        <w:pStyle w:val="FootnoteText"/>
        <w:rPr>
          <w:sz w:val="24"/>
          <w:szCs w:val="24"/>
        </w:rPr>
      </w:pPr>
      <w:r w:rsidRPr="00CE0CA3">
        <w:rPr>
          <w:rStyle w:val="FootnoteReference"/>
          <w:sz w:val="24"/>
          <w:szCs w:val="24"/>
        </w:rPr>
        <w:footnoteRef/>
      </w:r>
      <w:r w:rsidRPr="00CE0CA3">
        <w:rPr>
          <w:sz w:val="24"/>
          <w:szCs w:val="24"/>
        </w:rPr>
        <w:t xml:space="preserve"> Obstfeld and Rogoff (1995) and Klein and Marion (1997).</w:t>
      </w:r>
    </w:p>
  </w:footnote>
  <w:footnote w:id="15">
    <w:p w14:paraId="35F3D3DB" w14:textId="53974879" w:rsidR="00B06815" w:rsidRDefault="00B06815">
      <w:pPr>
        <w:pStyle w:val="FootnoteText"/>
      </w:pPr>
      <w:r w:rsidRPr="00CE0CA3">
        <w:rPr>
          <w:rStyle w:val="FootnoteReference"/>
          <w:sz w:val="24"/>
          <w:szCs w:val="24"/>
        </w:rPr>
        <w:footnoteRef/>
      </w:r>
      <w:r w:rsidRPr="00CE0CA3">
        <w:rPr>
          <w:sz w:val="24"/>
          <w:szCs w:val="24"/>
        </w:rPr>
        <w:t xml:space="preserve"> The famous “fear of floating”:</w:t>
      </w:r>
      <w:r>
        <w:t xml:space="preserve">  </w:t>
      </w:r>
      <w:r>
        <w:rPr>
          <w:sz w:val="24"/>
          <w:szCs w:val="24"/>
        </w:rPr>
        <w:t>Calvo and Reinhart (2002), Reinhart (2000).</w:t>
      </w:r>
    </w:p>
  </w:footnote>
  <w:footnote w:id="16">
    <w:p w14:paraId="6613491B" w14:textId="77777777" w:rsidR="00B06815" w:rsidRPr="00CE0CA3" w:rsidRDefault="00B06815">
      <w:pPr>
        <w:pStyle w:val="FootnoteText"/>
        <w:rPr>
          <w:sz w:val="24"/>
          <w:szCs w:val="24"/>
        </w:rPr>
      </w:pPr>
      <w:r w:rsidRPr="00CE0CA3">
        <w:rPr>
          <w:rStyle w:val="FootnoteReference"/>
          <w:sz w:val="24"/>
          <w:szCs w:val="24"/>
        </w:rPr>
        <w:footnoteRef/>
      </w:r>
      <w:r w:rsidRPr="00CE0CA3">
        <w:rPr>
          <w:sz w:val="24"/>
          <w:szCs w:val="24"/>
        </w:rPr>
        <w:t xml:space="preserve"> E.g., </w:t>
      </w:r>
      <w:r w:rsidRPr="00CE0CA3">
        <w:rPr>
          <w:rFonts w:cs="Arial"/>
          <w:color w:val="222222"/>
          <w:sz w:val="24"/>
          <w:szCs w:val="24"/>
          <w:shd w:val="clear" w:color="auto" w:fill="FFFFFF"/>
        </w:rPr>
        <w:t>Frankel, Fajnzylber, Schmukler and Servén (2001).</w:t>
      </w:r>
    </w:p>
  </w:footnote>
  <w:footnote w:id="17">
    <w:p w14:paraId="0CE874C4" w14:textId="77777777" w:rsidR="00B06815" w:rsidRPr="00CE0CA3" w:rsidRDefault="00B06815" w:rsidP="00D219CC">
      <w:pPr>
        <w:pStyle w:val="FootnoteText"/>
        <w:rPr>
          <w:sz w:val="24"/>
          <w:szCs w:val="24"/>
        </w:rPr>
      </w:pPr>
      <w:r w:rsidRPr="00CE0CA3">
        <w:rPr>
          <w:rStyle w:val="FootnoteReference"/>
          <w:sz w:val="24"/>
          <w:szCs w:val="24"/>
        </w:rPr>
        <w:footnoteRef/>
      </w:r>
      <w:r w:rsidRPr="00CE0CA3">
        <w:rPr>
          <w:sz w:val="24"/>
          <w:szCs w:val="24"/>
        </w:rPr>
        <w:t xml:space="preserve"> </w:t>
      </w:r>
      <w:r>
        <w:rPr>
          <w:sz w:val="24"/>
          <w:szCs w:val="24"/>
        </w:rPr>
        <w:t xml:space="preserve">Some or the </w:t>
      </w:r>
      <w:r w:rsidRPr="00CE0CA3">
        <w:rPr>
          <w:sz w:val="24"/>
          <w:szCs w:val="24"/>
        </w:rPr>
        <w:t xml:space="preserve">prominent de facto classification schemes are </w:t>
      </w:r>
      <w:r w:rsidRPr="00CE0CA3">
        <w:rPr>
          <w:spacing w:val="-3"/>
          <w:sz w:val="24"/>
          <w:szCs w:val="24"/>
        </w:rPr>
        <w:t xml:space="preserve">Ghosh, Gulde, and Wolf (2000), Ilzetzki, </w:t>
      </w:r>
      <w:r w:rsidRPr="00CE0CA3">
        <w:rPr>
          <w:spacing w:val="-3"/>
          <w:sz w:val="24"/>
          <w:szCs w:val="24"/>
          <w:lang w:val="de-DE"/>
        </w:rPr>
        <w:t>Reinhart and Rogoff (</w:t>
      </w:r>
      <w:r w:rsidRPr="00CE0CA3">
        <w:rPr>
          <w:spacing w:val="-3"/>
          <w:sz w:val="24"/>
          <w:szCs w:val="24"/>
        </w:rPr>
        <w:t>2017),</w:t>
      </w:r>
      <w:r w:rsidRPr="00CE0CA3">
        <w:rPr>
          <w:sz w:val="24"/>
          <w:szCs w:val="24"/>
        </w:rPr>
        <w:t xml:space="preserve"> </w:t>
      </w:r>
      <w:r w:rsidRPr="00CE0CA3">
        <w:rPr>
          <w:spacing w:val="-3"/>
          <w:sz w:val="24"/>
          <w:szCs w:val="24"/>
          <w:lang w:val="de-DE"/>
        </w:rPr>
        <w:t>Reinhart and Rogoff (</w:t>
      </w:r>
      <w:r w:rsidRPr="00CE0CA3">
        <w:rPr>
          <w:spacing w:val="-3"/>
          <w:sz w:val="24"/>
          <w:szCs w:val="24"/>
        </w:rPr>
        <w:t>2004)</w:t>
      </w:r>
      <w:r>
        <w:rPr>
          <w:spacing w:val="-3"/>
          <w:sz w:val="24"/>
          <w:szCs w:val="24"/>
        </w:rPr>
        <w:t xml:space="preserve">, </w:t>
      </w:r>
      <w:r w:rsidRPr="004C7BE5">
        <w:rPr>
          <w:sz w:val="24"/>
          <w:szCs w:val="24"/>
        </w:rPr>
        <w:t>Bénassy-Quéré, Coeuré, and Mignon (2004),</w:t>
      </w:r>
      <w:r>
        <w:t xml:space="preserve"> </w:t>
      </w:r>
      <w:r>
        <w:rPr>
          <w:spacing w:val="-3"/>
          <w:sz w:val="24"/>
          <w:szCs w:val="24"/>
        </w:rPr>
        <w:t xml:space="preserve"> </w:t>
      </w:r>
      <w:r w:rsidRPr="00772D75">
        <w:rPr>
          <w:spacing w:val="-3"/>
          <w:sz w:val="24"/>
          <w:szCs w:val="24"/>
        </w:rPr>
        <w:t xml:space="preserve">and </w:t>
      </w:r>
      <w:r w:rsidRPr="00772D75">
        <w:rPr>
          <w:sz w:val="24"/>
          <w:szCs w:val="24"/>
        </w:rPr>
        <w:t>Levy-Yeyati and Sturzenegger (2001</w:t>
      </w:r>
      <w:r>
        <w:rPr>
          <w:sz w:val="24"/>
          <w:szCs w:val="24"/>
        </w:rPr>
        <w:t>,</w:t>
      </w:r>
      <w:r w:rsidRPr="00772D75">
        <w:rPr>
          <w:sz w:val="24"/>
          <w:szCs w:val="24"/>
        </w:rPr>
        <w:t xml:space="preserve"> 2003</w:t>
      </w:r>
      <w:r>
        <w:rPr>
          <w:sz w:val="24"/>
          <w:szCs w:val="24"/>
        </w:rPr>
        <w:t>, 2005</w:t>
      </w:r>
      <w:r w:rsidRPr="00772D75">
        <w:rPr>
          <w:sz w:val="24"/>
          <w:szCs w:val="24"/>
        </w:rPr>
        <w:t>).</w:t>
      </w:r>
      <w:r w:rsidRPr="00CE0CA3">
        <w:rPr>
          <w:sz w:val="24"/>
          <w:szCs w:val="24"/>
        </w:rPr>
        <w:t xml:space="preserve">  Surveys of the literature on classification of exchange rate regimes include Klein and Shambaugh (</w:t>
      </w:r>
      <w:r>
        <w:rPr>
          <w:sz w:val="24"/>
          <w:szCs w:val="24"/>
        </w:rPr>
        <w:t>2012</w:t>
      </w:r>
      <w:r w:rsidRPr="00CE0CA3">
        <w:rPr>
          <w:sz w:val="24"/>
          <w:szCs w:val="24"/>
        </w:rPr>
        <w:t xml:space="preserve">), Rose (2011), </w:t>
      </w:r>
      <w:r>
        <w:rPr>
          <w:sz w:val="24"/>
          <w:szCs w:val="24"/>
        </w:rPr>
        <w:t xml:space="preserve">and </w:t>
      </w:r>
      <w:r w:rsidRPr="00CE0CA3">
        <w:rPr>
          <w:sz w:val="24"/>
          <w:szCs w:val="24"/>
        </w:rPr>
        <w:t>Tavlas, Dellas and Stockman (2008).</w:t>
      </w:r>
    </w:p>
  </w:footnote>
  <w:footnote w:id="18">
    <w:p w14:paraId="4CD44284" w14:textId="77777777" w:rsidR="00B06815" w:rsidRDefault="00B06815" w:rsidP="00381AA5">
      <w:pPr>
        <w:pStyle w:val="FootnoteText"/>
      </w:pPr>
      <w:r>
        <w:rPr>
          <w:rStyle w:val="FootnoteReference"/>
        </w:rPr>
        <w:footnoteRef/>
      </w:r>
      <w:r>
        <w:t xml:space="preserve">  </w:t>
      </w:r>
      <w:r w:rsidRPr="00041FDE">
        <w:rPr>
          <w:color w:val="333333"/>
          <w:spacing w:val="2"/>
          <w:sz w:val="24"/>
          <w:szCs w:val="24"/>
          <w:shd w:val="clear" w:color="auto" w:fill="FCFCFC"/>
        </w:rPr>
        <w:t>Bubula and Ötker-Robe</w:t>
      </w:r>
      <w:r>
        <w:rPr>
          <w:color w:val="333333"/>
          <w:spacing w:val="2"/>
          <w:sz w:val="24"/>
          <w:szCs w:val="24"/>
          <w:shd w:val="clear" w:color="auto" w:fill="FCFCFC"/>
        </w:rPr>
        <w:t xml:space="preserve"> (2002).</w:t>
      </w:r>
    </w:p>
  </w:footnote>
  <w:footnote w:id="19">
    <w:p w14:paraId="0608AE74" w14:textId="4215A284" w:rsidR="00B06815" w:rsidRPr="00DF4324" w:rsidRDefault="00B06815">
      <w:pPr>
        <w:pStyle w:val="FootnoteText"/>
        <w:rPr>
          <w:sz w:val="24"/>
          <w:szCs w:val="24"/>
        </w:rPr>
      </w:pPr>
      <w:r w:rsidRPr="00DF4324">
        <w:rPr>
          <w:rStyle w:val="FootnoteReference"/>
          <w:sz w:val="24"/>
          <w:szCs w:val="24"/>
        </w:rPr>
        <w:footnoteRef/>
      </w:r>
      <w:r>
        <w:rPr>
          <w:sz w:val="24"/>
          <w:szCs w:val="24"/>
        </w:rPr>
        <w:t xml:space="preserve"> </w:t>
      </w:r>
      <w:r w:rsidRPr="00DF4324">
        <w:rPr>
          <w:sz w:val="24"/>
          <w:szCs w:val="24"/>
        </w:rPr>
        <w:t>E.g., Eichengreen</w:t>
      </w:r>
      <w:r w:rsidRPr="00DF4324">
        <w:rPr>
          <w:rFonts w:cs="Arial"/>
          <w:color w:val="222222"/>
          <w:sz w:val="24"/>
          <w:szCs w:val="24"/>
          <w:shd w:val="clear" w:color="auto" w:fill="FFFFFF"/>
        </w:rPr>
        <w:t xml:space="preserve"> and Razo</w:t>
      </w:r>
      <w:r w:rsidRPr="00DF4324">
        <w:rPr>
          <w:rFonts w:cs="Cambria Math"/>
          <w:color w:val="222222"/>
          <w:sz w:val="24"/>
          <w:szCs w:val="24"/>
          <w:shd w:val="clear" w:color="auto" w:fill="FFFFFF"/>
        </w:rPr>
        <w:t>‐</w:t>
      </w:r>
      <w:r w:rsidRPr="00DF4324">
        <w:rPr>
          <w:rFonts w:cs="Arial"/>
          <w:color w:val="222222"/>
          <w:sz w:val="24"/>
          <w:szCs w:val="24"/>
          <w:shd w:val="clear" w:color="auto" w:fill="FFFFFF"/>
        </w:rPr>
        <w:t>Garcia (2013).</w:t>
      </w:r>
    </w:p>
  </w:footnote>
  <w:footnote w:id="20">
    <w:p w14:paraId="16194C38" w14:textId="77777777" w:rsidR="00B06815" w:rsidRPr="00BB4707" w:rsidRDefault="00B06815" w:rsidP="00370A0F">
      <w:pPr>
        <w:pStyle w:val="FootnoteText"/>
        <w:rPr>
          <w:sz w:val="24"/>
          <w:szCs w:val="24"/>
        </w:rPr>
      </w:pPr>
      <w:r w:rsidRPr="00BB4707">
        <w:rPr>
          <w:rStyle w:val="FootnoteReference"/>
          <w:sz w:val="24"/>
          <w:szCs w:val="24"/>
        </w:rPr>
        <w:footnoteRef/>
      </w:r>
      <w:r w:rsidRPr="00BB4707">
        <w:rPr>
          <w:sz w:val="24"/>
          <w:szCs w:val="24"/>
        </w:rPr>
        <w:t xml:space="preserve"> Correlation of the flexibility rankings of the regimes shows an average of .40 between the three de facto schemes and the IMF de jure scheme, but a correlation of only .88 among the three themselves.</w:t>
      </w:r>
    </w:p>
  </w:footnote>
  <w:footnote w:id="21">
    <w:p w14:paraId="638DBD09" w14:textId="4190E3CC" w:rsidR="00B06815" w:rsidRPr="00CE6272" w:rsidRDefault="00B06815" w:rsidP="00370A0F">
      <w:pPr>
        <w:pStyle w:val="FootnoteText"/>
        <w:rPr>
          <w:sz w:val="24"/>
          <w:szCs w:val="24"/>
        </w:rPr>
      </w:pPr>
      <w:r w:rsidRPr="00CE6272">
        <w:rPr>
          <w:rStyle w:val="FootnoteReference"/>
          <w:sz w:val="24"/>
          <w:szCs w:val="24"/>
        </w:rPr>
        <w:footnoteRef/>
      </w:r>
      <w:r w:rsidRPr="00CE6272">
        <w:rPr>
          <w:sz w:val="24"/>
          <w:szCs w:val="24"/>
        </w:rPr>
        <w:t xml:space="preserve"> In all four studies</w:t>
      </w:r>
      <w:r>
        <w:rPr>
          <w:sz w:val="24"/>
          <w:szCs w:val="24"/>
        </w:rPr>
        <w:t>,</w:t>
      </w:r>
      <w:r w:rsidRPr="00CE6272">
        <w:rPr>
          <w:sz w:val="24"/>
          <w:szCs w:val="24"/>
        </w:rPr>
        <w:t xml:space="preserve"> one of the de facto classification schemes </w:t>
      </w:r>
      <w:r>
        <w:rPr>
          <w:sz w:val="24"/>
          <w:szCs w:val="24"/>
        </w:rPr>
        <w:t>considered</w:t>
      </w:r>
      <w:r w:rsidRPr="00CE6272">
        <w:rPr>
          <w:sz w:val="24"/>
          <w:szCs w:val="24"/>
        </w:rPr>
        <w:t xml:space="preserve"> is Levy-Yeyati and Sturzenegger (2001).  In Frankel (2004) the other two are Reinhart and Rogoff (2004) and Ghosh, Gulde and Wolf</w:t>
      </w:r>
      <w:r>
        <w:rPr>
          <w:sz w:val="24"/>
          <w:szCs w:val="24"/>
        </w:rPr>
        <w:t xml:space="preserve"> (2000)</w:t>
      </w:r>
      <w:r w:rsidRPr="00CE6272">
        <w:rPr>
          <w:sz w:val="24"/>
          <w:szCs w:val="24"/>
        </w:rPr>
        <w:t xml:space="preserve">.  In Bénassy-Quéré et al (2004) </w:t>
      </w:r>
      <w:r>
        <w:rPr>
          <w:sz w:val="24"/>
          <w:szCs w:val="24"/>
        </w:rPr>
        <w:t xml:space="preserve">the other two are </w:t>
      </w:r>
      <w:r w:rsidRPr="00CE6272">
        <w:rPr>
          <w:sz w:val="24"/>
          <w:szCs w:val="24"/>
        </w:rPr>
        <w:t xml:space="preserve">their own and </w:t>
      </w:r>
      <w:r w:rsidRPr="00CE6272">
        <w:rPr>
          <w:color w:val="333333"/>
          <w:spacing w:val="2"/>
          <w:sz w:val="24"/>
          <w:szCs w:val="24"/>
          <w:shd w:val="clear" w:color="auto" w:fill="FCFCFC"/>
        </w:rPr>
        <w:t>Bubula and Ötker-Robe (2002).</w:t>
      </w:r>
      <w:r w:rsidRPr="00CE6272">
        <w:rPr>
          <w:sz w:val="24"/>
          <w:szCs w:val="24"/>
        </w:rPr>
        <w:t xml:space="preserve">   In Shambaugh (2007) and Klein and Shambaugh (2011) </w:t>
      </w:r>
      <w:r>
        <w:rPr>
          <w:sz w:val="24"/>
          <w:szCs w:val="24"/>
        </w:rPr>
        <w:t xml:space="preserve">they are </w:t>
      </w:r>
      <w:r w:rsidRPr="00CE6272">
        <w:rPr>
          <w:sz w:val="24"/>
          <w:szCs w:val="24"/>
        </w:rPr>
        <w:t xml:space="preserve">his own and Reinhart and Rogoff (2004).  </w:t>
      </w:r>
    </w:p>
  </w:footnote>
  <w:footnote w:id="22">
    <w:p w14:paraId="4F99E10E" w14:textId="77777777" w:rsidR="00B06815" w:rsidRPr="00BE1835" w:rsidRDefault="00B06815">
      <w:pPr>
        <w:pStyle w:val="FootnoteText"/>
        <w:rPr>
          <w:sz w:val="24"/>
          <w:szCs w:val="24"/>
        </w:rPr>
      </w:pPr>
      <w:r>
        <w:rPr>
          <w:rStyle w:val="FootnoteReference"/>
        </w:rPr>
        <w:footnoteRef/>
      </w:r>
      <w:r>
        <w:t xml:space="preserve"> </w:t>
      </w:r>
      <w:r w:rsidRPr="00CE0CA3">
        <w:rPr>
          <w:sz w:val="24"/>
          <w:szCs w:val="24"/>
        </w:rPr>
        <w:t>Tavl</w:t>
      </w:r>
      <w:r>
        <w:rPr>
          <w:sz w:val="24"/>
          <w:szCs w:val="24"/>
        </w:rPr>
        <w:t>as, Dellas and Stockman (2008).</w:t>
      </w:r>
    </w:p>
  </w:footnote>
  <w:footnote w:id="23">
    <w:p w14:paraId="5D5BA74F" w14:textId="77777777" w:rsidR="00B06815" w:rsidRDefault="00B06815">
      <w:pPr>
        <w:pStyle w:val="FootnoteText"/>
      </w:pPr>
      <w:r>
        <w:rPr>
          <w:rStyle w:val="FootnoteReference"/>
        </w:rPr>
        <w:footnoteRef/>
      </w:r>
      <w:r>
        <w:t xml:space="preserve"> </w:t>
      </w:r>
      <w:r>
        <w:rPr>
          <w:sz w:val="24"/>
          <w:szCs w:val="24"/>
        </w:rPr>
        <w:t>Shambaugh (2004) and Ilzetzki, Reinhart and Rogoff (2017).</w:t>
      </w:r>
    </w:p>
  </w:footnote>
  <w:footnote w:id="24">
    <w:p w14:paraId="202E57A5" w14:textId="77777777" w:rsidR="00B06815" w:rsidRPr="005831B6" w:rsidRDefault="00B06815" w:rsidP="00370A0F">
      <w:pPr>
        <w:pStyle w:val="FootnoteText"/>
        <w:rPr>
          <w:sz w:val="24"/>
          <w:szCs w:val="24"/>
        </w:rPr>
      </w:pPr>
      <w:r w:rsidRPr="005831B6">
        <w:rPr>
          <w:rStyle w:val="FootnoteReference"/>
          <w:sz w:val="24"/>
          <w:szCs w:val="24"/>
        </w:rPr>
        <w:footnoteRef/>
      </w:r>
      <w:r>
        <w:rPr>
          <w:sz w:val="24"/>
          <w:szCs w:val="24"/>
        </w:rPr>
        <w:t xml:space="preserve">  Another</w:t>
      </w:r>
      <w:r w:rsidRPr="005831B6">
        <w:rPr>
          <w:sz w:val="24"/>
          <w:szCs w:val="24"/>
        </w:rPr>
        <w:t xml:space="preserve"> example</w:t>
      </w:r>
      <w:r>
        <w:rPr>
          <w:sz w:val="24"/>
          <w:szCs w:val="24"/>
        </w:rPr>
        <w:t>:</w:t>
      </w:r>
      <w:r w:rsidRPr="005831B6">
        <w:rPr>
          <w:sz w:val="24"/>
          <w:szCs w:val="24"/>
        </w:rPr>
        <w:t xml:space="preserve"> it has been pointed out that the exchange rate between the Canadian dollar and US dollar has a relatively low variance, even though it is purely floating. The proper inference is that </w:t>
      </w:r>
      <w:r>
        <w:rPr>
          <w:sz w:val="24"/>
          <w:szCs w:val="24"/>
        </w:rPr>
        <w:t xml:space="preserve">differential </w:t>
      </w:r>
      <w:r w:rsidRPr="005831B6">
        <w:rPr>
          <w:sz w:val="24"/>
          <w:szCs w:val="24"/>
        </w:rPr>
        <w:t>Canada-</w:t>
      </w:r>
      <w:r>
        <w:rPr>
          <w:sz w:val="24"/>
          <w:szCs w:val="24"/>
        </w:rPr>
        <w:t>US shocks are relatively small.</w:t>
      </w:r>
    </w:p>
  </w:footnote>
  <w:footnote w:id="25">
    <w:p w14:paraId="2CE51588" w14:textId="77777777" w:rsidR="00B06815" w:rsidRPr="003E0F20" w:rsidRDefault="00B06815" w:rsidP="00370A0F">
      <w:pPr>
        <w:pStyle w:val="FootnoteText"/>
        <w:rPr>
          <w:sz w:val="24"/>
          <w:szCs w:val="24"/>
        </w:rPr>
      </w:pPr>
      <w:r w:rsidRPr="003E0F20">
        <w:rPr>
          <w:rStyle w:val="FootnoteReference"/>
          <w:sz w:val="24"/>
          <w:szCs w:val="24"/>
        </w:rPr>
        <w:footnoteRef/>
      </w:r>
      <w:r w:rsidRPr="003E0F20">
        <w:rPr>
          <w:sz w:val="24"/>
          <w:szCs w:val="24"/>
        </w:rPr>
        <w:t xml:space="preserve"> We compute the correlation on changes rather than levels, in part to avoid non-stationarity.  One property is that the criterion will not be impaired by a long-term trend in reserves, if the central bank seeks to build them up, nor by a long-term trend in the exchange rate (as under a crawling peg – the “C” in BBC or Band-Basket-Crawl).   </w:t>
      </w:r>
    </w:p>
  </w:footnote>
  <w:footnote w:id="26">
    <w:p w14:paraId="6B77CBE9" w14:textId="351B4F85" w:rsidR="00B06815" w:rsidRPr="00E874BF" w:rsidRDefault="00B06815" w:rsidP="00370A0F">
      <w:pPr>
        <w:spacing w:after="0" w:line="240" w:lineRule="auto"/>
        <w:rPr>
          <w:sz w:val="18"/>
          <w:szCs w:val="18"/>
        </w:rPr>
      </w:pPr>
      <w:r w:rsidRPr="00E874BF">
        <w:rPr>
          <w:rStyle w:val="FootnoteReference"/>
          <w:sz w:val="24"/>
          <w:szCs w:val="24"/>
        </w:rPr>
        <w:footnoteRef/>
      </w:r>
      <w:r>
        <w:rPr>
          <w:sz w:val="24"/>
          <w:szCs w:val="24"/>
        </w:rPr>
        <w:t xml:space="preserve">  Among other similar papers estimating weights </w:t>
      </w:r>
      <w:r w:rsidR="00370A0F">
        <w:rPr>
          <w:sz w:val="24"/>
          <w:szCs w:val="24"/>
        </w:rPr>
        <w:t>we</w:t>
      </w:r>
      <w:r>
        <w:rPr>
          <w:sz w:val="24"/>
          <w:szCs w:val="24"/>
        </w:rPr>
        <w:t xml:space="preserve">re </w:t>
      </w:r>
      <w:r w:rsidRPr="00077A79">
        <w:rPr>
          <w:snapToGrid w:val="0"/>
          <w:sz w:val="24"/>
          <w:szCs w:val="24"/>
        </w:rPr>
        <w:t>B</w:t>
      </w:r>
      <w:r w:rsidRPr="00077A79">
        <w:rPr>
          <w:sz w:val="24"/>
          <w:szCs w:val="24"/>
        </w:rPr>
        <w:t>é</w:t>
      </w:r>
      <w:r w:rsidRPr="00077A79">
        <w:rPr>
          <w:snapToGrid w:val="0"/>
          <w:sz w:val="24"/>
          <w:szCs w:val="24"/>
        </w:rPr>
        <w:t>nassy-Qu</w:t>
      </w:r>
      <w:r w:rsidRPr="00077A79">
        <w:rPr>
          <w:sz w:val="24"/>
          <w:szCs w:val="24"/>
        </w:rPr>
        <w:t>é</w:t>
      </w:r>
      <w:r w:rsidRPr="00077A79">
        <w:rPr>
          <w:snapToGrid w:val="0"/>
          <w:sz w:val="24"/>
          <w:szCs w:val="24"/>
        </w:rPr>
        <w:t>r</w:t>
      </w:r>
      <w:r w:rsidRPr="00077A79">
        <w:rPr>
          <w:sz w:val="24"/>
          <w:szCs w:val="24"/>
        </w:rPr>
        <w:t>é</w:t>
      </w:r>
      <w:r w:rsidRPr="00077A79">
        <w:rPr>
          <w:snapToGrid w:val="0"/>
          <w:sz w:val="24"/>
          <w:szCs w:val="24"/>
        </w:rPr>
        <w:t xml:space="preserve"> (1999)</w:t>
      </w:r>
      <w:r>
        <w:rPr>
          <w:snapToGrid w:val="0"/>
          <w:sz w:val="24"/>
          <w:szCs w:val="24"/>
        </w:rPr>
        <w:t xml:space="preserve"> and</w:t>
      </w:r>
      <w:r w:rsidRPr="00077A79">
        <w:rPr>
          <w:snapToGrid w:val="0"/>
          <w:sz w:val="24"/>
          <w:szCs w:val="24"/>
        </w:rPr>
        <w:t xml:space="preserve"> </w:t>
      </w:r>
      <w:r w:rsidRPr="00077A79">
        <w:rPr>
          <w:sz w:val="24"/>
          <w:szCs w:val="24"/>
        </w:rPr>
        <w:t>Bénassy-Quéré, Coeuré, and Mignon (2004)</w:t>
      </w:r>
      <w:r>
        <w:rPr>
          <w:sz w:val="24"/>
          <w:szCs w:val="24"/>
        </w:rPr>
        <w:t>.  Ogawa (2006) and Frankel and</w:t>
      </w:r>
      <w:r w:rsidRPr="009E64EF">
        <w:rPr>
          <w:sz w:val="24"/>
          <w:szCs w:val="24"/>
        </w:rPr>
        <w:t xml:space="preserve"> (200</w:t>
      </w:r>
      <w:r>
        <w:rPr>
          <w:sz w:val="24"/>
          <w:szCs w:val="24"/>
        </w:rPr>
        <w:t>9</w:t>
      </w:r>
      <w:r w:rsidRPr="009E64EF">
        <w:rPr>
          <w:sz w:val="24"/>
          <w:szCs w:val="24"/>
        </w:rPr>
        <w:t xml:space="preserve">) </w:t>
      </w:r>
      <w:r>
        <w:rPr>
          <w:sz w:val="24"/>
          <w:szCs w:val="24"/>
        </w:rPr>
        <w:t xml:space="preserve">are among those who applied the technique to discern China’s exchange rate policy when it moved away from a dollar peg after 2005. </w:t>
      </w:r>
      <w:r w:rsidRPr="00E874BF">
        <w:rPr>
          <w:sz w:val="24"/>
          <w:szCs w:val="24"/>
        </w:rPr>
        <w:t xml:space="preserve"> </w:t>
      </w:r>
      <w:r>
        <w:rPr>
          <w:sz w:val="24"/>
          <w:szCs w:val="24"/>
        </w:rPr>
        <w:t>More recently</w:t>
      </w:r>
      <w:r w:rsidRPr="00E874BF">
        <w:rPr>
          <w:sz w:val="24"/>
          <w:szCs w:val="24"/>
        </w:rPr>
        <w:t xml:space="preserve">, China’s yuan has </w:t>
      </w:r>
      <w:r>
        <w:rPr>
          <w:sz w:val="24"/>
          <w:szCs w:val="24"/>
        </w:rPr>
        <w:t xml:space="preserve">itself </w:t>
      </w:r>
      <w:r w:rsidRPr="00E874BF">
        <w:rPr>
          <w:sz w:val="24"/>
          <w:szCs w:val="24"/>
        </w:rPr>
        <w:t>joined the list of candidate units in the regression</w:t>
      </w:r>
      <w:r>
        <w:rPr>
          <w:sz w:val="24"/>
          <w:szCs w:val="24"/>
        </w:rPr>
        <w:t xml:space="preserve"> to determine the regimes followed by other Asian countries.  E</w:t>
      </w:r>
      <w:r w:rsidRPr="00E874BF">
        <w:rPr>
          <w:sz w:val="24"/>
          <w:szCs w:val="24"/>
        </w:rPr>
        <w:t>.g., Subramanian (2011a, 2011b)</w:t>
      </w:r>
      <w:r>
        <w:rPr>
          <w:sz w:val="24"/>
          <w:szCs w:val="24"/>
        </w:rPr>
        <w:t xml:space="preserve"> claims a rising share for the yuan</w:t>
      </w:r>
      <w:r w:rsidRPr="00E874BF">
        <w:rPr>
          <w:sz w:val="24"/>
          <w:szCs w:val="24"/>
        </w:rPr>
        <w:t>.</w:t>
      </w:r>
    </w:p>
  </w:footnote>
  <w:footnote w:id="27">
    <w:p w14:paraId="5A95D12C" w14:textId="0DE80B25" w:rsidR="00B06815" w:rsidRPr="00077A79" w:rsidRDefault="00B06815" w:rsidP="00370A0F">
      <w:pPr>
        <w:pStyle w:val="FootnoteText"/>
        <w:rPr>
          <w:sz w:val="24"/>
          <w:szCs w:val="24"/>
        </w:rPr>
      </w:pPr>
      <w:r w:rsidRPr="00077A79">
        <w:rPr>
          <w:rStyle w:val="FootnoteReference"/>
          <w:sz w:val="24"/>
          <w:szCs w:val="24"/>
        </w:rPr>
        <w:footnoteRef/>
      </w:r>
      <w:r w:rsidRPr="00077A79">
        <w:rPr>
          <w:sz w:val="24"/>
          <w:szCs w:val="24"/>
        </w:rPr>
        <w:t xml:space="preserve"> Exchange Market Pressure was originally introduced by Girton and Roper (1977).</w:t>
      </w:r>
      <w:r>
        <w:rPr>
          <w:sz w:val="24"/>
          <w:szCs w:val="24"/>
        </w:rPr>
        <w:t xml:space="preserve">  </w:t>
      </w:r>
      <w:r w:rsidRPr="009E64EF">
        <w:rPr>
          <w:sz w:val="24"/>
          <w:szCs w:val="24"/>
        </w:rPr>
        <w:t xml:space="preserve">Here we impose the a priori constraint that a one percentage increase in the foreign exchange value of the currency and a one percentage increase in the supply of the currency (the change in reserves as a share of the monetary base) have equal weights, </w:t>
      </w:r>
      <w:r>
        <w:rPr>
          <w:sz w:val="24"/>
          <w:szCs w:val="24"/>
        </w:rPr>
        <w:t xml:space="preserve">whereas Girton and Roper normalized </w:t>
      </w:r>
      <w:r w:rsidRPr="009E64EF">
        <w:rPr>
          <w:sz w:val="24"/>
          <w:szCs w:val="24"/>
        </w:rPr>
        <w:t xml:space="preserve">by standard deviations.  </w:t>
      </w:r>
    </w:p>
  </w:footnote>
  <w:footnote w:id="28">
    <w:p w14:paraId="408674B4" w14:textId="3AB7E3F0" w:rsidR="00B06815" w:rsidRPr="00EF58E8" w:rsidRDefault="00B06815" w:rsidP="0042142F">
      <w:pPr>
        <w:pStyle w:val="FootnoteText"/>
        <w:rPr>
          <w:sz w:val="24"/>
          <w:szCs w:val="24"/>
        </w:rPr>
      </w:pPr>
      <w:r w:rsidRPr="00EF58E8">
        <w:rPr>
          <w:rStyle w:val="FootnoteReference"/>
          <w:sz w:val="24"/>
          <w:szCs w:val="24"/>
        </w:rPr>
        <w:footnoteRef/>
      </w:r>
      <w:r w:rsidRPr="00EF58E8">
        <w:rPr>
          <w:sz w:val="24"/>
          <w:szCs w:val="24"/>
        </w:rPr>
        <w:t xml:space="preserve">  References on central bank’s desired reserve holdings include Jeanne and Rancière (2011)</w:t>
      </w:r>
      <w:r>
        <w:rPr>
          <w:sz w:val="24"/>
          <w:szCs w:val="24"/>
        </w:rPr>
        <w:t xml:space="preserve"> and Rodrik (2006)</w:t>
      </w:r>
      <w:r w:rsidRPr="00EF58E8">
        <w:rPr>
          <w:sz w:val="24"/>
          <w:szCs w:val="24"/>
        </w:rPr>
        <w:t>,</w:t>
      </w:r>
    </w:p>
  </w:footnote>
  <w:footnote w:id="29">
    <w:p w14:paraId="0137F091" w14:textId="337E06B7" w:rsidR="00B06815" w:rsidRPr="00D173F6" w:rsidRDefault="00B06815" w:rsidP="0042142F">
      <w:pPr>
        <w:pStyle w:val="FootnoteText"/>
        <w:rPr>
          <w:sz w:val="24"/>
          <w:szCs w:val="24"/>
        </w:rPr>
      </w:pPr>
      <w:r w:rsidRPr="00D173F6">
        <w:rPr>
          <w:rStyle w:val="FootnoteReference"/>
          <w:sz w:val="24"/>
          <w:szCs w:val="24"/>
        </w:rPr>
        <w:footnoteRef/>
      </w:r>
      <w:r>
        <w:rPr>
          <w:sz w:val="24"/>
          <w:szCs w:val="24"/>
        </w:rPr>
        <w:t xml:space="preserve">  This t</w:t>
      </w:r>
      <w:r w:rsidRPr="00D173F6">
        <w:rPr>
          <w:sz w:val="24"/>
          <w:szCs w:val="24"/>
        </w:rPr>
        <w:t xml:space="preserve">able reports only t-statistics.  The coefficient estimates </w:t>
      </w:r>
      <w:r w:rsidR="00895C09">
        <w:rPr>
          <w:sz w:val="24"/>
          <w:szCs w:val="24"/>
        </w:rPr>
        <w:t xml:space="preserve">themselves </w:t>
      </w:r>
      <w:r w:rsidRPr="00D173F6">
        <w:rPr>
          <w:sz w:val="24"/>
          <w:szCs w:val="24"/>
        </w:rPr>
        <w:t>are reported in an online appendix</w:t>
      </w:r>
      <w:r w:rsidRPr="00D173F6">
        <w:rPr>
          <w:rStyle w:val="apple-converted-space"/>
          <w:rFonts w:cs="Helvetica"/>
          <w:color w:val="1E1E1E"/>
          <w:sz w:val="24"/>
          <w:szCs w:val="24"/>
          <w:shd w:val="clear" w:color="auto" w:fill="FFFFFF"/>
        </w:rPr>
        <w:t> </w:t>
      </w:r>
      <w:hyperlink r:id="rId1" w:history="1">
        <w:r w:rsidRPr="00D173F6">
          <w:rPr>
            <w:rStyle w:val="Hyperlink"/>
            <w:rFonts w:cs="Helvetica"/>
            <w:color w:val="215990"/>
            <w:sz w:val="24"/>
            <w:szCs w:val="24"/>
            <w:shd w:val="clear" w:color="auto" w:fill="FFFFFF"/>
          </w:rPr>
          <w:t>table</w:t>
        </w:r>
      </w:hyperlink>
      <w:r w:rsidRPr="00D173F6">
        <w:rPr>
          <w:sz w:val="24"/>
          <w:szCs w:val="24"/>
        </w:rPr>
        <w:t xml:space="preserve"> but are less interesting</w:t>
      </w:r>
      <w:r>
        <w:rPr>
          <w:sz w:val="24"/>
          <w:szCs w:val="24"/>
        </w:rPr>
        <w:t xml:space="preserve">;  </w:t>
      </w:r>
      <w:r w:rsidRPr="00D173F6">
        <w:rPr>
          <w:sz w:val="24"/>
          <w:szCs w:val="24"/>
        </w:rPr>
        <w:t>they depend entirely on the unit of currency.  If one were to run such tests to compare the magnitude of reaction across different countries, as opposed to just the statistical significance, one would have re-do the regressions by giving the intervention numbers a denominator like the monetary base or GDP, as other parts of this paper do in other tests.</w:t>
      </w:r>
    </w:p>
  </w:footnote>
  <w:footnote w:id="30">
    <w:p w14:paraId="5A148F9D" w14:textId="77777777" w:rsidR="00B06815" w:rsidRPr="00620939" w:rsidRDefault="00B06815" w:rsidP="009B3044">
      <w:pPr>
        <w:pStyle w:val="FootnoteText"/>
        <w:rPr>
          <w:sz w:val="24"/>
          <w:szCs w:val="24"/>
        </w:rPr>
      </w:pPr>
      <w:r w:rsidRPr="00C42657">
        <w:rPr>
          <w:rStyle w:val="FootnoteReference"/>
          <w:sz w:val="24"/>
          <w:szCs w:val="24"/>
        </w:rPr>
        <w:footnoteRef/>
      </w:r>
      <w:r w:rsidRPr="00C42657">
        <w:rPr>
          <w:sz w:val="24"/>
          <w:szCs w:val="24"/>
        </w:rPr>
        <w:t xml:space="preserve"> Convincing empirical results</w:t>
      </w:r>
      <w:r>
        <w:rPr>
          <w:sz w:val="24"/>
          <w:szCs w:val="24"/>
        </w:rPr>
        <w:t xml:space="preserve"> from different approaches</w:t>
      </w:r>
      <w:r w:rsidRPr="00C42657">
        <w:rPr>
          <w:sz w:val="24"/>
          <w:szCs w:val="24"/>
        </w:rPr>
        <w:t xml:space="preserve"> include </w:t>
      </w:r>
      <w:r>
        <w:rPr>
          <w:sz w:val="24"/>
          <w:szCs w:val="24"/>
        </w:rPr>
        <w:t xml:space="preserve">Mussa (1986), Taylor (2002), and </w:t>
      </w:r>
      <w:r w:rsidRPr="00C42657">
        <w:rPr>
          <w:sz w:val="24"/>
          <w:szCs w:val="24"/>
        </w:rPr>
        <w:t>Bahmani-Oskooee</w:t>
      </w:r>
      <w:r w:rsidRPr="00C42657">
        <w:rPr>
          <w:iCs/>
          <w:sz w:val="24"/>
          <w:szCs w:val="24"/>
        </w:rPr>
        <w:t>, Hegerty and Kutan (2008).</w:t>
      </w:r>
      <w:r>
        <w:rPr>
          <w:sz w:val="24"/>
          <w:szCs w:val="24"/>
        </w:rPr>
        <w:t xml:space="preserve">  </w:t>
      </w:r>
      <w:r w:rsidRPr="00620939">
        <w:rPr>
          <w:sz w:val="24"/>
          <w:szCs w:val="24"/>
        </w:rPr>
        <w:t xml:space="preserve">The reasons why the exchange rate regime makes a difference can </w:t>
      </w:r>
      <w:r>
        <w:rPr>
          <w:sz w:val="24"/>
          <w:szCs w:val="24"/>
        </w:rPr>
        <w:t xml:space="preserve">come from </w:t>
      </w:r>
      <w:r w:rsidRPr="00620939">
        <w:rPr>
          <w:sz w:val="24"/>
          <w:szCs w:val="24"/>
        </w:rPr>
        <w:t>theor</w:t>
      </w:r>
      <w:r>
        <w:rPr>
          <w:sz w:val="24"/>
          <w:szCs w:val="24"/>
        </w:rPr>
        <w:t>ies</w:t>
      </w:r>
      <w:r w:rsidRPr="00620939">
        <w:rPr>
          <w:sz w:val="24"/>
          <w:szCs w:val="24"/>
        </w:rPr>
        <w:t xml:space="preserve"> of imperfect goods markets,</w:t>
      </w:r>
      <w:r>
        <w:rPr>
          <w:sz w:val="24"/>
          <w:szCs w:val="24"/>
        </w:rPr>
        <w:t xml:space="preserve"> theories of</w:t>
      </w:r>
      <w:r w:rsidRPr="00620939">
        <w:rPr>
          <w:sz w:val="24"/>
          <w:szCs w:val="24"/>
        </w:rPr>
        <w:t xml:space="preserve"> imperfect financial markets, or both.</w:t>
      </w:r>
      <w:r w:rsidRPr="00025B10">
        <w:rPr>
          <w:sz w:val="24"/>
          <w:szCs w:val="24"/>
        </w:rPr>
        <w:t xml:space="preserve">  E.g., </w:t>
      </w:r>
      <w:r w:rsidRPr="00025B10">
        <w:rPr>
          <w:rFonts w:cs="Arial"/>
          <w:color w:val="222222"/>
          <w:sz w:val="24"/>
          <w:szCs w:val="24"/>
          <w:shd w:val="clear" w:color="auto" w:fill="FFFFFF"/>
        </w:rPr>
        <w:t xml:space="preserve">Helpman and Razin (1982). </w:t>
      </w:r>
    </w:p>
  </w:footnote>
  <w:footnote w:id="31">
    <w:p w14:paraId="61D668EE" w14:textId="7B65A6FA" w:rsidR="00B06815" w:rsidRPr="00025B10" w:rsidRDefault="00B06815" w:rsidP="009B3044">
      <w:pPr>
        <w:pStyle w:val="Bibliography"/>
        <w:spacing w:before="80" w:after="0" w:line="240" w:lineRule="auto"/>
        <w:rPr>
          <w:rFonts w:cs="Times New Roman"/>
          <w:noProof/>
          <w:color w:val="000000" w:themeColor="text1"/>
          <w:sz w:val="24"/>
          <w:szCs w:val="24"/>
        </w:rPr>
      </w:pPr>
      <w:r w:rsidRPr="00025B10">
        <w:rPr>
          <w:rStyle w:val="FootnoteReference"/>
          <w:sz w:val="24"/>
          <w:szCs w:val="24"/>
        </w:rPr>
        <w:footnoteRef/>
      </w:r>
      <w:r w:rsidRPr="00025B10">
        <w:rPr>
          <w:sz w:val="24"/>
          <w:szCs w:val="24"/>
        </w:rPr>
        <w:t xml:space="preserve"> Including Milesi-Ferretti and Tille (2011), </w:t>
      </w:r>
      <w:r w:rsidRPr="00025B10">
        <w:rPr>
          <w:rFonts w:cs="Arial"/>
          <w:color w:val="222222"/>
          <w:sz w:val="24"/>
          <w:szCs w:val="24"/>
          <w:shd w:val="clear" w:color="auto" w:fill="FFFFFF"/>
        </w:rPr>
        <w:t>Magud, Reinhart, and Vesperoni (2014), Blanchard</w:t>
      </w:r>
      <w:r w:rsidRPr="00025B10">
        <w:rPr>
          <w:rFonts w:cs="Times New Roman"/>
          <w:noProof/>
          <w:color w:val="000000" w:themeColor="text1"/>
          <w:sz w:val="24"/>
          <w:szCs w:val="24"/>
        </w:rPr>
        <w:t xml:space="preserve">, Adler, and de Carvalho Filho (2015), and </w:t>
      </w:r>
      <w:r w:rsidRPr="00025B10">
        <w:rPr>
          <w:rFonts w:cs="Arial"/>
          <w:color w:val="222222"/>
          <w:sz w:val="24"/>
          <w:szCs w:val="24"/>
          <w:shd w:val="clear" w:color="auto" w:fill="FFFFFF"/>
        </w:rPr>
        <w:t>Blanchard, Ostry, Ghosh, and Chamon (2016).</w:t>
      </w:r>
    </w:p>
  </w:footnote>
  <w:footnote w:id="32">
    <w:p w14:paraId="7984512B" w14:textId="77777777" w:rsidR="00B06815" w:rsidRDefault="00B06815" w:rsidP="009B3044">
      <w:pPr>
        <w:pStyle w:val="FootnoteText"/>
      </w:pPr>
      <w:r>
        <w:rPr>
          <w:rStyle w:val="FootnoteReference"/>
        </w:rPr>
        <w:footnoteRef/>
      </w:r>
      <w:r>
        <w:t xml:space="preserve"> </w:t>
      </w:r>
      <w:r>
        <w:rPr>
          <w:sz w:val="24"/>
          <w:szCs w:val="24"/>
        </w:rPr>
        <w:t>Other possible measures of exogenous shocks include a broader measure of financial risk perceptions, US interest rates, and (for some countries) natural disasters.  We tried the Global Economic Policy Uncertainty, but it did not add any explanatory power beyond the VIX.  We use dollar prices of the country’s export commodities rather than a more comprehensive measure of its terms of trade because the former is plausibly exogenous [except perhaps for Saudi Arabia] as in the small open economy model, whereas measures of the terms of trade are in practice likely to be endogenous with respect to the nominal exchange rate.</w:t>
      </w:r>
    </w:p>
  </w:footnote>
  <w:footnote w:id="33">
    <w:p w14:paraId="642ACF3D" w14:textId="4B055CF1" w:rsidR="00B06815" w:rsidRPr="00827436" w:rsidRDefault="00B06815" w:rsidP="009B3044">
      <w:pPr>
        <w:spacing w:after="0" w:line="240" w:lineRule="auto"/>
        <w:rPr>
          <w:sz w:val="24"/>
          <w:szCs w:val="24"/>
        </w:rPr>
      </w:pPr>
      <w:r>
        <w:rPr>
          <w:rStyle w:val="FootnoteReference"/>
        </w:rPr>
        <w:footnoteRef/>
      </w:r>
      <w:r>
        <w:t xml:space="preserve"> </w:t>
      </w:r>
      <w:r w:rsidRPr="00827436">
        <w:rPr>
          <w:sz w:val="24"/>
          <w:szCs w:val="24"/>
        </w:rPr>
        <w:t>We may eventually try a panel study</w:t>
      </w:r>
      <w:r>
        <w:rPr>
          <w:sz w:val="24"/>
          <w:szCs w:val="24"/>
        </w:rPr>
        <w:t xml:space="preserve"> within </w:t>
      </w:r>
      <w:r w:rsidR="00E35D03">
        <w:rPr>
          <w:sz w:val="24"/>
          <w:szCs w:val="24"/>
        </w:rPr>
        <w:t>our</w:t>
      </w:r>
      <w:r>
        <w:rPr>
          <w:sz w:val="24"/>
          <w:szCs w:val="24"/>
        </w:rPr>
        <w:t xml:space="preserve"> set of countries</w:t>
      </w:r>
      <w:r w:rsidRPr="00827436">
        <w:rPr>
          <w:sz w:val="24"/>
          <w:szCs w:val="24"/>
        </w:rPr>
        <w:t>.</w:t>
      </w:r>
    </w:p>
  </w:footnote>
  <w:footnote w:id="34">
    <w:p w14:paraId="595D314C" w14:textId="77777777" w:rsidR="00B06815" w:rsidRDefault="00B06815" w:rsidP="009B3044">
      <w:pPr>
        <w:spacing w:after="0" w:line="240" w:lineRule="auto"/>
        <w:contextualSpacing/>
      </w:pPr>
      <w:r w:rsidRPr="00C14869">
        <w:rPr>
          <w:rStyle w:val="FootnoteReference"/>
          <w:sz w:val="24"/>
          <w:szCs w:val="24"/>
        </w:rPr>
        <w:footnoteRef/>
      </w:r>
      <w:r w:rsidRPr="00C14869">
        <w:rPr>
          <w:sz w:val="24"/>
          <w:szCs w:val="24"/>
        </w:rPr>
        <w:t xml:space="preserve"> Including</w:t>
      </w:r>
      <w:r>
        <w:t xml:space="preserve"> </w:t>
      </w:r>
      <w:r>
        <w:rPr>
          <w:rFonts w:cs="Arial"/>
          <w:sz w:val="24"/>
          <w:szCs w:val="24"/>
          <w:shd w:val="clear" w:color="auto" w:fill="FFFFFF"/>
        </w:rPr>
        <w:t xml:space="preserve">Cashin, </w:t>
      </w:r>
      <w:r w:rsidRPr="00D54503">
        <w:rPr>
          <w:rFonts w:cs="Arial"/>
          <w:sz w:val="24"/>
          <w:szCs w:val="24"/>
          <w:shd w:val="clear" w:color="auto" w:fill="FFFFFF"/>
        </w:rPr>
        <w:t>C</w:t>
      </w:r>
      <w:r>
        <w:rPr>
          <w:rFonts w:cs="Arial"/>
          <w:sz w:val="24"/>
          <w:szCs w:val="24"/>
          <w:shd w:val="clear" w:color="auto" w:fill="FFFFFF"/>
        </w:rPr>
        <w:t>éspedes, and Sahay (2004), Chen and Rogoff (2003), and Frankel (2007).</w:t>
      </w:r>
    </w:p>
  </w:footnote>
  <w:footnote w:id="35">
    <w:p w14:paraId="67391E27" w14:textId="77777777" w:rsidR="00B06815" w:rsidRPr="00C21FD4" w:rsidRDefault="00B06815" w:rsidP="00013708">
      <w:pPr>
        <w:pStyle w:val="FootnoteText"/>
        <w:contextualSpacing/>
        <w:rPr>
          <w:sz w:val="24"/>
          <w:szCs w:val="24"/>
        </w:rPr>
      </w:pPr>
      <w:r w:rsidRPr="00C21FD4">
        <w:rPr>
          <w:rStyle w:val="FootnoteReference"/>
          <w:sz w:val="24"/>
          <w:szCs w:val="24"/>
        </w:rPr>
        <w:footnoteRef/>
      </w:r>
      <w:r w:rsidRPr="00C21FD4">
        <w:rPr>
          <w:sz w:val="24"/>
          <w:szCs w:val="24"/>
        </w:rPr>
        <w:t xml:space="preserve"> Including Broda (2004), Edwards</w:t>
      </w:r>
      <w:r>
        <w:rPr>
          <w:sz w:val="24"/>
          <w:szCs w:val="24"/>
        </w:rPr>
        <w:t xml:space="preserve"> and</w:t>
      </w:r>
      <w:r w:rsidRPr="00C21FD4">
        <w:rPr>
          <w:sz w:val="24"/>
          <w:szCs w:val="24"/>
        </w:rPr>
        <w:t xml:space="preserve"> Levy-Yeyati (2005), Rafiq (2011), and Céspedes and Velasco (2012).</w:t>
      </w:r>
    </w:p>
  </w:footnote>
  <w:footnote w:id="36">
    <w:p w14:paraId="1546AD70" w14:textId="77777777" w:rsidR="00B06815" w:rsidRPr="00E35D03" w:rsidRDefault="00B06815" w:rsidP="00E35D03">
      <w:pPr>
        <w:rPr>
          <w:b/>
          <w:sz w:val="24"/>
          <w:szCs w:val="24"/>
        </w:rPr>
      </w:pPr>
      <w:r w:rsidRPr="00E35D03">
        <w:rPr>
          <w:rStyle w:val="FootnoteReference"/>
          <w:sz w:val="24"/>
          <w:szCs w:val="24"/>
        </w:rPr>
        <w:footnoteRef/>
      </w:r>
      <w:r w:rsidRPr="00E35D03">
        <w:rPr>
          <w:sz w:val="24"/>
          <w:szCs w:val="24"/>
        </w:rPr>
        <w:t xml:space="preserve"> They include Baskaya, di Giovanni, Kalemli-Ozcan, and Ulu (2017), Cerutti,  Claessens, and Puy (2015)</w:t>
      </w:r>
      <w:r w:rsidRPr="00E35D03">
        <w:rPr>
          <w:b/>
          <w:sz w:val="24"/>
          <w:szCs w:val="24"/>
        </w:rPr>
        <w:t xml:space="preserve">, </w:t>
      </w:r>
      <w:r w:rsidRPr="00E35D03">
        <w:rPr>
          <w:sz w:val="24"/>
          <w:szCs w:val="24"/>
        </w:rPr>
        <w:t>Forbes and Warnock, 2012) and Fratzscher (2012).  Miranda-</w:t>
      </w:r>
      <w:r w:rsidRPr="00E35D03">
        <w:rPr>
          <w:rFonts w:cs="Arial"/>
          <w:color w:val="000000" w:themeColor="text1"/>
          <w:sz w:val="24"/>
          <w:szCs w:val="24"/>
        </w:rPr>
        <w:t xml:space="preserve">Agrippino </w:t>
      </w:r>
      <w:r w:rsidRPr="00E35D03">
        <w:rPr>
          <w:rFonts w:cs="Arial" w:hint="eastAsia"/>
          <w:color w:val="000000" w:themeColor="text1"/>
          <w:sz w:val="24"/>
          <w:szCs w:val="24"/>
          <w:lang w:eastAsia="ko-KR"/>
        </w:rPr>
        <w:t xml:space="preserve">and </w:t>
      </w:r>
      <w:r w:rsidRPr="00E35D03">
        <w:rPr>
          <w:rFonts w:cs="Arial"/>
          <w:color w:val="000000" w:themeColor="text1"/>
          <w:sz w:val="24"/>
          <w:szCs w:val="24"/>
        </w:rPr>
        <w:t xml:space="preserve">Rey (2015) and </w:t>
      </w:r>
      <w:r w:rsidRPr="00E35D03">
        <w:rPr>
          <w:sz w:val="24"/>
          <w:szCs w:val="24"/>
        </w:rPr>
        <w:t xml:space="preserve">Rey (2015) </w:t>
      </w:r>
      <w:r w:rsidRPr="00E35D03">
        <w:rPr>
          <w:rFonts w:cs="Arial"/>
          <w:color w:val="000000" w:themeColor="text1"/>
          <w:sz w:val="24"/>
          <w:szCs w:val="24"/>
        </w:rPr>
        <w:t xml:space="preserve">trace these fluctuations in </w:t>
      </w:r>
      <w:r w:rsidRPr="00E35D03">
        <w:rPr>
          <w:sz w:val="24"/>
          <w:szCs w:val="24"/>
        </w:rPr>
        <w:t>the global financial environment</w:t>
      </w:r>
      <w:r w:rsidRPr="00E35D03">
        <w:rPr>
          <w:rFonts w:cs="Arial"/>
          <w:color w:val="000000" w:themeColor="text1"/>
          <w:sz w:val="24"/>
          <w:szCs w:val="24"/>
        </w:rPr>
        <w:t xml:space="preserve"> to changes in US monetary policy.  Chari, Stedman and Lundblad (2017) find that the shocks do not show up in the quantity of capital flow so much as they drive EM asset </w:t>
      </w:r>
      <w:r w:rsidRPr="00E35D03">
        <w:rPr>
          <w:rFonts w:cs="Arial"/>
          <w:i/>
          <w:color w:val="000000" w:themeColor="text1"/>
          <w:sz w:val="24"/>
          <w:szCs w:val="24"/>
        </w:rPr>
        <w:t>prices</w:t>
      </w:r>
      <w:r w:rsidRPr="00E35D03">
        <w:rPr>
          <w:rFonts w:cs="Arial"/>
          <w:color w:val="000000" w:themeColor="text1"/>
          <w:sz w:val="24"/>
          <w:szCs w:val="24"/>
        </w:rPr>
        <w:t>.</w:t>
      </w:r>
    </w:p>
  </w:footnote>
  <w:footnote w:id="37">
    <w:p w14:paraId="53787169" w14:textId="31A5F352" w:rsidR="00B06815" w:rsidRPr="008A2912" w:rsidRDefault="00B06815" w:rsidP="009B3044">
      <w:pPr>
        <w:pStyle w:val="FootnoteText"/>
        <w:rPr>
          <w:sz w:val="24"/>
          <w:szCs w:val="24"/>
        </w:rPr>
      </w:pPr>
      <w:r w:rsidRPr="008A2912">
        <w:rPr>
          <w:rStyle w:val="FootnoteReference"/>
          <w:sz w:val="24"/>
          <w:szCs w:val="24"/>
        </w:rPr>
        <w:footnoteRef/>
      </w:r>
      <w:r w:rsidRPr="008A2912">
        <w:rPr>
          <w:sz w:val="24"/>
          <w:szCs w:val="24"/>
        </w:rPr>
        <w:t xml:space="preserve"> The estimated coefficients on the lagged Real Exchange Rate are all high, as expected.  Some appear statistically less than 1.0, some do not.  A statistical failure to reject 1 is usually considered evidence of a unit root in the real exchange rate.  If the real exchange rate truly has a unit root, then the equation should be estimated in first differences, or using more sophisticated time series techniques.  Many studies have documented on long time samples that real exchange rates in truth have a tendency to regress slowly to an equilibrium level (represented by an average or trend), but that 20 years of data </w:t>
      </w:r>
      <w:r>
        <w:rPr>
          <w:sz w:val="24"/>
          <w:szCs w:val="24"/>
        </w:rPr>
        <w:t xml:space="preserve">nevertheless </w:t>
      </w:r>
      <w:r w:rsidRPr="008A2912">
        <w:rPr>
          <w:sz w:val="24"/>
          <w:szCs w:val="24"/>
        </w:rPr>
        <w:t xml:space="preserve">do not have enough statistical power to reject a random walk.  There is a trade-off between the danger of spurious results on the one hand and the danger of throwing out perfectly good information on the other hand.  Standard practice is that one should err on the side of rooting out unit roots (though the author is not aware of what research supports the </w:t>
      </w:r>
      <w:r w:rsidR="00FE1F7F">
        <w:rPr>
          <w:sz w:val="24"/>
          <w:szCs w:val="24"/>
        </w:rPr>
        <w:t>general presumption</w:t>
      </w:r>
      <w:r w:rsidRPr="008A2912">
        <w:rPr>
          <w:sz w:val="24"/>
          <w:szCs w:val="24"/>
        </w:rPr>
        <w:t xml:space="preserve"> that this is the greater danger).</w:t>
      </w:r>
      <w:r>
        <w:rPr>
          <w:sz w:val="24"/>
          <w:szCs w:val="24"/>
        </w:rPr>
        <w:t xml:space="preserve">  W</w:t>
      </w:r>
      <w:r w:rsidRPr="008A2912">
        <w:rPr>
          <w:sz w:val="24"/>
          <w:szCs w:val="24"/>
        </w:rPr>
        <w:t xml:space="preserve">e hope in the future to refine the results in this paper </w:t>
      </w:r>
      <w:r>
        <w:rPr>
          <w:sz w:val="24"/>
          <w:szCs w:val="24"/>
        </w:rPr>
        <w:t>with a more sophisticated time series approach.</w:t>
      </w:r>
    </w:p>
  </w:footnote>
  <w:footnote w:id="38">
    <w:p w14:paraId="4EA3AD2C" w14:textId="77777777" w:rsidR="00B06815" w:rsidRPr="00084F8B" w:rsidRDefault="00B06815" w:rsidP="009B3044">
      <w:pPr>
        <w:pStyle w:val="FootnoteText"/>
        <w:rPr>
          <w:sz w:val="24"/>
          <w:szCs w:val="24"/>
        </w:rPr>
      </w:pPr>
      <w:r w:rsidRPr="00084F8B">
        <w:rPr>
          <w:rStyle w:val="FootnoteReference"/>
          <w:sz w:val="24"/>
          <w:szCs w:val="24"/>
        </w:rPr>
        <w:footnoteRef/>
      </w:r>
      <w:r w:rsidRPr="00084F8B">
        <w:rPr>
          <w:sz w:val="24"/>
          <w:szCs w:val="24"/>
        </w:rPr>
        <w:t xml:space="preserve"> Now the lagged Real Exchange Rate shows estimated coefficients that are very close to 1.0.  Thus one might think of the equation as essentially regressing the change in the real exchange rate against the change in reserves.</w:t>
      </w:r>
    </w:p>
  </w:footnote>
  <w:footnote w:id="39">
    <w:p w14:paraId="78375DA1" w14:textId="77777777" w:rsidR="00B06815" w:rsidRDefault="00B06815">
      <w:pPr>
        <w:pStyle w:val="FootnoteText"/>
      </w:pPr>
      <w:r>
        <w:rPr>
          <w:rStyle w:val="FootnoteReference"/>
        </w:rPr>
        <w:footnoteRef/>
      </w:r>
      <w:r>
        <w:t xml:space="preserve"> </w:t>
      </w:r>
      <w:r>
        <w:rPr>
          <w:sz w:val="24"/>
          <w:szCs w:val="24"/>
        </w:rPr>
        <w:t xml:space="preserve"> Brunei </w:t>
      </w:r>
      <w:r w:rsidRPr="003357E6">
        <w:rPr>
          <w:sz w:val="24"/>
          <w:szCs w:val="24"/>
        </w:rPr>
        <w:t>sometimes shows a significant positive effect, contrary to the hypothesis</w:t>
      </w:r>
      <w:r>
        <w:rPr>
          <w:sz w:val="24"/>
          <w:szCs w:val="24"/>
        </w:rPr>
        <w:t xml:space="preserve"> for a pegger.  But this is probably because it is pegged to Singapore, which is a sort of managed floater</w:t>
      </w:r>
      <w:r w:rsidRPr="003357E6">
        <w:rPr>
          <w:sz w:val="24"/>
          <w:szCs w:val="24"/>
        </w:rPr>
        <w:t>.</w:t>
      </w:r>
    </w:p>
  </w:footnote>
  <w:footnote w:id="40">
    <w:p w14:paraId="7F0FD1DC" w14:textId="77777777" w:rsidR="00B06815" w:rsidRPr="00920DE4" w:rsidRDefault="00B06815" w:rsidP="00D173F6">
      <w:pPr>
        <w:pStyle w:val="FootnoteText"/>
        <w:rPr>
          <w:sz w:val="24"/>
          <w:szCs w:val="24"/>
        </w:rPr>
      </w:pPr>
      <w:r w:rsidRPr="00920DE4">
        <w:rPr>
          <w:rStyle w:val="FootnoteReference"/>
          <w:sz w:val="24"/>
          <w:szCs w:val="24"/>
        </w:rPr>
        <w:footnoteRef/>
      </w:r>
      <w:r w:rsidRPr="00920DE4">
        <w:rPr>
          <w:sz w:val="24"/>
          <w:szCs w:val="24"/>
        </w:rPr>
        <w:t xml:space="preserve"> When </w:t>
      </w:r>
      <w:r>
        <w:rPr>
          <w:sz w:val="24"/>
          <w:szCs w:val="24"/>
        </w:rPr>
        <w:t xml:space="preserve">a </w:t>
      </w:r>
      <w:r w:rsidRPr="00920DE4">
        <w:rPr>
          <w:sz w:val="24"/>
          <w:szCs w:val="24"/>
        </w:rPr>
        <w:t>countr</w:t>
      </w:r>
      <w:r>
        <w:rPr>
          <w:sz w:val="24"/>
          <w:szCs w:val="24"/>
        </w:rPr>
        <w:t>y is</w:t>
      </w:r>
      <w:r w:rsidRPr="00920DE4">
        <w:rPr>
          <w:sz w:val="24"/>
          <w:szCs w:val="24"/>
        </w:rPr>
        <w:t xml:space="preserve"> missing from a table, it is due to data availability.  See on-line data appendix.</w:t>
      </w:r>
    </w:p>
  </w:footnote>
  <w:footnote w:id="41">
    <w:p w14:paraId="0368CAC4" w14:textId="77777777" w:rsidR="00FE1F7F" w:rsidRPr="005B4F6E" w:rsidRDefault="00FE1F7F" w:rsidP="00FE1F7F">
      <w:pPr>
        <w:spacing w:line="240" w:lineRule="auto"/>
        <w:rPr>
          <w:sz w:val="24"/>
          <w:szCs w:val="24"/>
        </w:rPr>
      </w:pPr>
      <w:r>
        <w:rPr>
          <w:rStyle w:val="FootnoteReference"/>
        </w:rPr>
        <w:footnoteRef/>
      </w:r>
      <w:r>
        <w:t xml:space="preserve"> </w:t>
      </w:r>
      <w:r>
        <w:rPr>
          <w:sz w:val="24"/>
          <w:szCs w:val="24"/>
        </w:rPr>
        <w:t>There is a second possible explanation for anomalous results in the case of Saudi Arabia.  It alone among all the commodity producers is large enough in the world market for its export commodity, oil, that we might want to question the assumption that the world price is exogenous.  But the first reason seems a good enough explanation.</w:t>
      </w:r>
    </w:p>
    <w:p w14:paraId="66377A26" w14:textId="77777777" w:rsidR="00FE1F7F" w:rsidRDefault="00FE1F7F" w:rsidP="00FE1F7F">
      <w:pPr>
        <w:pStyle w:val="FootnoteText"/>
      </w:pPr>
    </w:p>
  </w:footnote>
  <w:footnote w:id="42">
    <w:p w14:paraId="5A2F1381" w14:textId="77777777" w:rsidR="00FE1F7F" w:rsidRDefault="00FE1F7F" w:rsidP="00FE1F7F">
      <w:pPr>
        <w:pStyle w:val="FootnoteText"/>
      </w:pPr>
      <w:r w:rsidRPr="00920DE4">
        <w:rPr>
          <w:rStyle w:val="FootnoteReference"/>
          <w:sz w:val="24"/>
          <w:szCs w:val="24"/>
        </w:rPr>
        <w:footnoteRef/>
      </w:r>
      <w:r w:rsidRPr="00920DE4">
        <w:rPr>
          <w:sz w:val="24"/>
          <w:szCs w:val="24"/>
        </w:rPr>
        <w:t xml:space="preserve"> Frankel (2017).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527D6"/>
    <w:multiLevelType w:val="hybridMultilevel"/>
    <w:tmpl w:val="42F078C4"/>
    <w:lvl w:ilvl="0" w:tplc="8110E3C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25374"/>
    <w:multiLevelType w:val="hybridMultilevel"/>
    <w:tmpl w:val="16F07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F404BB"/>
    <w:multiLevelType w:val="hybridMultilevel"/>
    <w:tmpl w:val="4A0617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9EF0074"/>
    <w:multiLevelType w:val="hybridMultilevel"/>
    <w:tmpl w:val="AABC6432"/>
    <w:lvl w:ilvl="0" w:tplc="7C50887E">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3E32F68"/>
    <w:multiLevelType w:val="hybridMultilevel"/>
    <w:tmpl w:val="A93CE2AE"/>
    <w:lvl w:ilvl="0" w:tplc="D48ECF98">
      <w:start w:val="1"/>
      <w:numFmt w:val="bullet"/>
      <w:lvlText w:val="–"/>
      <w:lvlJc w:val="left"/>
      <w:pPr>
        <w:tabs>
          <w:tab w:val="num" w:pos="360"/>
        </w:tabs>
        <w:ind w:left="360" w:hanging="360"/>
      </w:pPr>
      <w:rPr>
        <w:rFonts w:ascii="Arial" w:hAnsi="Arial" w:hint="default"/>
      </w:rPr>
    </w:lvl>
    <w:lvl w:ilvl="1" w:tplc="9E42F440">
      <w:start w:val="1"/>
      <w:numFmt w:val="bullet"/>
      <w:lvlText w:val="–"/>
      <w:lvlJc w:val="left"/>
      <w:pPr>
        <w:tabs>
          <w:tab w:val="num" w:pos="1080"/>
        </w:tabs>
        <w:ind w:left="1080" w:hanging="360"/>
      </w:pPr>
      <w:rPr>
        <w:rFonts w:ascii="Arial" w:hAnsi="Arial" w:hint="default"/>
      </w:rPr>
    </w:lvl>
    <w:lvl w:ilvl="2" w:tplc="DE284356" w:tentative="1">
      <w:start w:val="1"/>
      <w:numFmt w:val="bullet"/>
      <w:lvlText w:val="–"/>
      <w:lvlJc w:val="left"/>
      <w:pPr>
        <w:tabs>
          <w:tab w:val="num" w:pos="1800"/>
        </w:tabs>
        <w:ind w:left="1800" w:hanging="360"/>
      </w:pPr>
      <w:rPr>
        <w:rFonts w:ascii="Arial" w:hAnsi="Arial" w:hint="default"/>
      </w:rPr>
    </w:lvl>
    <w:lvl w:ilvl="3" w:tplc="A5B6C364" w:tentative="1">
      <w:start w:val="1"/>
      <w:numFmt w:val="bullet"/>
      <w:lvlText w:val="–"/>
      <w:lvlJc w:val="left"/>
      <w:pPr>
        <w:tabs>
          <w:tab w:val="num" w:pos="2520"/>
        </w:tabs>
        <w:ind w:left="2520" w:hanging="360"/>
      </w:pPr>
      <w:rPr>
        <w:rFonts w:ascii="Arial" w:hAnsi="Arial" w:hint="default"/>
      </w:rPr>
    </w:lvl>
    <w:lvl w:ilvl="4" w:tplc="74DA5924" w:tentative="1">
      <w:start w:val="1"/>
      <w:numFmt w:val="bullet"/>
      <w:lvlText w:val="–"/>
      <w:lvlJc w:val="left"/>
      <w:pPr>
        <w:tabs>
          <w:tab w:val="num" w:pos="3240"/>
        </w:tabs>
        <w:ind w:left="3240" w:hanging="360"/>
      </w:pPr>
      <w:rPr>
        <w:rFonts w:ascii="Arial" w:hAnsi="Arial" w:hint="default"/>
      </w:rPr>
    </w:lvl>
    <w:lvl w:ilvl="5" w:tplc="400C808E" w:tentative="1">
      <w:start w:val="1"/>
      <w:numFmt w:val="bullet"/>
      <w:lvlText w:val="–"/>
      <w:lvlJc w:val="left"/>
      <w:pPr>
        <w:tabs>
          <w:tab w:val="num" w:pos="3960"/>
        </w:tabs>
        <w:ind w:left="3960" w:hanging="360"/>
      </w:pPr>
      <w:rPr>
        <w:rFonts w:ascii="Arial" w:hAnsi="Arial" w:hint="default"/>
      </w:rPr>
    </w:lvl>
    <w:lvl w:ilvl="6" w:tplc="401CF780" w:tentative="1">
      <w:start w:val="1"/>
      <w:numFmt w:val="bullet"/>
      <w:lvlText w:val="–"/>
      <w:lvlJc w:val="left"/>
      <w:pPr>
        <w:tabs>
          <w:tab w:val="num" w:pos="4680"/>
        </w:tabs>
        <w:ind w:left="4680" w:hanging="360"/>
      </w:pPr>
      <w:rPr>
        <w:rFonts w:ascii="Arial" w:hAnsi="Arial" w:hint="default"/>
      </w:rPr>
    </w:lvl>
    <w:lvl w:ilvl="7" w:tplc="9F96D692" w:tentative="1">
      <w:start w:val="1"/>
      <w:numFmt w:val="bullet"/>
      <w:lvlText w:val="–"/>
      <w:lvlJc w:val="left"/>
      <w:pPr>
        <w:tabs>
          <w:tab w:val="num" w:pos="5400"/>
        </w:tabs>
        <w:ind w:left="5400" w:hanging="360"/>
      </w:pPr>
      <w:rPr>
        <w:rFonts w:ascii="Arial" w:hAnsi="Arial" w:hint="default"/>
      </w:rPr>
    </w:lvl>
    <w:lvl w:ilvl="8" w:tplc="2BEEA7E6" w:tentative="1">
      <w:start w:val="1"/>
      <w:numFmt w:val="bullet"/>
      <w:lvlText w:val="–"/>
      <w:lvlJc w:val="left"/>
      <w:pPr>
        <w:tabs>
          <w:tab w:val="num" w:pos="6120"/>
        </w:tabs>
        <w:ind w:left="6120" w:hanging="360"/>
      </w:pPr>
      <w:rPr>
        <w:rFonts w:ascii="Arial" w:hAnsi="Arial" w:hint="default"/>
      </w:rPr>
    </w:lvl>
  </w:abstractNum>
  <w:abstractNum w:abstractNumId="5">
    <w:nsid w:val="49BF5E30"/>
    <w:multiLevelType w:val="hybridMultilevel"/>
    <w:tmpl w:val="D0525B3A"/>
    <w:lvl w:ilvl="0" w:tplc="0409000F">
      <w:start w:val="1"/>
      <w:numFmt w:val="decimal"/>
      <w:lvlText w:val="%1."/>
      <w:lvlJc w:val="left"/>
      <w:pPr>
        <w:ind w:left="720" w:hanging="360"/>
      </w:pPr>
    </w:lvl>
    <w:lvl w:ilvl="1" w:tplc="357C3F38">
      <w:start w:val="1"/>
      <w:numFmt w:val="lowerLetter"/>
      <w:lvlText w:val="%2."/>
      <w:lvlJc w:val="left"/>
      <w:pPr>
        <w:ind w:left="153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7C508F"/>
    <w:multiLevelType w:val="hybridMultilevel"/>
    <w:tmpl w:val="F788CD34"/>
    <w:lvl w:ilvl="0" w:tplc="D9985BA4">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7">
    <w:nsid w:val="51BA178A"/>
    <w:multiLevelType w:val="hybridMultilevel"/>
    <w:tmpl w:val="16F07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C66DB9"/>
    <w:multiLevelType w:val="hybridMultilevel"/>
    <w:tmpl w:val="FEBE4466"/>
    <w:lvl w:ilvl="0" w:tplc="DE1C70E2">
      <w:start w:val="4"/>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6C972CD0"/>
    <w:multiLevelType w:val="hybridMultilevel"/>
    <w:tmpl w:val="B9769B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71C3598"/>
    <w:multiLevelType w:val="hybridMultilevel"/>
    <w:tmpl w:val="2C0AF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9"/>
  </w:num>
  <w:num w:numId="4">
    <w:abstractNumId w:val="4"/>
  </w:num>
  <w:num w:numId="5">
    <w:abstractNumId w:val="0"/>
  </w:num>
  <w:num w:numId="6">
    <w:abstractNumId w:val="3"/>
  </w:num>
  <w:num w:numId="7">
    <w:abstractNumId w:val="6"/>
  </w:num>
  <w:num w:numId="8">
    <w:abstractNumId w:val="2"/>
  </w:num>
  <w:num w:numId="9">
    <w:abstractNumId w:val="7"/>
  </w:num>
  <w:num w:numId="10">
    <w:abstractNumId w:val="1"/>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ilahun Emiru">
    <w15:presenceInfo w15:providerId="Windows Live" w15:userId="6b771b53e38d7d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95B"/>
    <w:rsid w:val="0000044A"/>
    <w:rsid w:val="00001C12"/>
    <w:rsid w:val="000073CF"/>
    <w:rsid w:val="00011F62"/>
    <w:rsid w:val="00013708"/>
    <w:rsid w:val="00016656"/>
    <w:rsid w:val="00016D73"/>
    <w:rsid w:val="000249BD"/>
    <w:rsid w:val="00025B10"/>
    <w:rsid w:val="00033D04"/>
    <w:rsid w:val="00041FDE"/>
    <w:rsid w:val="00044D88"/>
    <w:rsid w:val="000452A7"/>
    <w:rsid w:val="00047BD7"/>
    <w:rsid w:val="00050EC4"/>
    <w:rsid w:val="0005364A"/>
    <w:rsid w:val="00063594"/>
    <w:rsid w:val="00074534"/>
    <w:rsid w:val="00077A79"/>
    <w:rsid w:val="00084F8B"/>
    <w:rsid w:val="00094573"/>
    <w:rsid w:val="0009493B"/>
    <w:rsid w:val="000B0630"/>
    <w:rsid w:val="000B1894"/>
    <w:rsid w:val="000B49A0"/>
    <w:rsid w:val="000B6266"/>
    <w:rsid w:val="000C0B63"/>
    <w:rsid w:val="000C2D14"/>
    <w:rsid w:val="000C54FF"/>
    <w:rsid w:val="000D119D"/>
    <w:rsid w:val="000D53F1"/>
    <w:rsid w:val="000D56A9"/>
    <w:rsid w:val="000D69A3"/>
    <w:rsid w:val="000D6F21"/>
    <w:rsid w:val="000D744F"/>
    <w:rsid w:val="000E6BE4"/>
    <w:rsid w:val="000E7009"/>
    <w:rsid w:val="000F0666"/>
    <w:rsid w:val="000F317C"/>
    <w:rsid w:val="000F3F8D"/>
    <w:rsid w:val="000F5495"/>
    <w:rsid w:val="00111F36"/>
    <w:rsid w:val="00112548"/>
    <w:rsid w:val="0011314E"/>
    <w:rsid w:val="00122D56"/>
    <w:rsid w:val="00135981"/>
    <w:rsid w:val="00137CE2"/>
    <w:rsid w:val="00143DAF"/>
    <w:rsid w:val="00150710"/>
    <w:rsid w:val="00155D83"/>
    <w:rsid w:val="0015649F"/>
    <w:rsid w:val="0015797A"/>
    <w:rsid w:val="0016376E"/>
    <w:rsid w:val="00164689"/>
    <w:rsid w:val="001938BD"/>
    <w:rsid w:val="00195ACA"/>
    <w:rsid w:val="00197982"/>
    <w:rsid w:val="001A19B4"/>
    <w:rsid w:val="001A1B8E"/>
    <w:rsid w:val="001A23FE"/>
    <w:rsid w:val="001C15A4"/>
    <w:rsid w:val="001C3BD5"/>
    <w:rsid w:val="001D069A"/>
    <w:rsid w:val="001D467D"/>
    <w:rsid w:val="001E555A"/>
    <w:rsid w:val="001F49D3"/>
    <w:rsid w:val="001F5481"/>
    <w:rsid w:val="002075DA"/>
    <w:rsid w:val="00210E73"/>
    <w:rsid w:val="00213357"/>
    <w:rsid w:val="00213C48"/>
    <w:rsid w:val="00216663"/>
    <w:rsid w:val="00222C5F"/>
    <w:rsid w:val="00224410"/>
    <w:rsid w:val="002269CE"/>
    <w:rsid w:val="00233249"/>
    <w:rsid w:val="00233654"/>
    <w:rsid w:val="00242C3A"/>
    <w:rsid w:val="002554FC"/>
    <w:rsid w:val="0026584A"/>
    <w:rsid w:val="002659E4"/>
    <w:rsid w:val="00292263"/>
    <w:rsid w:val="002922E6"/>
    <w:rsid w:val="002B016F"/>
    <w:rsid w:val="002B195B"/>
    <w:rsid w:val="002C0AFB"/>
    <w:rsid w:val="002C0EF1"/>
    <w:rsid w:val="002D33F4"/>
    <w:rsid w:val="002D3994"/>
    <w:rsid w:val="002F0B8D"/>
    <w:rsid w:val="002F1382"/>
    <w:rsid w:val="002F5845"/>
    <w:rsid w:val="002F782A"/>
    <w:rsid w:val="003017CF"/>
    <w:rsid w:val="00303943"/>
    <w:rsid w:val="00303B30"/>
    <w:rsid w:val="00305452"/>
    <w:rsid w:val="00330932"/>
    <w:rsid w:val="00332635"/>
    <w:rsid w:val="003353FC"/>
    <w:rsid w:val="003357E6"/>
    <w:rsid w:val="003363A0"/>
    <w:rsid w:val="003500D5"/>
    <w:rsid w:val="003552B4"/>
    <w:rsid w:val="00365FD1"/>
    <w:rsid w:val="00367B72"/>
    <w:rsid w:val="00370A0F"/>
    <w:rsid w:val="00376974"/>
    <w:rsid w:val="00377515"/>
    <w:rsid w:val="00381AA5"/>
    <w:rsid w:val="0038217E"/>
    <w:rsid w:val="00393333"/>
    <w:rsid w:val="003A1103"/>
    <w:rsid w:val="003A1C70"/>
    <w:rsid w:val="003A40C2"/>
    <w:rsid w:val="003A4D45"/>
    <w:rsid w:val="003B3258"/>
    <w:rsid w:val="003B4C89"/>
    <w:rsid w:val="003C1F4F"/>
    <w:rsid w:val="003C2706"/>
    <w:rsid w:val="003D2564"/>
    <w:rsid w:val="003D561A"/>
    <w:rsid w:val="003D5A10"/>
    <w:rsid w:val="003E0F20"/>
    <w:rsid w:val="003F6D5A"/>
    <w:rsid w:val="003F7077"/>
    <w:rsid w:val="0040551A"/>
    <w:rsid w:val="004102DD"/>
    <w:rsid w:val="0041198F"/>
    <w:rsid w:val="0042142F"/>
    <w:rsid w:val="00421B14"/>
    <w:rsid w:val="00431061"/>
    <w:rsid w:val="00433764"/>
    <w:rsid w:val="0044574C"/>
    <w:rsid w:val="004470F6"/>
    <w:rsid w:val="004474C5"/>
    <w:rsid w:val="0046189C"/>
    <w:rsid w:val="00462E44"/>
    <w:rsid w:val="00466AD3"/>
    <w:rsid w:val="00470645"/>
    <w:rsid w:val="00474EB7"/>
    <w:rsid w:val="00475A03"/>
    <w:rsid w:val="00483AE6"/>
    <w:rsid w:val="00484CF3"/>
    <w:rsid w:val="004876A6"/>
    <w:rsid w:val="00490FAF"/>
    <w:rsid w:val="004A53DD"/>
    <w:rsid w:val="004B4D54"/>
    <w:rsid w:val="004B7131"/>
    <w:rsid w:val="004B7426"/>
    <w:rsid w:val="004C2731"/>
    <w:rsid w:val="004C7BE5"/>
    <w:rsid w:val="004D0D21"/>
    <w:rsid w:val="004D131F"/>
    <w:rsid w:val="004D196F"/>
    <w:rsid w:val="004D6A93"/>
    <w:rsid w:val="004E02CB"/>
    <w:rsid w:val="004E742A"/>
    <w:rsid w:val="004F6462"/>
    <w:rsid w:val="00514C2C"/>
    <w:rsid w:val="00517DC5"/>
    <w:rsid w:val="005228E0"/>
    <w:rsid w:val="005248AB"/>
    <w:rsid w:val="00534B2B"/>
    <w:rsid w:val="0053792F"/>
    <w:rsid w:val="00564A84"/>
    <w:rsid w:val="005673A5"/>
    <w:rsid w:val="005708E3"/>
    <w:rsid w:val="00570BBF"/>
    <w:rsid w:val="00573318"/>
    <w:rsid w:val="005831B6"/>
    <w:rsid w:val="005852D5"/>
    <w:rsid w:val="005A6B2A"/>
    <w:rsid w:val="005B0E15"/>
    <w:rsid w:val="005B2A31"/>
    <w:rsid w:val="005B31D5"/>
    <w:rsid w:val="005B4F6E"/>
    <w:rsid w:val="005C6885"/>
    <w:rsid w:val="005C6AF9"/>
    <w:rsid w:val="005D248C"/>
    <w:rsid w:val="005E2990"/>
    <w:rsid w:val="005E5114"/>
    <w:rsid w:val="005E7BC6"/>
    <w:rsid w:val="005F5EAF"/>
    <w:rsid w:val="00603F0E"/>
    <w:rsid w:val="00605589"/>
    <w:rsid w:val="00606F3A"/>
    <w:rsid w:val="00613BAA"/>
    <w:rsid w:val="00613BAF"/>
    <w:rsid w:val="0061410E"/>
    <w:rsid w:val="006171A9"/>
    <w:rsid w:val="00620939"/>
    <w:rsid w:val="00625964"/>
    <w:rsid w:val="006320F3"/>
    <w:rsid w:val="00650865"/>
    <w:rsid w:val="00660A4B"/>
    <w:rsid w:val="0066577C"/>
    <w:rsid w:val="00672CBE"/>
    <w:rsid w:val="00674EEE"/>
    <w:rsid w:val="006830DC"/>
    <w:rsid w:val="00697E2D"/>
    <w:rsid w:val="006A3332"/>
    <w:rsid w:val="006A3367"/>
    <w:rsid w:val="006B4EC3"/>
    <w:rsid w:val="006C3DF9"/>
    <w:rsid w:val="006C43DA"/>
    <w:rsid w:val="006D5861"/>
    <w:rsid w:val="006E029E"/>
    <w:rsid w:val="006E446A"/>
    <w:rsid w:val="006F0321"/>
    <w:rsid w:val="00702A92"/>
    <w:rsid w:val="0070462D"/>
    <w:rsid w:val="007174CC"/>
    <w:rsid w:val="0072751F"/>
    <w:rsid w:val="007369EE"/>
    <w:rsid w:val="0074107C"/>
    <w:rsid w:val="007427F1"/>
    <w:rsid w:val="007447D4"/>
    <w:rsid w:val="007555F8"/>
    <w:rsid w:val="00764DF6"/>
    <w:rsid w:val="00765A68"/>
    <w:rsid w:val="00766585"/>
    <w:rsid w:val="00772D75"/>
    <w:rsid w:val="00784C61"/>
    <w:rsid w:val="007877E5"/>
    <w:rsid w:val="007A17D3"/>
    <w:rsid w:val="007A5533"/>
    <w:rsid w:val="007B7DAE"/>
    <w:rsid w:val="007C6412"/>
    <w:rsid w:val="00800572"/>
    <w:rsid w:val="00810C2C"/>
    <w:rsid w:val="0081275F"/>
    <w:rsid w:val="008226DA"/>
    <w:rsid w:val="00822E7F"/>
    <w:rsid w:val="00827436"/>
    <w:rsid w:val="008341F9"/>
    <w:rsid w:val="0084493F"/>
    <w:rsid w:val="0084759F"/>
    <w:rsid w:val="00851866"/>
    <w:rsid w:val="008551E5"/>
    <w:rsid w:val="00856706"/>
    <w:rsid w:val="008605CF"/>
    <w:rsid w:val="00864E22"/>
    <w:rsid w:val="00866AC7"/>
    <w:rsid w:val="008710A7"/>
    <w:rsid w:val="0087110B"/>
    <w:rsid w:val="0087348F"/>
    <w:rsid w:val="00881181"/>
    <w:rsid w:val="00882489"/>
    <w:rsid w:val="0088562C"/>
    <w:rsid w:val="00887733"/>
    <w:rsid w:val="00887F4F"/>
    <w:rsid w:val="00890701"/>
    <w:rsid w:val="00895C09"/>
    <w:rsid w:val="008979D2"/>
    <w:rsid w:val="008A2849"/>
    <w:rsid w:val="008A28A4"/>
    <w:rsid w:val="008A2912"/>
    <w:rsid w:val="008A3819"/>
    <w:rsid w:val="008B1E72"/>
    <w:rsid w:val="008B7BCD"/>
    <w:rsid w:val="008C3435"/>
    <w:rsid w:val="008D3999"/>
    <w:rsid w:val="008D3BA3"/>
    <w:rsid w:val="008E22F7"/>
    <w:rsid w:val="008E28CD"/>
    <w:rsid w:val="008E32AD"/>
    <w:rsid w:val="008E496D"/>
    <w:rsid w:val="008E76E8"/>
    <w:rsid w:val="008F381D"/>
    <w:rsid w:val="00901019"/>
    <w:rsid w:val="009075E6"/>
    <w:rsid w:val="00913712"/>
    <w:rsid w:val="00920DE4"/>
    <w:rsid w:val="009215ED"/>
    <w:rsid w:val="009324A4"/>
    <w:rsid w:val="009371EC"/>
    <w:rsid w:val="0093736E"/>
    <w:rsid w:val="0093776E"/>
    <w:rsid w:val="00942137"/>
    <w:rsid w:val="0094465A"/>
    <w:rsid w:val="00950E4F"/>
    <w:rsid w:val="00957B3A"/>
    <w:rsid w:val="00957B8F"/>
    <w:rsid w:val="0096792A"/>
    <w:rsid w:val="009720AD"/>
    <w:rsid w:val="009736BA"/>
    <w:rsid w:val="00977DEA"/>
    <w:rsid w:val="00980C53"/>
    <w:rsid w:val="00986314"/>
    <w:rsid w:val="009967AC"/>
    <w:rsid w:val="009A33D3"/>
    <w:rsid w:val="009A3629"/>
    <w:rsid w:val="009A51A0"/>
    <w:rsid w:val="009A5F36"/>
    <w:rsid w:val="009B3044"/>
    <w:rsid w:val="009B671E"/>
    <w:rsid w:val="009C715E"/>
    <w:rsid w:val="009D1D0D"/>
    <w:rsid w:val="009D7872"/>
    <w:rsid w:val="009E235D"/>
    <w:rsid w:val="009E32F4"/>
    <w:rsid w:val="009E3E1E"/>
    <w:rsid w:val="009E5B71"/>
    <w:rsid w:val="009E60FC"/>
    <w:rsid w:val="009F2B6E"/>
    <w:rsid w:val="009F483A"/>
    <w:rsid w:val="009F7328"/>
    <w:rsid w:val="00A01A86"/>
    <w:rsid w:val="00A13C58"/>
    <w:rsid w:val="00A2071D"/>
    <w:rsid w:val="00A32F4B"/>
    <w:rsid w:val="00A33315"/>
    <w:rsid w:val="00A45E20"/>
    <w:rsid w:val="00A471BB"/>
    <w:rsid w:val="00A61260"/>
    <w:rsid w:val="00A630D5"/>
    <w:rsid w:val="00A67933"/>
    <w:rsid w:val="00A74828"/>
    <w:rsid w:val="00A763B1"/>
    <w:rsid w:val="00A82B1D"/>
    <w:rsid w:val="00A84A29"/>
    <w:rsid w:val="00A92FFC"/>
    <w:rsid w:val="00A96F72"/>
    <w:rsid w:val="00A973ED"/>
    <w:rsid w:val="00AA0544"/>
    <w:rsid w:val="00AB0D24"/>
    <w:rsid w:val="00AB60B7"/>
    <w:rsid w:val="00AB766C"/>
    <w:rsid w:val="00AC2465"/>
    <w:rsid w:val="00AE1D30"/>
    <w:rsid w:val="00B0645B"/>
    <w:rsid w:val="00B06815"/>
    <w:rsid w:val="00B10F2A"/>
    <w:rsid w:val="00B11513"/>
    <w:rsid w:val="00B14318"/>
    <w:rsid w:val="00B174D7"/>
    <w:rsid w:val="00B27165"/>
    <w:rsid w:val="00B31C20"/>
    <w:rsid w:val="00B36E56"/>
    <w:rsid w:val="00B375DD"/>
    <w:rsid w:val="00B42E74"/>
    <w:rsid w:val="00B501D5"/>
    <w:rsid w:val="00B626FC"/>
    <w:rsid w:val="00B73E46"/>
    <w:rsid w:val="00B74618"/>
    <w:rsid w:val="00B77B2A"/>
    <w:rsid w:val="00B813D6"/>
    <w:rsid w:val="00B82868"/>
    <w:rsid w:val="00B859F1"/>
    <w:rsid w:val="00B85A4F"/>
    <w:rsid w:val="00B87CBE"/>
    <w:rsid w:val="00B91C0E"/>
    <w:rsid w:val="00B94230"/>
    <w:rsid w:val="00BA3AC9"/>
    <w:rsid w:val="00BB2308"/>
    <w:rsid w:val="00BB4707"/>
    <w:rsid w:val="00BD3BD5"/>
    <w:rsid w:val="00BD46EF"/>
    <w:rsid w:val="00BD4A26"/>
    <w:rsid w:val="00BE1835"/>
    <w:rsid w:val="00BE1A83"/>
    <w:rsid w:val="00BE6226"/>
    <w:rsid w:val="00BE7656"/>
    <w:rsid w:val="00C01CA2"/>
    <w:rsid w:val="00C141A5"/>
    <w:rsid w:val="00C14869"/>
    <w:rsid w:val="00C1747D"/>
    <w:rsid w:val="00C21FD4"/>
    <w:rsid w:val="00C32A39"/>
    <w:rsid w:val="00C33D23"/>
    <w:rsid w:val="00C42657"/>
    <w:rsid w:val="00C51F23"/>
    <w:rsid w:val="00C561F6"/>
    <w:rsid w:val="00C622A2"/>
    <w:rsid w:val="00C70389"/>
    <w:rsid w:val="00C75794"/>
    <w:rsid w:val="00C76545"/>
    <w:rsid w:val="00C82CEA"/>
    <w:rsid w:val="00C85C01"/>
    <w:rsid w:val="00C85C42"/>
    <w:rsid w:val="00C94EDB"/>
    <w:rsid w:val="00C97DEF"/>
    <w:rsid w:val="00CA2F81"/>
    <w:rsid w:val="00CA3AD3"/>
    <w:rsid w:val="00CB0454"/>
    <w:rsid w:val="00CD10E5"/>
    <w:rsid w:val="00CD3B56"/>
    <w:rsid w:val="00CD596D"/>
    <w:rsid w:val="00CE0CA3"/>
    <w:rsid w:val="00CE6272"/>
    <w:rsid w:val="00CF02D5"/>
    <w:rsid w:val="00CF36F4"/>
    <w:rsid w:val="00D07C52"/>
    <w:rsid w:val="00D132A1"/>
    <w:rsid w:val="00D14019"/>
    <w:rsid w:val="00D173F6"/>
    <w:rsid w:val="00D219CC"/>
    <w:rsid w:val="00D254ED"/>
    <w:rsid w:val="00D43014"/>
    <w:rsid w:val="00D508B6"/>
    <w:rsid w:val="00D51A7E"/>
    <w:rsid w:val="00D55552"/>
    <w:rsid w:val="00D567CF"/>
    <w:rsid w:val="00D57DDC"/>
    <w:rsid w:val="00D722BA"/>
    <w:rsid w:val="00D74DF7"/>
    <w:rsid w:val="00D87786"/>
    <w:rsid w:val="00D97D05"/>
    <w:rsid w:val="00DA0453"/>
    <w:rsid w:val="00DA2959"/>
    <w:rsid w:val="00DA501E"/>
    <w:rsid w:val="00DC0A5B"/>
    <w:rsid w:val="00DC306B"/>
    <w:rsid w:val="00DF4324"/>
    <w:rsid w:val="00DF63C8"/>
    <w:rsid w:val="00E02D6D"/>
    <w:rsid w:val="00E20A7A"/>
    <w:rsid w:val="00E21FC0"/>
    <w:rsid w:val="00E262C2"/>
    <w:rsid w:val="00E324E9"/>
    <w:rsid w:val="00E32A55"/>
    <w:rsid w:val="00E32BAF"/>
    <w:rsid w:val="00E35D03"/>
    <w:rsid w:val="00E54F95"/>
    <w:rsid w:val="00E721AA"/>
    <w:rsid w:val="00E72DA1"/>
    <w:rsid w:val="00E7380C"/>
    <w:rsid w:val="00E85C88"/>
    <w:rsid w:val="00E874BF"/>
    <w:rsid w:val="00EB2F23"/>
    <w:rsid w:val="00EB59AF"/>
    <w:rsid w:val="00EC2DA8"/>
    <w:rsid w:val="00EC3F95"/>
    <w:rsid w:val="00EC684C"/>
    <w:rsid w:val="00EF0614"/>
    <w:rsid w:val="00EF4739"/>
    <w:rsid w:val="00EF58E8"/>
    <w:rsid w:val="00F031A3"/>
    <w:rsid w:val="00F13E62"/>
    <w:rsid w:val="00F22703"/>
    <w:rsid w:val="00F24DFA"/>
    <w:rsid w:val="00F309BD"/>
    <w:rsid w:val="00F36D94"/>
    <w:rsid w:val="00F555A9"/>
    <w:rsid w:val="00F566D3"/>
    <w:rsid w:val="00F868FC"/>
    <w:rsid w:val="00F94751"/>
    <w:rsid w:val="00FA0B7A"/>
    <w:rsid w:val="00FA104F"/>
    <w:rsid w:val="00FA6BE7"/>
    <w:rsid w:val="00FB0D2C"/>
    <w:rsid w:val="00FB2ED2"/>
    <w:rsid w:val="00FC7C4A"/>
    <w:rsid w:val="00FD5943"/>
    <w:rsid w:val="00FD7489"/>
    <w:rsid w:val="00FE1F7F"/>
    <w:rsid w:val="00FE3B45"/>
    <w:rsid w:val="00FE6187"/>
    <w:rsid w:val="00FF05E5"/>
    <w:rsid w:val="00FF6D6F"/>
    <w:rsid w:val="00FF7318"/>
    <w:rsid w:val="00FF7EA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78F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95B"/>
  </w:style>
  <w:style w:type="paragraph" w:styleId="Heading1">
    <w:name w:val="heading 1"/>
    <w:basedOn w:val="Normal"/>
    <w:link w:val="Heading1Char"/>
    <w:uiPriority w:val="9"/>
    <w:qFormat/>
    <w:rsid w:val="004876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95B"/>
    <w:pPr>
      <w:ind w:left="720"/>
      <w:contextualSpacing/>
    </w:pPr>
  </w:style>
  <w:style w:type="character" w:customStyle="1" w:styleId="Heading1Char">
    <w:name w:val="Heading 1 Char"/>
    <w:basedOn w:val="DefaultParagraphFont"/>
    <w:link w:val="Heading1"/>
    <w:uiPriority w:val="9"/>
    <w:rsid w:val="004876A6"/>
    <w:rPr>
      <w:rFonts w:ascii="Times New Roman" w:eastAsia="Times New Roman" w:hAnsi="Times New Roman" w:cs="Times New Roman"/>
      <w:b/>
      <w:bCs/>
      <w:kern w:val="36"/>
      <w:sz w:val="48"/>
      <w:szCs w:val="48"/>
      <w:lang w:eastAsia="ko-KR"/>
    </w:rPr>
  </w:style>
  <w:style w:type="character" w:styleId="Hyperlink">
    <w:name w:val="Hyperlink"/>
    <w:basedOn w:val="DefaultParagraphFont"/>
    <w:uiPriority w:val="99"/>
    <w:unhideWhenUsed/>
    <w:rsid w:val="004876A6"/>
    <w:rPr>
      <w:color w:val="0000FF" w:themeColor="hyperlink"/>
      <w:u w:val="single"/>
    </w:rPr>
  </w:style>
  <w:style w:type="character" w:customStyle="1" w:styleId="apple-converted-space">
    <w:name w:val="apple-converted-space"/>
    <w:basedOn w:val="DefaultParagraphFont"/>
    <w:rsid w:val="004876A6"/>
  </w:style>
  <w:style w:type="paragraph" w:styleId="EndnoteText">
    <w:name w:val="endnote text"/>
    <w:basedOn w:val="Normal"/>
    <w:link w:val="EndnoteTextChar"/>
    <w:uiPriority w:val="99"/>
    <w:semiHidden/>
    <w:unhideWhenUsed/>
    <w:rsid w:val="004876A6"/>
    <w:pPr>
      <w:spacing w:after="0" w:line="240" w:lineRule="auto"/>
    </w:pPr>
    <w:rPr>
      <w:rFonts w:eastAsiaTheme="minorEastAsia"/>
      <w:sz w:val="20"/>
      <w:szCs w:val="20"/>
      <w:lang w:eastAsia="ko-KR"/>
    </w:rPr>
  </w:style>
  <w:style w:type="character" w:customStyle="1" w:styleId="EndnoteTextChar">
    <w:name w:val="Endnote Text Char"/>
    <w:basedOn w:val="DefaultParagraphFont"/>
    <w:link w:val="EndnoteText"/>
    <w:uiPriority w:val="99"/>
    <w:semiHidden/>
    <w:rsid w:val="004876A6"/>
    <w:rPr>
      <w:rFonts w:eastAsiaTheme="minorEastAsia"/>
      <w:sz w:val="20"/>
      <w:szCs w:val="20"/>
      <w:lang w:eastAsia="ko-KR"/>
    </w:rPr>
  </w:style>
  <w:style w:type="character" w:styleId="EndnoteReference">
    <w:name w:val="endnote reference"/>
    <w:basedOn w:val="DefaultParagraphFont"/>
    <w:uiPriority w:val="99"/>
    <w:semiHidden/>
    <w:unhideWhenUsed/>
    <w:rsid w:val="004876A6"/>
    <w:rPr>
      <w:vertAlign w:val="superscript"/>
    </w:rPr>
  </w:style>
  <w:style w:type="paragraph" w:styleId="PlainText">
    <w:name w:val="Plain Text"/>
    <w:basedOn w:val="Normal"/>
    <w:link w:val="PlainTextChar"/>
    <w:uiPriority w:val="99"/>
    <w:unhideWhenUsed/>
    <w:rsid w:val="004876A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876A6"/>
    <w:rPr>
      <w:rFonts w:ascii="Calibri" w:hAnsi="Calibri"/>
      <w:szCs w:val="21"/>
    </w:rPr>
  </w:style>
  <w:style w:type="paragraph" w:styleId="NormalWeb">
    <w:name w:val="Normal (Web)"/>
    <w:basedOn w:val="Normal"/>
    <w:uiPriority w:val="99"/>
    <w:unhideWhenUsed/>
    <w:rsid w:val="00A32F4B"/>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styleId="Strong">
    <w:name w:val="Strong"/>
    <w:basedOn w:val="DefaultParagraphFont"/>
    <w:uiPriority w:val="22"/>
    <w:qFormat/>
    <w:rsid w:val="00EC684C"/>
    <w:rPr>
      <w:b/>
      <w:bCs/>
    </w:rPr>
  </w:style>
  <w:style w:type="character" w:customStyle="1" w:styleId="bio-name">
    <w:name w:val="bio-name"/>
    <w:basedOn w:val="DefaultParagraphFont"/>
    <w:rsid w:val="00EC684C"/>
  </w:style>
  <w:style w:type="paragraph" w:styleId="FootnoteText">
    <w:name w:val="footnote text"/>
    <w:basedOn w:val="Normal"/>
    <w:link w:val="FootnoteTextChar"/>
    <w:uiPriority w:val="99"/>
    <w:semiHidden/>
    <w:unhideWhenUsed/>
    <w:rsid w:val="000E6B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6BE4"/>
    <w:rPr>
      <w:sz w:val="20"/>
      <w:szCs w:val="20"/>
    </w:rPr>
  </w:style>
  <w:style w:type="character" w:styleId="FootnoteReference">
    <w:name w:val="footnote reference"/>
    <w:basedOn w:val="DefaultParagraphFont"/>
    <w:uiPriority w:val="99"/>
    <w:semiHidden/>
    <w:unhideWhenUsed/>
    <w:rsid w:val="000E6BE4"/>
    <w:rPr>
      <w:vertAlign w:val="superscript"/>
    </w:rPr>
  </w:style>
  <w:style w:type="character" w:styleId="Emphasis">
    <w:name w:val="Emphasis"/>
    <w:basedOn w:val="DefaultParagraphFont"/>
    <w:uiPriority w:val="20"/>
    <w:qFormat/>
    <w:rsid w:val="000249BD"/>
    <w:rPr>
      <w:i/>
      <w:iCs/>
    </w:rPr>
  </w:style>
  <w:style w:type="paragraph" w:styleId="Bibliography">
    <w:name w:val="Bibliography"/>
    <w:basedOn w:val="Normal"/>
    <w:next w:val="Normal"/>
    <w:uiPriority w:val="37"/>
    <w:unhideWhenUsed/>
    <w:rsid w:val="000D744F"/>
    <w:rPr>
      <w:rFonts w:eastAsiaTheme="minorEastAsia"/>
      <w:lang w:eastAsia="ko-KR"/>
    </w:rPr>
  </w:style>
  <w:style w:type="paragraph" w:styleId="BodyTextIndent2">
    <w:name w:val="Body Text Indent 2"/>
    <w:basedOn w:val="Normal"/>
    <w:link w:val="BodyTextIndent2Char"/>
    <w:rsid w:val="00864E22"/>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864E22"/>
    <w:rPr>
      <w:rFonts w:ascii="Times New Roman" w:eastAsia="Times New Roman" w:hAnsi="Times New Roman" w:cs="Times New Roman"/>
      <w:sz w:val="24"/>
      <w:szCs w:val="24"/>
    </w:rPr>
  </w:style>
  <w:style w:type="character" w:customStyle="1" w:styleId="gsggsgsfl">
    <w:name w:val="gs_ggs gs_fl"/>
    <w:basedOn w:val="DefaultParagraphFont"/>
    <w:rsid w:val="00864E22"/>
  </w:style>
  <w:style w:type="character" w:customStyle="1" w:styleId="gsa1">
    <w:name w:val="gs_a1"/>
    <w:rsid w:val="00864E22"/>
    <w:rPr>
      <w:color w:val="008000"/>
    </w:rPr>
  </w:style>
  <w:style w:type="paragraph" w:styleId="BalloonText">
    <w:name w:val="Balloon Text"/>
    <w:basedOn w:val="Normal"/>
    <w:link w:val="BalloonTextChar"/>
    <w:uiPriority w:val="99"/>
    <w:semiHidden/>
    <w:unhideWhenUsed/>
    <w:rsid w:val="008E28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8CD"/>
    <w:rPr>
      <w:rFonts w:ascii="Tahoma" w:hAnsi="Tahoma" w:cs="Tahoma"/>
      <w:sz w:val="16"/>
      <w:szCs w:val="16"/>
    </w:rPr>
  </w:style>
  <w:style w:type="paragraph" w:styleId="Header">
    <w:name w:val="header"/>
    <w:basedOn w:val="Normal"/>
    <w:link w:val="HeaderChar"/>
    <w:uiPriority w:val="99"/>
    <w:unhideWhenUsed/>
    <w:rsid w:val="005B4F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F6E"/>
  </w:style>
  <w:style w:type="paragraph" w:styleId="Footer">
    <w:name w:val="footer"/>
    <w:basedOn w:val="Normal"/>
    <w:link w:val="FooterChar"/>
    <w:uiPriority w:val="99"/>
    <w:unhideWhenUsed/>
    <w:rsid w:val="005B4F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F6E"/>
  </w:style>
  <w:style w:type="character" w:styleId="PlaceholderText">
    <w:name w:val="Placeholder Text"/>
    <w:basedOn w:val="DefaultParagraphFont"/>
    <w:uiPriority w:val="99"/>
    <w:semiHidden/>
    <w:rsid w:val="004B4D54"/>
    <w:rPr>
      <w:color w:val="808080"/>
    </w:rPr>
  </w:style>
  <w:style w:type="paragraph" w:styleId="BodyText">
    <w:name w:val="Body Text"/>
    <w:basedOn w:val="Normal"/>
    <w:link w:val="BodyTextChar"/>
    <w:rsid w:val="00077A79"/>
    <w:pPr>
      <w:spacing w:after="120" w:line="240" w:lineRule="auto"/>
    </w:pPr>
    <w:rPr>
      <w:rFonts w:ascii="Times New Roman" w:eastAsia="SimSun" w:hAnsi="Times New Roman" w:cs="Times New Roman"/>
      <w:sz w:val="24"/>
      <w:szCs w:val="24"/>
    </w:rPr>
  </w:style>
  <w:style w:type="character" w:customStyle="1" w:styleId="BodyTextChar">
    <w:name w:val="Body Text Char"/>
    <w:basedOn w:val="DefaultParagraphFont"/>
    <w:link w:val="BodyText"/>
    <w:rsid w:val="00077A79"/>
    <w:rPr>
      <w:rFonts w:ascii="Times New Roman" w:eastAsia="SimSun" w:hAnsi="Times New Roman" w:cs="Times New Roman"/>
      <w:sz w:val="24"/>
      <w:szCs w:val="24"/>
    </w:rPr>
  </w:style>
  <w:style w:type="character" w:customStyle="1" w:styleId="Italics">
    <w:name w:val="Italics"/>
    <w:rsid w:val="00077A79"/>
    <w:rPr>
      <w:rFonts w:cs="Arial"/>
      <w:i/>
      <w:iCs/>
    </w:rPr>
  </w:style>
  <w:style w:type="table" w:customStyle="1" w:styleId="PlainTable41">
    <w:name w:val="Plain Table 41"/>
    <w:basedOn w:val="TableNormal"/>
    <w:uiPriority w:val="44"/>
    <w:rsid w:val="00BD3BD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D43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A3AC9"/>
    <w:rPr>
      <w:sz w:val="16"/>
      <w:szCs w:val="16"/>
    </w:rPr>
  </w:style>
  <w:style w:type="paragraph" w:styleId="CommentText">
    <w:name w:val="annotation text"/>
    <w:basedOn w:val="Normal"/>
    <w:link w:val="CommentTextChar"/>
    <w:uiPriority w:val="99"/>
    <w:semiHidden/>
    <w:unhideWhenUsed/>
    <w:rsid w:val="00BA3AC9"/>
    <w:pPr>
      <w:spacing w:line="240" w:lineRule="auto"/>
    </w:pPr>
    <w:rPr>
      <w:sz w:val="20"/>
      <w:szCs w:val="20"/>
    </w:rPr>
  </w:style>
  <w:style w:type="character" w:customStyle="1" w:styleId="CommentTextChar">
    <w:name w:val="Comment Text Char"/>
    <w:basedOn w:val="DefaultParagraphFont"/>
    <w:link w:val="CommentText"/>
    <w:uiPriority w:val="99"/>
    <w:semiHidden/>
    <w:rsid w:val="00BA3AC9"/>
    <w:rPr>
      <w:sz w:val="20"/>
      <w:szCs w:val="20"/>
    </w:rPr>
  </w:style>
  <w:style w:type="paragraph" w:styleId="CommentSubject">
    <w:name w:val="annotation subject"/>
    <w:basedOn w:val="CommentText"/>
    <w:next w:val="CommentText"/>
    <w:link w:val="CommentSubjectChar"/>
    <w:uiPriority w:val="99"/>
    <w:semiHidden/>
    <w:unhideWhenUsed/>
    <w:rsid w:val="00BA3AC9"/>
    <w:rPr>
      <w:b/>
      <w:bCs/>
    </w:rPr>
  </w:style>
  <w:style w:type="character" w:customStyle="1" w:styleId="CommentSubjectChar">
    <w:name w:val="Comment Subject Char"/>
    <w:basedOn w:val="CommentTextChar"/>
    <w:link w:val="CommentSubject"/>
    <w:uiPriority w:val="99"/>
    <w:semiHidden/>
    <w:rsid w:val="00BA3AC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95B"/>
  </w:style>
  <w:style w:type="paragraph" w:styleId="Heading1">
    <w:name w:val="heading 1"/>
    <w:basedOn w:val="Normal"/>
    <w:link w:val="Heading1Char"/>
    <w:uiPriority w:val="9"/>
    <w:qFormat/>
    <w:rsid w:val="004876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95B"/>
    <w:pPr>
      <w:ind w:left="720"/>
      <w:contextualSpacing/>
    </w:pPr>
  </w:style>
  <w:style w:type="character" w:customStyle="1" w:styleId="Heading1Char">
    <w:name w:val="Heading 1 Char"/>
    <w:basedOn w:val="DefaultParagraphFont"/>
    <w:link w:val="Heading1"/>
    <w:uiPriority w:val="9"/>
    <w:rsid w:val="004876A6"/>
    <w:rPr>
      <w:rFonts w:ascii="Times New Roman" w:eastAsia="Times New Roman" w:hAnsi="Times New Roman" w:cs="Times New Roman"/>
      <w:b/>
      <w:bCs/>
      <w:kern w:val="36"/>
      <w:sz w:val="48"/>
      <w:szCs w:val="48"/>
      <w:lang w:eastAsia="ko-KR"/>
    </w:rPr>
  </w:style>
  <w:style w:type="character" w:styleId="Hyperlink">
    <w:name w:val="Hyperlink"/>
    <w:basedOn w:val="DefaultParagraphFont"/>
    <w:uiPriority w:val="99"/>
    <w:unhideWhenUsed/>
    <w:rsid w:val="004876A6"/>
    <w:rPr>
      <w:color w:val="0000FF" w:themeColor="hyperlink"/>
      <w:u w:val="single"/>
    </w:rPr>
  </w:style>
  <w:style w:type="character" w:customStyle="1" w:styleId="apple-converted-space">
    <w:name w:val="apple-converted-space"/>
    <w:basedOn w:val="DefaultParagraphFont"/>
    <w:rsid w:val="004876A6"/>
  </w:style>
  <w:style w:type="paragraph" w:styleId="EndnoteText">
    <w:name w:val="endnote text"/>
    <w:basedOn w:val="Normal"/>
    <w:link w:val="EndnoteTextChar"/>
    <w:uiPriority w:val="99"/>
    <w:semiHidden/>
    <w:unhideWhenUsed/>
    <w:rsid w:val="004876A6"/>
    <w:pPr>
      <w:spacing w:after="0" w:line="240" w:lineRule="auto"/>
    </w:pPr>
    <w:rPr>
      <w:rFonts w:eastAsiaTheme="minorEastAsia"/>
      <w:sz w:val="20"/>
      <w:szCs w:val="20"/>
      <w:lang w:eastAsia="ko-KR"/>
    </w:rPr>
  </w:style>
  <w:style w:type="character" w:customStyle="1" w:styleId="EndnoteTextChar">
    <w:name w:val="Endnote Text Char"/>
    <w:basedOn w:val="DefaultParagraphFont"/>
    <w:link w:val="EndnoteText"/>
    <w:uiPriority w:val="99"/>
    <w:semiHidden/>
    <w:rsid w:val="004876A6"/>
    <w:rPr>
      <w:rFonts w:eastAsiaTheme="minorEastAsia"/>
      <w:sz w:val="20"/>
      <w:szCs w:val="20"/>
      <w:lang w:eastAsia="ko-KR"/>
    </w:rPr>
  </w:style>
  <w:style w:type="character" w:styleId="EndnoteReference">
    <w:name w:val="endnote reference"/>
    <w:basedOn w:val="DefaultParagraphFont"/>
    <w:uiPriority w:val="99"/>
    <w:semiHidden/>
    <w:unhideWhenUsed/>
    <w:rsid w:val="004876A6"/>
    <w:rPr>
      <w:vertAlign w:val="superscript"/>
    </w:rPr>
  </w:style>
  <w:style w:type="paragraph" w:styleId="PlainText">
    <w:name w:val="Plain Text"/>
    <w:basedOn w:val="Normal"/>
    <w:link w:val="PlainTextChar"/>
    <w:uiPriority w:val="99"/>
    <w:unhideWhenUsed/>
    <w:rsid w:val="004876A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876A6"/>
    <w:rPr>
      <w:rFonts w:ascii="Calibri" w:hAnsi="Calibri"/>
      <w:szCs w:val="21"/>
    </w:rPr>
  </w:style>
  <w:style w:type="paragraph" w:styleId="NormalWeb">
    <w:name w:val="Normal (Web)"/>
    <w:basedOn w:val="Normal"/>
    <w:uiPriority w:val="99"/>
    <w:unhideWhenUsed/>
    <w:rsid w:val="00A32F4B"/>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styleId="Strong">
    <w:name w:val="Strong"/>
    <w:basedOn w:val="DefaultParagraphFont"/>
    <w:uiPriority w:val="22"/>
    <w:qFormat/>
    <w:rsid w:val="00EC684C"/>
    <w:rPr>
      <w:b/>
      <w:bCs/>
    </w:rPr>
  </w:style>
  <w:style w:type="character" w:customStyle="1" w:styleId="bio-name">
    <w:name w:val="bio-name"/>
    <w:basedOn w:val="DefaultParagraphFont"/>
    <w:rsid w:val="00EC684C"/>
  </w:style>
  <w:style w:type="paragraph" w:styleId="FootnoteText">
    <w:name w:val="footnote text"/>
    <w:basedOn w:val="Normal"/>
    <w:link w:val="FootnoteTextChar"/>
    <w:uiPriority w:val="99"/>
    <w:semiHidden/>
    <w:unhideWhenUsed/>
    <w:rsid w:val="000E6B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6BE4"/>
    <w:rPr>
      <w:sz w:val="20"/>
      <w:szCs w:val="20"/>
    </w:rPr>
  </w:style>
  <w:style w:type="character" w:styleId="FootnoteReference">
    <w:name w:val="footnote reference"/>
    <w:basedOn w:val="DefaultParagraphFont"/>
    <w:uiPriority w:val="99"/>
    <w:semiHidden/>
    <w:unhideWhenUsed/>
    <w:rsid w:val="000E6BE4"/>
    <w:rPr>
      <w:vertAlign w:val="superscript"/>
    </w:rPr>
  </w:style>
  <w:style w:type="character" w:styleId="Emphasis">
    <w:name w:val="Emphasis"/>
    <w:basedOn w:val="DefaultParagraphFont"/>
    <w:uiPriority w:val="20"/>
    <w:qFormat/>
    <w:rsid w:val="000249BD"/>
    <w:rPr>
      <w:i/>
      <w:iCs/>
    </w:rPr>
  </w:style>
  <w:style w:type="paragraph" w:styleId="Bibliography">
    <w:name w:val="Bibliography"/>
    <w:basedOn w:val="Normal"/>
    <w:next w:val="Normal"/>
    <w:uiPriority w:val="37"/>
    <w:unhideWhenUsed/>
    <w:rsid w:val="000D744F"/>
    <w:rPr>
      <w:rFonts w:eastAsiaTheme="minorEastAsia"/>
      <w:lang w:eastAsia="ko-KR"/>
    </w:rPr>
  </w:style>
  <w:style w:type="paragraph" w:styleId="BodyTextIndent2">
    <w:name w:val="Body Text Indent 2"/>
    <w:basedOn w:val="Normal"/>
    <w:link w:val="BodyTextIndent2Char"/>
    <w:rsid w:val="00864E22"/>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864E22"/>
    <w:rPr>
      <w:rFonts w:ascii="Times New Roman" w:eastAsia="Times New Roman" w:hAnsi="Times New Roman" w:cs="Times New Roman"/>
      <w:sz w:val="24"/>
      <w:szCs w:val="24"/>
    </w:rPr>
  </w:style>
  <w:style w:type="character" w:customStyle="1" w:styleId="gsggsgsfl">
    <w:name w:val="gs_ggs gs_fl"/>
    <w:basedOn w:val="DefaultParagraphFont"/>
    <w:rsid w:val="00864E22"/>
  </w:style>
  <w:style w:type="character" w:customStyle="1" w:styleId="gsa1">
    <w:name w:val="gs_a1"/>
    <w:rsid w:val="00864E22"/>
    <w:rPr>
      <w:color w:val="008000"/>
    </w:rPr>
  </w:style>
  <w:style w:type="paragraph" w:styleId="BalloonText">
    <w:name w:val="Balloon Text"/>
    <w:basedOn w:val="Normal"/>
    <w:link w:val="BalloonTextChar"/>
    <w:uiPriority w:val="99"/>
    <w:semiHidden/>
    <w:unhideWhenUsed/>
    <w:rsid w:val="008E28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8CD"/>
    <w:rPr>
      <w:rFonts w:ascii="Tahoma" w:hAnsi="Tahoma" w:cs="Tahoma"/>
      <w:sz w:val="16"/>
      <w:szCs w:val="16"/>
    </w:rPr>
  </w:style>
  <w:style w:type="paragraph" w:styleId="Header">
    <w:name w:val="header"/>
    <w:basedOn w:val="Normal"/>
    <w:link w:val="HeaderChar"/>
    <w:uiPriority w:val="99"/>
    <w:unhideWhenUsed/>
    <w:rsid w:val="005B4F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F6E"/>
  </w:style>
  <w:style w:type="paragraph" w:styleId="Footer">
    <w:name w:val="footer"/>
    <w:basedOn w:val="Normal"/>
    <w:link w:val="FooterChar"/>
    <w:uiPriority w:val="99"/>
    <w:unhideWhenUsed/>
    <w:rsid w:val="005B4F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F6E"/>
  </w:style>
  <w:style w:type="character" w:styleId="PlaceholderText">
    <w:name w:val="Placeholder Text"/>
    <w:basedOn w:val="DefaultParagraphFont"/>
    <w:uiPriority w:val="99"/>
    <w:semiHidden/>
    <w:rsid w:val="004B4D54"/>
    <w:rPr>
      <w:color w:val="808080"/>
    </w:rPr>
  </w:style>
  <w:style w:type="paragraph" w:styleId="BodyText">
    <w:name w:val="Body Text"/>
    <w:basedOn w:val="Normal"/>
    <w:link w:val="BodyTextChar"/>
    <w:rsid w:val="00077A79"/>
    <w:pPr>
      <w:spacing w:after="120" w:line="240" w:lineRule="auto"/>
    </w:pPr>
    <w:rPr>
      <w:rFonts w:ascii="Times New Roman" w:eastAsia="SimSun" w:hAnsi="Times New Roman" w:cs="Times New Roman"/>
      <w:sz w:val="24"/>
      <w:szCs w:val="24"/>
    </w:rPr>
  </w:style>
  <w:style w:type="character" w:customStyle="1" w:styleId="BodyTextChar">
    <w:name w:val="Body Text Char"/>
    <w:basedOn w:val="DefaultParagraphFont"/>
    <w:link w:val="BodyText"/>
    <w:rsid w:val="00077A79"/>
    <w:rPr>
      <w:rFonts w:ascii="Times New Roman" w:eastAsia="SimSun" w:hAnsi="Times New Roman" w:cs="Times New Roman"/>
      <w:sz w:val="24"/>
      <w:szCs w:val="24"/>
    </w:rPr>
  </w:style>
  <w:style w:type="character" w:customStyle="1" w:styleId="Italics">
    <w:name w:val="Italics"/>
    <w:rsid w:val="00077A79"/>
    <w:rPr>
      <w:rFonts w:cs="Arial"/>
      <w:i/>
      <w:iCs/>
    </w:rPr>
  </w:style>
  <w:style w:type="table" w:customStyle="1" w:styleId="PlainTable41">
    <w:name w:val="Plain Table 41"/>
    <w:basedOn w:val="TableNormal"/>
    <w:uiPriority w:val="44"/>
    <w:rsid w:val="00BD3BD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D43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A3AC9"/>
    <w:rPr>
      <w:sz w:val="16"/>
      <w:szCs w:val="16"/>
    </w:rPr>
  </w:style>
  <w:style w:type="paragraph" w:styleId="CommentText">
    <w:name w:val="annotation text"/>
    <w:basedOn w:val="Normal"/>
    <w:link w:val="CommentTextChar"/>
    <w:uiPriority w:val="99"/>
    <w:semiHidden/>
    <w:unhideWhenUsed/>
    <w:rsid w:val="00BA3AC9"/>
    <w:pPr>
      <w:spacing w:line="240" w:lineRule="auto"/>
    </w:pPr>
    <w:rPr>
      <w:sz w:val="20"/>
      <w:szCs w:val="20"/>
    </w:rPr>
  </w:style>
  <w:style w:type="character" w:customStyle="1" w:styleId="CommentTextChar">
    <w:name w:val="Comment Text Char"/>
    <w:basedOn w:val="DefaultParagraphFont"/>
    <w:link w:val="CommentText"/>
    <w:uiPriority w:val="99"/>
    <w:semiHidden/>
    <w:rsid w:val="00BA3AC9"/>
    <w:rPr>
      <w:sz w:val="20"/>
      <w:szCs w:val="20"/>
    </w:rPr>
  </w:style>
  <w:style w:type="paragraph" w:styleId="CommentSubject">
    <w:name w:val="annotation subject"/>
    <w:basedOn w:val="CommentText"/>
    <w:next w:val="CommentText"/>
    <w:link w:val="CommentSubjectChar"/>
    <w:uiPriority w:val="99"/>
    <w:semiHidden/>
    <w:unhideWhenUsed/>
    <w:rsid w:val="00BA3AC9"/>
    <w:rPr>
      <w:b/>
      <w:bCs/>
    </w:rPr>
  </w:style>
  <w:style w:type="character" w:customStyle="1" w:styleId="CommentSubjectChar">
    <w:name w:val="Comment Subject Char"/>
    <w:basedOn w:val="CommentTextChar"/>
    <w:link w:val="CommentSubject"/>
    <w:uiPriority w:val="99"/>
    <w:semiHidden/>
    <w:rsid w:val="00BA3A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830064">
      <w:bodyDiv w:val="1"/>
      <w:marLeft w:val="0"/>
      <w:marRight w:val="0"/>
      <w:marTop w:val="0"/>
      <w:marBottom w:val="0"/>
      <w:divBdr>
        <w:top w:val="none" w:sz="0" w:space="0" w:color="auto"/>
        <w:left w:val="none" w:sz="0" w:space="0" w:color="auto"/>
        <w:bottom w:val="none" w:sz="0" w:space="0" w:color="auto"/>
        <w:right w:val="none" w:sz="0" w:space="0" w:color="auto"/>
      </w:divBdr>
    </w:div>
    <w:div w:id="962275012">
      <w:bodyDiv w:val="1"/>
      <w:marLeft w:val="0"/>
      <w:marRight w:val="0"/>
      <w:marTop w:val="0"/>
      <w:marBottom w:val="0"/>
      <w:divBdr>
        <w:top w:val="none" w:sz="0" w:space="0" w:color="auto"/>
        <w:left w:val="none" w:sz="0" w:space="0" w:color="auto"/>
        <w:bottom w:val="none" w:sz="0" w:space="0" w:color="auto"/>
        <w:right w:val="none" w:sz="0" w:space="0" w:color="auto"/>
      </w:divBdr>
      <w:divsChild>
        <w:div w:id="1138038490">
          <w:marLeft w:val="1166"/>
          <w:marRight w:val="0"/>
          <w:marTop w:val="106"/>
          <w:marBottom w:val="0"/>
          <w:divBdr>
            <w:top w:val="none" w:sz="0" w:space="0" w:color="auto"/>
            <w:left w:val="none" w:sz="0" w:space="0" w:color="auto"/>
            <w:bottom w:val="none" w:sz="0" w:space="0" w:color="auto"/>
            <w:right w:val="none" w:sz="0" w:space="0" w:color="auto"/>
          </w:divBdr>
        </w:div>
      </w:divsChild>
    </w:div>
    <w:div w:id="995302633">
      <w:bodyDiv w:val="1"/>
      <w:marLeft w:val="0"/>
      <w:marRight w:val="0"/>
      <w:marTop w:val="0"/>
      <w:marBottom w:val="0"/>
      <w:divBdr>
        <w:top w:val="none" w:sz="0" w:space="0" w:color="auto"/>
        <w:left w:val="none" w:sz="0" w:space="0" w:color="auto"/>
        <w:bottom w:val="none" w:sz="0" w:space="0" w:color="auto"/>
        <w:right w:val="none" w:sz="0" w:space="0" w:color="auto"/>
      </w:divBdr>
    </w:div>
    <w:div w:id="1136335000">
      <w:bodyDiv w:val="1"/>
      <w:marLeft w:val="0"/>
      <w:marRight w:val="0"/>
      <w:marTop w:val="0"/>
      <w:marBottom w:val="0"/>
      <w:divBdr>
        <w:top w:val="none" w:sz="0" w:space="0" w:color="auto"/>
        <w:left w:val="none" w:sz="0" w:space="0" w:color="auto"/>
        <w:bottom w:val="none" w:sz="0" w:space="0" w:color="auto"/>
        <w:right w:val="none" w:sz="0" w:space="0" w:color="auto"/>
      </w:divBdr>
      <w:divsChild>
        <w:div w:id="1579174565">
          <w:marLeft w:val="1166"/>
          <w:marRight w:val="0"/>
          <w:marTop w:val="106"/>
          <w:marBottom w:val="0"/>
          <w:divBdr>
            <w:top w:val="none" w:sz="0" w:space="0" w:color="auto"/>
            <w:left w:val="none" w:sz="0" w:space="0" w:color="auto"/>
            <w:bottom w:val="none" w:sz="0" w:space="0" w:color="auto"/>
            <w:right w:val="none" w:sz="0" w:space="0" w:color="auto"/>
          </w:divBdr>
        </w:div>
      </w:divsChild>
    </w:div>
    <w:div w:id="1176503329">
      <w:bodyDiv w:val="1"/>
      <w:marLeft w:val="0"/>
      <w:marRight w:val="0"/>
      <w:marTop w:val="0"/>
      <w:marBottom w:val="0"/>
      <w:divBdr>
        <w:top w:val="none" w:sz="0" w:space="0" w:color="auto"/>
        <w:left w:val="none" w:sz="0" w:space="0" w:color="auto"/>
        <w:bottom w:val="none" w:sz="0" w:space="0" w:color="auto"/>
        <w:right w:val="none" w:sz="0" w:space="0" w:color="auto"/>
      </w:divBdr>
    </w:div>
    <w:div w:id="1277908911">
      <w:bodyDiv w:val="1"/>
      <w:marLeft w:val="0"/>
      <w:marRight w:val="0"/>
      <w:marTop w:val="0"/>
      <w:marBottom w:val="0"/>
      <w:divBdr>
        <w:top w:val="none" w:sz="0" w:space="0" w:color="auto"/>
        <w:left w:val="none" w:sz="0" w:space="0" w:color="auto"/>
        <w:bottom w:val="none" w:sz="0" w:space="0" w:color="auto"/>
        <w:right w:val="none" w:sz="0" w:space="0" w:color="auto"/>
      </w:divBdr>
    </w:div>
    <w:div w:id="133152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cholar.harvard.edu/files/frankel/files/fx_asianregimeesttablesxie2011.pdf" TargetMode="External"/><Relationship Id="rId18" Type="http://schemas.openxmlformats.org/officeDocument/2006/relationships/hyperlink" Target="https://scholar.harvard.edu/files/frankel/files/fx_trky_reactnfunctn_appendixmay3.docx" TargetMode="External"/><Relationship Id="rId26" Type="http://schemas.openxmlformats.org/officeDocument/2006/relationships/hyperlink" Target="http://www.press.uchicago.edu/" TargetMode="External"/><Relationship Id="rId3" Type="http://schemas.openxmlformats.org/officeDocument/2006/relationships/styles" Target="styles.xml"/><Relationship Id="rId21" Type="http://schemas.openxmlformats.org/officeDocument/2006/relationships/hyperlink" Target="http://www.nber.org/papers/w19091" TargetMode="Externa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6.emf"/><Relationship Id="rId25" Type="http://schemas.openxmlformats.org/officeDocument/2006/relationships/hyperlink" Target="http://www.nber.org/books/fran08-1/"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scholar.harvard.edu/files/frankel/files/fx_datappendx_shrutilakhtakia.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ssrn.com/abstract=2686434" TargetMode="External"/><Relationship Id="rId37"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hyperlink" Target="https://ideas.repec.org/s/diw/diwwpp.html" TargetMode="External"/><Relationship Id="rId28" Type="http://schemas.openxmlformats.org/officeDocument/2006/relationships/hyperlink" Target="http://ideas.repec.org/s/eee/eecrev.html" TargetMode="External"/><Relationship Id="rId36" Type="http://schemas.microsoft.com/office/2011/relationships/people" Target="people.xml"/><Relationship Id="rId10" Type="http://schemas.openxmlformats.org/officeDocument/2006/relationships/image" Target="media/image2.png"/><Relationship Id="rId19" Type="http://schemas.openxmlformats.org/officeDocument/2006/relationships/hyperlink" Target="https://scholar.harvard.edu/files/frankel/files/fx_trky_reactnfunctn_appendix2017.pdf"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hyperlink" Target="http://onlinelibrary.wiley.com/doi/10.1111/twec.2015.38.issue-5/issuetoc" TargetMode="External"/><Relationship Id="rId27" Type="http://schemas.openxmlformats.org/officeDocument/2006/relationships/hyperlink" Target="http://ideas.repec.org/a/eee/eecrev/v52y2008i6p941-963.html"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cholar.harvard.edu/files/frankel/files/trky_reactnfunctn_estimatestabl_may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EFBC5-2B7E-4562-B3A0-9B6069176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14886</Words>
  <Characters>84856</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
    </vt:vector>
  </TitlesOfParts>
  <Company>Harvard Kennedy School</Company>
  <LinksUpToDate>false</LinksUpToDate>
  <CharactersWithSpaces>99543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itfsa</cp:lastModifiedBy>
  <cp:revision>2</cp:revision>
  <cp:lastPrinted>2017-05-16T00:34:00Z</cp:lastPrinted>
  <dcterms:created xsi:type="dcterms:W3CDTF">2017-05-16T00:35:00Z</dcterms:created>
  <dcterms:modified xsi:type="dcterms:W3CDTF">2017-05-16T00:35:00Z</dcterms:modified>
</cp:coreProperties>
</file>