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8D" w:rsidRPr="00D277A8" w:rsidRDefault="00B5338D" w:rsidP="00B5338D">
      <w:pPr>
        <w:pStyle w:val="Heading2"/>
        <w:shd w:val="clear" w:color="auto" w:fill="FFFFFF"/>
        <w:jc w:val="center"/>
        <w:rPr>
          <w:rFonts w:asciiTheme="minorHAnsi" w:hAnsiTheme="minorHAnsi" w:cs="Helvetica"/>
          <w:b w:val="0"/>
          <w:bCs w:val="0"/>
          <w:color w:val="326894"/>
          <w:sz w:val="28"/>
          <w:szCs w:val="28"/>
        </w:rPr>
      </w:pPr>
      <w:r w:rsidRPr="00415357">
        <w:rPr>
          <w:rFonts w:asciiTheme="minorHAnsi" w:hAnsiTheme="minorHAnsi"/>
          <w:sz w:val="24"/>
          <w:szCs w:val="24"/>
        </w:rPr>
        <w:t xml:space="preserve">Detailed Appendix </w:t>
      </w:r>
      <w:r w:rsidRPr="004D7A65">
        <w:rPr>
          <w:rFonts w:asciiTheme="minorHAnsi" w:hAnsiTheme="minorHAnsi"/>
          <w:b w:val="0"/>
          <w:sz w:val="24"/>
          <w:szCs w:val="24"/>
        </w:rPr>
        <w:t>[TO BE AVAI</w:t>
      </w:r>
      <w:r w:rsidR="004D7A65" w:rsidRPr="004D7A65">
        <w:rPr>
          <w:rFonts w:asciiTheme="minorHAnsi" w:hAnsiTheme="minorHAnsi"/>
          <w:b w:val="0"/>
          <w:sz w:val="24"/>
          <w:szCs w:val="24"/>
        </w:rPr>
        <w:t>LABLE ON-LINE] to accompany</w:t>
      </w:r>
      <w:r w:rsidR="004D7A6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s</w:t>
      </w:r>
      <w:r w:rsidRPr="00415357">
        <w:rPr>
          <w:rFonts w:asciiTheme="minorHAnsi" w:hAnsiTheme="minorHAnsi"/>
          <w:b w:val="0"/>
          <w:sz w:val="24"/>
          <w:szCs w:val="24"/>
        </w:rPr>
        <w:t>ection</w:t>
      </w:r>
      <w:r>
        <w:rPr>
          <w:rFonts w:asciiTheme="minorHAnsi" w:hAnsiTheme="minorHAnsi"/>
          <w:b w:val="0"/>
          <w:sz w:val="28"/>
          <w:szCs w:val="28"/>
        </w:rPr>
        <w:t xml:space="preserve"> </w:t>
      </w:r>
      <w:r w:rsidR="004D7A65">
        <w:rPr>
          <w:rFonts w:asciiTheme="minorHAnsi" w:hAnsiTheme="minorHAnsi"/>
          <w:b w:val="0"/>
          <w:sz w:val="28"/>
          <w:szCs w:val="28"/>
        </w:rPr>
        <w:t xml:space="preserve">2(c) </w:t>
      </w:r>
      <w:r w:rsidRPr="00415357">
        <w:rPr>
          <w:rFonts w:asciiTheme="minorHAnsi" w:hAnsiTheme="minorHAnsi"/>
          <w:b w:val="0"/>
          <w:sz w:val="24"/>
          <w:szCs w:val="24"/>
        </w:rPr>
        <w:t xml:space="preserve">on </w:t>
      </w:r>
      <w:r>
        <w:rPr>
          <w:rFonts w:asciiTheme="minorHAnsi" w:hAnsiTheme="minorHAnsi"/>
          <w:b w:val="0"/>
          <w:sz w:val="24"/>
          <w:szCs w:val="24"/>
        </w:rPr>
        <w:t xml:space="preserve">Reaction function/ </w:t>
      </w:r>
      <w:r w:rsidRPr="00415357">
        <w:rPr>
          <w:rFonts w:asciiTheme="minorHAnsi" w:hAnsiTheme="minorHAnsi"/>
          <w:b w:val="0"/>
          <w:sz w:val="24"/>
          <w:szCs w:val="24"/>
        </w:rPr>
        <w:t>Foreign exchange market behavior of central bank of Turkey,</w:t>
      </w:r>
      <w:r>
        <w:rPr>
          <w:rFonts w:asciiTheme="minorHAnsi" w:hAnsiTheme="minorHAnsi"/>
          <w:b w:val="0"/>
          <w:sz w:val="28"/>
          <w:szCs w:val="28"/>
        </w:rPr>
        <w:t xml:space="preserve"> </w:t>
      </w:r>
      <w:r>
        <w:rPr>
          <w:rFonts w:asciiTheme="minorHAnsi" w:hAnsiTheme="minorHAnsi"/>
          <w:b w:val="0"/>
          <w:sz w:val="28"/>
          <w:szCs w:val="28"/>
        </w:rPr>
        <w:br/>
      </w:r>
      <w:r w:rsidR="004D7A65">
        <w:rPr>
          <w:rFonts w:asciiTheme="minorHAnsi" w:hAnsiTheme="minorHAnsi"/>
          <w:b w:val="0"/>
          <w:sz w:val="24"/>
          <w:szCs w:val="24"/>
        </w:rPr>
        <w:t>of “Systematic Managed Floating,”</w:t>
      </w:r>
      <w:r w:rsidRPr="00D277A8">
        <w:rPr>
          <w:rFonts w:asciiTheme="minorHAnsi" w:hAnsiTheme="minorHAnsi"/>
          <w:b w:val="0"/>
          <w:sz w:val="24"/>
          <w:szCs w:val="24"/>
        </w:rPr>
        <w:t xml:space="preserve"> paper written for </w:t>
      </w:r>
      <w:r w:rsidRPr="00D277A8">
        <w:rPr>
          <w:rFonts w:asciiTheme="minorHAnsi" w:hAnsiTheme="minorHAnsi" w:cs="Helvetica"/>
          <w:b w:val="0"/>
          <w:bCs w:val="0"/>
          <w:sz w:val="24"/>
          <w:szCs w:val="24"/>
        </w:rPr>
        <w:t>4th Asian Monetary Policy Forum, 2017, May 26, MAS, Singapore</w:t>
      </w:r>
      <w:r w:rsidRPr="00D277A8">
        <w:rPr>
          <w:rFonts w:asciiTheme="minorHAnsi" w:hAnsiTheme="minorHAnsi" w:cs="Helvetica"/>
          <w:b w:val="0"/>
          <w:bCs w:val="0"/>
          <w:sz w:val="24"/>
          <w:szCs w:val="24"/>
        </w:rPr>
        <w:br/>
        <w:t>Jeffrey Frankel, Harvard University, May 3</w:t>
      </w:r>
      <w:r w:rsidR="00056E53">
        <w:rPr>
          <w:rFonts w:asciiTheme="minorHAnsi" w:hAnsiTheme="minorHAnsi" w:cs="Helvetica"/>
          <w:b w:val="0"/>
          <w:bCs w:val="0"/>
          <w:sz w:val="24"/>
          <w:szCs w:val="24"/>
        </w:rPr>
        <w:t xml:space="preserve"> + May 15</w:t>
      </w:r>
      <w:r w:rsidRPr="00D277A8">
        <w:rPr>
          <w:rFonts w:asciiTheme="minorHAnsi" w:hAnsiTheme="minorHAnsi" w:cs="Helvetica"/>
          <w:b w:val="0"/>
          <w:bCs w:val="0"/>
          <w:sz w:val="24"/>
          <w:szCs w:val="24"/>
        </w:rPr>
        <w:t>, 2017</w:t>
      </w:r>
    </w:p>
    <w:p w:rsidR="00056E53" w:rsidRDefault="00056E53" w:rsidP="00B5338D">
      <w:pPr>
        <w:jc w:val="center"/>
        <w:rPr>
          <w:sz w:val="28"/>
          <w:szCs w:val="28"/>
        </w:rPr>
      </w:pPr>
      <w:r>
        <w:br/>
      </w:r>
      <w:r>
        <w:br/>
      </w:r>
      <w:r>
        <w:rPr>
          <w:noProof/>
        </w:rPr>
        <w:drawing>
          <wp:inline distT="0" distB="0" distL="0" distR="0" wp14:anchorId="0B1A21B5" wp14:editId="048BC897">
            <wp:extent cx="2982790" cy="20242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02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19B064D" wp14:editId="334D695A">
            <wp:extent cx="2926080" cy="197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99" cy="198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Fig. 5a With $ Exchange Rate                     Fig. 5b: With $ Exchange rate minus trend</w:t>
      </w:r>
      <w:r>
        <w:br/>
      </w:r>
      <w:r>
        <w:br/>
      </w:r>
      <w:r>
        <w:rPr>
          <w:noProof/>
        </w:rPr>
        <w:drawing>
          <wp:inline distT="0" distB="0" distL="0" distR="0" wp14:anchorId="3BCF7012" wp14:editId="200B47BB">
            <wp:extent cx="2926080" cy="18355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30" cy="183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258">
        <w:rPr>
          <w:noProof/>
        </w:rPr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6BCBA35A" wp14:editId="7E46AC67">
            <wp:extent cx="2901286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305" cy="183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Fig.5c: with Nominal Effective Exchange Rate               Fig. 5d: with Nominal EER minus trend</w:t>
      </w:r>
      <w:r>
        <w:br/>
      </w:r>
      <w:r w:rsidR="00B5338D">
        <w:br/>
      </w:r>
      <w:r w:rsidR="00B5338D">
        <w:br/>
      </w:r>
    </w:p>
    <w:p w:rsidR="00056E53" w:rsidRDefault="00056E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38D" w:rsidRPr="00B5338D" w:rsidRDefault="00B5338D" w:rsidP="00B5338D">
      <w:pPr>
        <w:jc w:val="center"/>
        <w:rPr>
          <w:sz w:val="28"/>
          <w:szCs w:val="28"/>
        </w:rPr>
      </w:pPr>
      <w:r w:rsidRPr="00B5338D">
        <w:rPr>
          <w:sz w:val="28"/>
          <w:szCs w:val="28"/>
        </w:rPr>
        <w:lastRenderedPageBreak/>
        <w:t xml:space="preserve">All the regressions for CBRT </w:t>
      </w:r>
      <w:r>
        <w:rPr>
          <w:sz w:val="28"/>
          <w:szCs w:val="28"/>
        </w:rPr>
        <w:t>reaction function in foreign exchange</w:t>
      </w:r>
    </w:p>
    <w:tbl>
      <w:tblPr>
        <w:tblW w:w="96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90"/>
        <w:gridCol w:w="41"/>
        <w:gridCol w:w="1316"/>
        <w:gridCol w:w="83"/>
        <w:gridCol w:w="84"/>
        <w:gridCol w:w="6"/>
        <w:gridCol w:w="1143"/>
        <w:gridCol w:w="117"/>
        <w:gridCol w:w="90"/>
        <w:gridCol w:w="90"/>
        <w:gridCol w:w="1170"/>
        <w:gridCol w:w="90"/>
        <w:gridCol w:w="90"/>
        <w:gridCol w:w="896"/>
        <w:gridCol w:w="274"/>
        <w:gridCol w:w="877"/>
        <w:gridCol w:w="293"/>
        <w:gridCol w:w="682"/>
        <w:gridCol w:w="218"/>
        <w:gridCol w:w="18"/>
        <w:gridCol w:w="162"/>
      </w:tblGrid>
      <w:tr w:rsidR="00B5338D" w:rsidRPr="009164C3" w:rsidTr="007663B7">
        <w:trPr>
          <w:gridAfter w:val="2"/>
          <w:wAfter w:w="180" w:type="dxa"/>
          <w:trHeight w:val="1020"/>
        </w:trPr>
        <w:tc>
          <w:tcPr>
            <w:tcW w:w="85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Regression for foreign exchange behavior of Central Bank of Republic of Turkey,       measured either by data on intervention or by data on change in reserves.                                                                                                                 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5338D" w:rsidRPr="009164C3" w:rsidTr="007663B7">
        <w:trPr>
          <w:gridAfter w:val="2"/>
          <w:wAfter w:w="180" w:type="dxa"/>
          <w:trHeight w:val="90"/>
        </w:trPr>
        <w:tc>
          <w:tcPr>
            <w:tcW w:w="85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(Reported statistics are t-values, using Newey-West se, lag 1)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61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  <w:r w:rsidR="0005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equals</w:t>
            </w:r>
            <w:proofErr w:type="gramEnd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long run average of the log of the spot ER.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638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mo. MA)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>(6 mo.MA)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5.88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-2.71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-2.69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Reserves to GDP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-0.39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6.72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61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38D" w:rsidRPr="009164C3" w:rsidRDefault="00B5338D" w:rsidP="007663B7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</m:t>
              </m:r>
            </m:oMath>
            <w:proofErr w:type="gramStart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equals</w:t>
            </w:r>
            <w:proofErr w:type="gramEnd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long run average of the log of the spot ER.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7663B7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7663B7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94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(monthly)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(monthly)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(3 mo. MA)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Reserves to GDP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-1.17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-1.32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4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</m:t>
              </m:r>
            </m:oMath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a 5 year moving average of s.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63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(3 </w:t>
            </w: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mo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, MA)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 (3 mo. MA)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 Δ Reserves (monthly)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  <w:r w:rsidR="00056E53"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(MA)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3.54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3.56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-0.36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-2.54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-2.14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Reserves to GDP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-2.63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-3.44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61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gramEnd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trend is fitted values from the regression of s on time.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trHeight w:val="63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 (3 mo. MA)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 (6 mo.MA)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ΔReserves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 (monthly)</w:t>
            </w: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trend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3.63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1.82</w:t>
            </w: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4.52</w:t>
            </w: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Reserves to GDP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-2.86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3.38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5.78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-0.81</w:t>
            </w:r>
          </w:p>
        </w:tc>
      </w:tr>
      <w:tr w:rsidR="00B5338D" w:rsidRPr="009164C3" w:rsidTr="007663B7">
        <w:trPr>
          <w:gridAfter w:val="2"/>
          <w:wAfter w:w="180" w:type="dxa"/>
          <w:trHeight w:val="63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63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46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="00056E53"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</m:acc>
            </m:oMath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bar is </w:t>
            </w:r>
            <w:proofErr w:type="gramStart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log(</w:t>
            </w:r>
            <w:proofErr w:type="gramEnd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PPP/</w:t>
            </w:r>
            <w:proofErr w:type="spellStart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averagePPP</w:t>
            </w:r>
            <w:proofErr w:type="spellEnd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)).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630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mo. MA)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mo. MA)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 xml:space="preserve"> (6 mo. MA)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 xml:space="preserve"> Δ Reserves (monthly)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</m:acc>
            </m:oMath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2.31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-2.07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-1.82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4.68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Reserves to GDP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-1.55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5.25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-0.32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6. Including LDV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94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(monthly)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- 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3.84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4.74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Intervention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Delta reserves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2.61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trend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3.63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4.43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056E53" w:rsidRPr="009164C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73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7. Break points in CBRT </w:t>
            </w:r>
            <w:proofErr w:type="spellStart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behaviour</w:t>
            </w:r>
            <w:proofErr w:type="spellEnd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taking three dates as given.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85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Incl. dummies &amp; interaction (with time variable) for the four periods.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1260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mo. MA)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mo. MA)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Δ</w:t>
            </w: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Reserves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(monthly)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trend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-3.82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-3.77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-0.15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Interaction (2007m10-2011m7)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-1.63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-2.54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-2.51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Interaction (2011m8-2013m6)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-2.14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-2.18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Interaction (2013m7-2014m1)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-1.73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-1.71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-1.58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Reserves to GDP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-0.43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-0.09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B5338D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73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8. Break points in CBRT </w:t>
            </w:r>
            <w:proofErr w:type="spellStart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behaviour</w:t>
            </w:r>
            <w:proofErr w:type="spellEnd"/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taking three dates as given.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85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Incl. dummies &amp; interaction (with s minus </w:t>
            </w:r>
            <w:r w:rsidR="00056E53"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variable) for the four periods.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630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(6 mo. MA)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(3 mo. MA)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 xml:space="preserve"> (6 mo. MA)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 xml:space="preserve"> Δ Reserves (3 mo.MA)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- 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 - s trend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-3.51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-3.04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-4.47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Interaction (2007m10-2011m7)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-3.81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-2.27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Intr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2007m10-2011m7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-3.39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Interaction (2011m8-2013m6)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-2.54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Intr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2011m8-2013m6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Interaction (2013m7-2014m1)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-3.01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Intr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(2013m7-2014m1)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-2.04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-1.74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-1.47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E5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B5338D" w:rsidRPr="009164C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4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9. Regressing only against s - s bar.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94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(6 mo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.</w:t>
            </w: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MA)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</w:t>
            </w: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Reserves (monthly)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5.85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4.62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2.69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E5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B5338D" w:rsidRPr="009164C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4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A14F38" w:rsidRDefault="00B5338D" w:rsidP="00B533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14F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Regressing only against s - s trend.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94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</w:t>
            </w: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mo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MA)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(monthly)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trend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5.84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E5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B5338D" w:rsidRPr="009164C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4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A14F38" w:rsidRDefault="00B5338D" w:rsidP="00B533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14F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Regressing only against s - s lag.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94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Dependent Variable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</w:t>
            </w: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mo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MA)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(monthly)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5.45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2"/>
          <w:wAfter w:w="180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056E5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056E53" w:rsidRPr="009164C3" w:rsidRDefault="00056E53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94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A14F38" w:rsidRDefault="00B5338D" w:rsidP="00B533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14F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Including the differential between inflation &amp; inflation target (annual target).</w:t>
            </w:r>
          </w:p>
        </w:tc>
      </w:tr>
      <w:tr w:rsidR="00B5338D" w:rsidRPr="009164C3" w:rsidTr="007663B7">
        <w:trPr>
          <w:gridAfter w:val="1"/>
          <w:wAfter w:w="162" w:type="dxa"/>
          <w:trHeight w:val="94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lastRenderedPageBreak/>
              <w:t>Dependent Variable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mo.MA)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(monthly)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s</m:t>
                  </m:r>
                </m:e>
              </m:acc>
            </m:oMath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4.89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-2.74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4.67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inflation-target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-1.26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5.74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61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94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38D" w:rsidRPr="00A14F38" w:rsidRDefault="00B5338D" w:rsidP="00B533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Intervention (monthly)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Interventn</w:t>
            </w:r>
            <w:proofErr w:type="spellEnd"/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(6 mo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.</w:t>
            </w: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MA)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Δ Reserves (monthly)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 - s trend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 - s lag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-1.65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inflation-target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-0.09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38D" w:rsidRPr="009164C3" w:rsidTr="007663B7">
        <w:trPr>
          <w:gridAfter w:val="1"/>
          <w:wAfter w:w="162" w:type="dxa"/>
          <w:trHeight w:val="315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64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5338D" w:rsidRPr="009164C3" w:rsidRDefault="00B5338D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12A45" w:rsidRDefault="00112A45" w:rsidP="00056E53"/>
    <w:sectPr w:rsidR="00112A45" w:rsidSect="00D5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3844"/>
    <w:multiLevelType w:val="hybridMultilevel"/>
    <w:tmpl w:val="5A6EA034"/>
    <w:lvl w:ilvl="0" w:tplc="5250197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338D"/>
    <w:rsid w:val="00056E53"/>
    <w:rsid w:val="00112A45"/>
    <w:rsid w:val="004D7A65"/>
    <w:rsid w:val="007663B7"/>
    <w:rsid w:val="00B5338D"/>
    <w:rsid w:val="00CD55D2"/>
    <w:rsid w:val="00D55266"/>
    <w:rsid w:val="00D9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8D"/>
  </w:style>
  <w:style w:type="paragraph" w:styleId="Heading2">
    <w:name w:val="heading 2"/>
    <w:basedOn w:val="Normal"/>
    <w:link w:val="Heading2Char"/>
    <w:uiPriority w:val="9"/>
    <w:qFormat/>
    <w:rsid w:val="00B53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33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53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6E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itfsa</dc:creator>
  <cp:lastModifiedBy>itfsa</cp:lastModifiedBy>
  <cp:revision>2</cp:revision>
  <cp:lastPrinted>2017-05-15T23:48:00Z</cp:lastPrinted>
  <dcterms:created xsi:type="dcterms:W3CDTF">2017-05-15T23:49:00Z</dcterms:created>
  <dcterms:modified xsi:type="dcterms:W3CDTF">2017-05-15T23:49:00Z</dcterms:modified>
</cp:coreProperties>
</file>