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AB49D" w14:textId="56B33CED" w:rsidR="007115C0" w:rsidRPr="00F32C5E" w:rsidRDefault="007115C0" w:rsidP="00F32C5E">
      <w:pPr>
        <w:jc w:val="center"/>
        <w:rPr>
          <w:b/>
          <w:bCs/>
          <w:sz w:val="24"/>
          <w:szCs w:val="24"/>
        </w:rPr>
      </w:pPr>
      <w:r w:rsidRPr="00F32C5E">
        <w:rPr>
          <w:sz w:val="24"/>
          <w:szCs w:val="24"/>
        </w:rPr>
        <w:t xml:space="preserve">G-20 </w:t>
      </w:r>
      <w:r w:rsidR="00FE26FE" w:rsidRPr="00F32C5E">
        <w:rPr>
          <w:sz w:val="24"/>
          <w:szCs w:val="24"/>
        </w:rPr>
        <w:t>High-Level Ministerial Conference,</w:t>
      </w:r>
      <w:r w:rsidR="00FE26FE" w:rsidRPr="00F32C5E">
        <w:rPr>
          <w:b/>
          <w:bCs/>
          <w:sz w:val="24"/>
          <w:szCs w:val="24"/>
        </w:rPr>
        <w:t xml:space="preserve"> </w:t>
      </w:r>
      <w:r w:rsidR="00FE26FE" w:rsidRPr="00F32C5E">
        <w:rPr>
          <w:sz w:val="24"/>
          <w:szCs w:val="24"/>
        </w:rPr>
        <w:t xml:space="preserve">“Tackling the </w:t>
      </w:r>
      <w:r w:rsidR="00A87F66">
        <w:rPr>
          <w:sz w:val="24"/>
          <w:szCs w:val="24"/>
        </w:rPr>
        <w:t>C</w:t>
      </w:r>
      <w:r w:rsidR="00FE26FE" w:rsidRPr="00F32C5E">
        <w:rPr>
          <w:sz w:val="24"/>
          <w:szCs w:val="24"/>
        </w:rPr>
        <w:t>ovid-19 crisis</w:t>
      </w:r>
      <w:r w:rsidR="00F32C5E" w:rsidRPr="00F32C5E">
        <w:rPr>
          <w:sz w:val="24"/>
          <w:szCs w:val="24"/>
        </w:rPr>
        <w:t xml:space="preserve"> – Rest</w:t>
      </w:r>
      <w:r w:rsidR="00A87F66">
        <w:rPr>
          <w:sz w:val="24"/>
          <w:szCs w:val="24"/>
        </w:rPr>
        <w:t>or</w:t>
      </w:r>
      <w:r w:rsidR="00F32C5E" w:rsidRPr="00F32C5E">
        <w:rPr>
          <w:sz w:val="24"/>
          <w:szCs w:val="24"/>
        </w:rPr>
        <w:t>ing Sustainable Flows of Capital and Robust Financing for Development</w:t>
      </w:r>
      <w:r w:rsidR="008C0164">
        <w:rPr>
          <w:sz w:val="24"/>
          <w:szCs w:val="24"/>
        </w:rPr>
        <w:t>,</w:t>
      </w:r>
      <w:r w:rsidR="00FE26FE" w:rsidRPr="00F32C5E">
        <w:rPr>
          <w:sz w:val="24"/>
          <w:szCs w:val="24"/>
        </w:rPr>
        <w:t>”</w:t>
      </w:r>
      <w:r w:rsidR="00FE26FE" w:rsidRPr="00F32C5E">
        <w:rPr>
          <w:b/>
          <w:bCs/>
          <w:sz w:val="24"/>
          <w:szCs w:val="24"/>
        </w:rPr>
        <w:t xml:space="preserve"> </w:t>
      </w:r>
      <w:r w:rsidR="008C0164" w:rsidRPr="00F32C5E">
        <w:rPr>
          <w:sz w:val="24"/>
          <w:szCs w:val="24"/>
        </w:rPr>
        <w:t>July 8, 2020</w:t>
      </w:r>
      <w:r w:rsidR="00FE26FE" w:rsidRPr="00F32C5E">
        <w:rPr>
          <w:b/>
          <w:bCs/>
          <w:sz w:val="24"/>
          <w:szCs w:val="24"/>
        </w:rPr>
        <w:t xml:space="preserve"> </w:t>
      </w:r>
      <w:r w:rsidR="00F32C5E">
        <w:rPr>
          <w:b/>
          <w:bCs/>
          <w:sz w:val="24"/>
          <w:szCs w:val="24"/>
        </w:rPr>
        <w:br/>
      </w:r>
      <w:r w:rsidR="00F32C5E" w:rsidRPr="00F32C5E">
        <w:rPr>
          <w:b/>
          <w:bCs/>
          <w:sz w:val="24"/>
          <w:szCs w:val="24"/>
        </w:rPr>
        <w:br/>
      </w:r>
      <w:r w:rsidR="00FE26FE" w:rsidRPr="00F32C5E">
        <w:rPr>
          <w:sz w:val="24"/>
          <w:szCs w:val="24"/>
        </w:rPr>
        <w:t>J</w:t>
      </w:r>
      <w:r w:rsidR="00F32C5E" w:rsidRPr="00F32C5E">
        <w:rPr>
          <w:sz w:val="24"/>
          <w:szCs w:val="24"/>
        </w:rPr>
        <w:t xml:space="preserve">effrey Frankel, </w:t>
      </w:r>
      <w:r w:rsidR="008C0164">
        <w:rPr>
          <w:sz w:val="24"/>
          <w:szCs w:val="24"/>
        </w:rPr>
        <w:t>Harvard University</w:t>
      </w:r>
    </w:p>
    <w:p w14:paraId="20BF2351" w14:textId="4F149EBF" w:rsidR="00350942" w:rsidRDefault="00350942">
      <w:pPr>
        <w:rPr>
          <w:b/>
          <w:bCs/>
          <w:sz w:val="28"/>
          <w:szCs w:val="28"/>
        </w:rPr>
      </w:pPr>
    </w:p>
    <w:p w14:paraId="24DF3B14" w14:textId="03CD18FC" w:rsidR="00A87F66" w:rsidRDefault="00A87F66">
      <w:pPr>
        <w:rPr>
          <w:sz w:val="24"/>
          <w:szCs w:val="24"/>
        </w:rPr>
      </w:pPr>
      <w:r>
        <w:rPr>
          <w:sz w:val="24"/>
          <w:szCs w:val="24"/>
        </w:rPr>
        <w:t xml:space="preserve">I appreciate the opportunity to make an intervention at this session on “Building more sustainable sources of financing for the future.”  </w:t>
      </w:r>
    </w:p>
    <w:p w14:paraId="0FB036AC" w14:textId="6B6A0E3B" w:rsidR="00E13B93" w:rsidRPr="0077198D" w:rsidRDefault="00E13B93">
      <w:pPr>
        <w:rPr>
          <w:sz w:val="24"/>
          <w:szCs w:val="24"/>
        </w:rPr>
      </w:pPr>
      <w:r w:rsidRPr="0077198D">
        <w:rPr>
          <w:sz w:val="24"/>
          <w:szCs w:val="24"/>
        </w:rPr>
        <w:t xml:space="preserve">I agree with </w:t>
      </w:r>
      <w:r w:rsidR="00DF641A" w:rsidRPr="0077198D">
        <w:rPr>
          <w:sz w:val="24"/>
          <w:szCs w:val="24"/>
        </w:rPr>
        <w:t xml:space="preserve">the background note, that when </w:t>
      </w:r>
      <w:r w:rsidR="0099432E">
        <w:rPr>
          <w:sz w:val="24"/>
          <w:szCs w:val="24"/>
        </w:rPr>
        <w:t xml:space="preserve">EM or </w:t>
      </w:r>
      <w:r w:rsidR="00DF641A" w:rsidRPr="0077198D">
        <w:rPr>
          <w:sz w:val="24"/>
          <w:szCs w:val="24"/>
        </w:rPr>
        <w:t>d</w:t>
      </w:r>
      <w:r w:rsidRPr="0077198D">
        <w:rPr>
          <w:sz w:val="24"/>
          <w:szCs w:val="24"/>
        </w:rPr>
        <w:t>eveloping countries borrow in terms of dollars or other foreign currencies</w:t>
      </w:r>
      <w:r w:rsidR="00DF641A" w:rsidRPr="0077198D">
        <w:rPr>
          <w:sz w:val="24"/>
          <w:szCs w:val="24"/>
        </w:rPr>
        <w:t xml:space="preserve"> it creates a dangerous currency mismatch</w:t>
      </w:r>
      <w:r w:rsidR="008C0164">
        <w:rPr>
          <w:sz w:val="24"/>
          <w:szCs w:val="24"/>
        </w:rPr>
        <w:t>.  I</w:t>
      </w:r>
      <w:bookmarkStart w:id="0" w:name="_GoBack"/>
      <w:bookmarkEnd w:id="0"/>
      <w:r w:rsidR="00DF641A" w:rsidRPr="0077198D">
        <w:rPr>
          <w:sz w:val="24"/>
          <w:szCs w:val="24"/>
        </w:rPr>
        <w:t xml:space="preserve">t is good that governments have since 2000 substantially switched to borrowing in terms of their own currencies.  I also agree that equities and Foreign Direct Investment are </w:t>
      </w:r>
      <w:r w:rsidR="00A87F66">
        <w:rPr>
          <w:sz w:val="24"/>
          <w:szCs w:val="24"/>
        </w:rPr>
        <w:t xml:space="preserve">alternative </w:t>
      </w:r>
      <w:r w:rsidR="00DF641A" w:rsidRPr="0077198D">
        <w:rPr>
          <w:sz w:val="24"/>
          <w:szCs w:val="24"/>
        </w:rPr>
        <w:t>modes of capital inflow that have good risk-sharing properties.</w:t>
      </w:r>
    </w:p>
    <w:p w14:paraId="7939BFA0" w14:textId="42FBDED4" w:rsidR="00BA23DD" w:rsidRPr="0077198D" w:rsidRDefault="00E13B93">
      <w:pPr>
        <w:rPr>
          <w:sz w:val="24"/>
          <w:szCs w:val="24"/>
        </w:rPr>
      </w:pPr>
      <w:r w:rsidRPr="0077198D">
        <w:rPr>
          <w:sz w:val="24"/>
          <w:szCs w:val="24"/>
        </w:rPr>
        <w:t xml:space="preserve">I want to </w:t>
      </w:r>
      <w:r w:rsidR="00DF641A" w:rsidRPr="0077198D">
        <w:rPr>
          <w:sz w:val="24"/>
          <w:szCs w:val="24"/>
        </w:rPr>
        <w:t xml:space="preserve">say something about </w:t>
      </w:r>
      <w:r w:rsidR="00A87F66">
        <w:rPr>
          <w:sz w:val="24"/>
          <w:szCs w:val="24"/>
        </w:rPr>
        <w:t xml:space="preserve">vulnerability to </w:t>
      </w:r>
      <w:r w:rsidR="00A67423" w:rsidRPr="0077198D">
        <w:rPr>
          <w:sz w:val="24"/>
          <w:szCs w:val="24"/>
        </w:rPr>
        <w:t xml:space="preserve">commodity price shocks, and to </w:t>
      </w:r>
      <w:r w:rsidRPr="0077198D">
        <w:rPr>
          <w:sz w:val="24"/>
          <w:szCs w:val="24"/>
        </w:rPr>
        <w:t>propose a solution</w:t>
      </w:r>
      <w:r w:rsidR="00A67423" w:rsidRPr="0077198D">
        <w:rPr>
          <w:sz w:val="24"/>
          <w:szCs w:val="24"/>
        </w:rPr>
        <w:t>:</w:t>
      </w:r>
      <w:r w:rsidR="001A2015" w:rsidRPr="0077198D">
        <w:rPr>
          <w:sz w:val="24"/>
          <w:szCs w:val="24"/>
        </w:rPr>
        <w:t xml:space="preserve"> </w:t>
      </w:r>
      <w:r w:rsidR="001A2015" w:rsidRPr="0077198D">
        <w:rPr>
          <w:sz w:val="24"/>
          <w:szCs w:val="24"/>
        </w:rPr>
        <w:t>commodity bonds.</w:t>
      </w:r>
      <w:r w:rsidR="001A2015" w:rsidRPr="0077198D">
        <w:rPr>
          <w:sz w:val="24"/>
          <w:szCs w:val="24"/>
        </w:rPr>
        <w:t xml:space="preserve">  </w:t>
      </w:r>
    </w:p>
    <w:p w14:paraId="441342BC" w14:textId="6F90A2F2" w:rsidR="007A55A1" w:rsidRPr="0077198D" w:rsidRDefault="00A67423" w:rsidP="00A674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 xml:space="preserve">A majority of EM </w:t>
      </w:r>
      <w:r w:rsidR="00A45DA4" w:rsidRPr="0077198D">
        <w:rPr>
          <w:sz w:val="24"/>
          <w:szCs w:val="24"/>
        </w:rPr>
        <w:t>and</w:t>
      </w:r>
      <w:r w:rsidRPr="0077198D">
        <w:rPr>
          <w:sz w:val="24"/>
          <w:szCs w:val="24"/>
        </w:rPr>
        <w:t xml:space="preserve"> developing countries are vulnerable to fluctuations in the </w:t>
      </w:r>
      <w:r w:rsidR="00F32C5E">
        <w:rPr>
          <w:sz w:val="24"/>
          <w:szCs w:val="24"/>
        </w:rPr>
        <w:t>global</w:t>
      </w:r>
      <w:r w:rsidRPr="0077198D">
        <w:rPr>
          <w:sz w:val="24"/>
          <w:szCs w:val="24"/>
        </w:rPr>
        <w:t xml:space="preserve"> price of one or more exported commodities</w:t>
      </w:r>
      <w:r w:rsidR="00DF641A" w:rsidRPr="0077198D">
        <w:rPr>
          <w:sz w:val="24"/>
          <w:szCs w:val="24"/>
        </w:rPr>
        <w:t>, meaning</w:t>
      </w:r>
      <w:r w:rsidRPr="0077198D">
        <w:rPr>
          <w:sz w:val="24"/>
          <w:szCs w:val="24"/>
        </w:rPr>
        <w:t xml:space="preserve"> oil, minerals, </w:t>
      </w:r>
      <w:r w:rsidR="00DF641A" w:rsidRPr="0077198D">
        <w:rPr>
          <w:sz w:val="24"/>
          <w:szCs w:val="24"/>
        </w:rPr>
        <w:t xml:space="preserve">or </w:t>
      </w:r>
      <w:r w:rsidRPr="0077198D">
        <w:rPr>
          <w:sz w:val="24"/>
          <w:szCs w:val="24"/>
        </w:rPr>
        <w:t>ag</w:t>
      </w:r>
      <w:r w:rsidR="00DF641A" w:rsidRPr="0077198D">
        <w:rPr>
          <w:sz w:val="24"/>
          <w:szCs w:val="24"/>
        </w:rPr>
        <w:t>ricultural products</w:t>
      </w:r>
      <w:r w:rsidRPr="0077198D">
        <w:rPr>
          <w:sz w:val="24"/>
          <w:szCs w:val="24"/>
        </w:rPr>
        <w:t xml:space="preserve">. </w:t>
      </w:r>
    </w:p>
    <w:p w14:paraId="1FA0E72B" w14:textId="2521F603" w:rsidR="0024501B" w:rsidRPr="0077198D" w:rsidRDefault="00DF641A" w:rsidP="00BA23D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7198D">
        <w:rPr>
          <w:rFonts w:cstheme="minorHAnsi"/>
          <w:color w:val="000000"/>
          <w:sz w:val="24"/>
          <w:szCs w:val="24"/>
          <w:shd w:val="clear" w:color="auto" w:fill="FFFFFF"/>
        </w:rPr>
        <w:t>For example,</w:t>
      </w:r>
      <w:r w:rsidR="0024501B"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the severe debt troubles facing Angola, </w:t>
      </w:r>
      <w:r w:rsidR="0024501B" w:rsidRPr="0077198D">
        <w:rPr>
          <w:rFonts w:cstheme="minorHAnsi"/>
          <w:color w:val="000000"/>
          <w:sz w:val="24"/>
          <w:szCs w:val="24"/>
          <w:shd w:val="clear" w:color="auto" w:fill="FFFFFF"/>
        </w:rPr>
        <w:t>Ecuador</w:t>
      </w:r>
      <w:r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</w:t>
      </w:r>
      <w:r w:rsidR="0024501B" w:rsidRPr="0077198D">
        <w:rPr>
          <w:rFonts w:cstheme="minorHAnsi"/>
          <w:color w:val="000000"/>
          <w:sz w:val="24"/>
          <w:szCs w:val="24"/>
          <w:shd w:val="clear" w:color="auto" w:fill="FFFFFF"/>
        </w:rPr>
        <w:t>Nigeria</w:t>
      </w:r>
      <w:r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, among other oil-exporters, are partly </w:t>
      </w:r>
      <w:r w:rsidR="00A67423"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due to </w:t>
      </w:r>
      <w:r w:rsidR="00E31582" w:rsidRPr="0077198D">
        <w:rPr>
          <w:rFonts w:cstheme="minorHAnsi"/>
          <w:color w:val="000000"/>
          <w:sz w:val="24"/>
          <w:szCs w:val="24"/>
          <w:shd w:val="clear" w:color="auto" w:fill="FFFFFF"/>
        </w:rPr>
        <w:t>declines</w:t>
      </w:r>
      <w:r w:rsidR="00A67423"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 in oil prices</w:t>
      </w:r>
      <w:r w:rsidR="00E31582"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 in 2014 and </w:t>
      </w:r>
      <w:r w:rsidRPr="0077198D">
        <w:rPr>
          <w:rFonts w:cstheme="minorHAnsi"/>
          <w:color w:val="000000"/>
          <w:sz w:val="24"/>
          <w:szCs w:val="24"/>
          <w:shd w:val="clear" w:color="auto" w:fill="FFFFFF"/>
        </w:rPr>
        <w:t>March-April of this year</w:t>
      </w:r>
      <w:r w:rsidR="00F32C5E">
        <w:rPr>
          <w:rFonts w:cstheme="minorHAnsi"/>
          <w:color w:val="000000"/>
          <w:sz w:val="24"/>
          <w:szCs w:val="24"/>
          <w:shd w:val="clear" w:color="auto" w:fill="FFFFFF"/>
        </w:rPr>
        <w:t>, which sharply raised their ratios of debt service to export revenue</w:t>
      </w:r>
      <w:r w:rsidR="0024501B" w:rsidRPr="0077198D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4960CBE4" w14:textId="2F921CC0" w:rsidR="007A55A1" w:rsidRPr="0077198D" w:rsidRDefault="00BA23DD" w:rsidP="007A55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 xml:space="preserve">Oil-exporting countries, rather than borrowing exclusively in terms of </w:t>
      </w:r>
      <w:r w:rsidR="00DF641A" w:rsidRPr="0077198D">
        <w:rPr>
          <w:sz w:val="24"/>
          <w:szCs w:val="24"/>
        </w:rPr>
        <w:t>any currency</w:t>
      </w:r>
      <w:r w:rsidRPr="0077198D">
        <w:rPr>
          <w:sz w:val="24"/>
          <w:szCs w:val="24"/>
        </w:rPr>
        <w:t xml:space="preserve">, should </w:t>
      </w:r>
      <w:r w:rsidR="00DF641A" w:rsidRPr="0077198D">
        <w:rPr>
          <w:sz w:val="24"/>
          <w:szCs w:val="24"/>
        </w:rPr>
        <w:t>denominate some bonds (or bank loans) i</w:t>
      </w:r>
      <w:r w:rsidRPr="0077198D">
        <w:rPr>
          <w:sz w:val="24"/>
          <w:szCs w:val="24"/>
        </w:rPr>
        <w:t xml:space="preserve">n terms linked to the world price of oil.  </w:t>
      </w:r>
    </w:p>
    <w:p w14:paraId="1BB39579" w14:textId="30541C84" w:rsidR="00D34542" w:rsidRPr="00F32C5E" w:rsidRDefault="007A55A1" w:rsidP="00D345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C5E">
        <w:rPr>
          <w:sz w:val="24"/>
          <w:szCs w:val="24"/>
        </w:rPr>
        <w:t xml:space="preserve">The proposal to </w:t>
      </w:r>
      <w:r w:rsidR="00DF641A" w:rsidRPr="00F32C5E">
        <w:rPr>
          <w:sz w:val="24"/>
          <w:szCs w:val="24"/>
        </w:rPr>
        <w:t>borrow</w:t>
      </w:r>
      <w:r w:rsidRPr="00F32C5E">
        <w:rPr>
          <w:sz w:val="24"/>
          <w:szCs w:val="24"/>
        </w:rPr>
        <w:t xml:space="preserve"> in terms of oil</w:t>
      </w:r>
      <w:r w:rsidRPr="00F32C5E">
        <w:rPr>
          <w:sz w:val="24"/>
          <w:szCs w:val="24"/>
        </w:rPr>
        <w:t xml:space="preserve"> would </w:t>
      </w:r>
      <w:r w:rsidR="00A67423" w:rsidRPr="00F32C5E">
        <w:rPr>
          <w:sz w:val="24"/>
          <w:szCs w:val="24"/>
        </w:rPr>
        <w:t xml:space="preserve">automatically stabilize their Debt/Export ratio in the presence of oil shocks.  </w:t>
      </w:r>
    </w:p>
    <w:p w14:paraId="29D9EA57" w14:textId="28C524F3" w:rsidR="007115C0" w:rsidRPr="0077198D" w:rsidRDefault="002A2EFC" w:rsidP="007115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>Similarly,</w:t>
      </w:r>
      <w:r w:rsidR="007115C0" w:rsidRPr="0077198D">
        <w:rPr>
          <w:sz w:val="24"/>
          <w:szCs w:val="24"/>
        </w:rPr>
        <w:t xml:space="preserve"> for countries that export minerals and other commodities.</w:t>
      </w:r>
    </w:p>
    <w:p w14:paraId="435F41C0" w14:textId="12CB6554" w:rsidR="00C866A9" w:rsidRPr="0077198D" w:rsidRDefault="00C866A9" w:rsidP="00C866A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>Zambia</w:t>
      </w:r>
      <w:r w:rsidR="00D33312" w:rsidRPr="0077198D">
        <w:rPr>
          <w:sz w:val="24"/>
          <w:szCs w:val="24"/>
        </w:rPr>
        <w:t xml:space="preserve"> could borrow in terms of</w:t>
      </w:r>
      <w:r w:rsidRPr="0077198D">
        <w:rPr>
          <w:sz w:val="24"/>
          <w:szCs w:val="24"/>
        </w:rPr>
        <w:t xml:space="preserve"> copper</w:t>
      </w:r>
    </w:p>
    <w:p w14:paraId="3E433499" w14:textId="02A8F243" w:rsidR="00C866A9" w:rsidRPr="0077198D" w:rsidRDefault="00C866A9" w:rsidP="00C866A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>Argentina</w:t>
      </w:r>
      <w:r w:rsidR="00D33312" w:rsidRPr="0077198D">
        <w:rPr>
          <w:sz w:val="24"/>
          <w:szCs w:val="24"/>
        </w:rPr>
        <w:t xml:space="preserve"> could borrow in terms of</w:t>
      </w:r>
      <w:r w:rsidRPr="0077198D">
        <w:rPr>
          <w:sz w:val="24"/>
          <w:szCs w:val="24"/>
        </w:rPr>
        <w:t xml:space="preserve"> wheat…</w:t>
      </w:r>
      <w:r w:rsidR="00D33312" w:rsidRPr="0077198D">
        <w:rPr>
          <w:sz w:val="24"/>
          <w:szCs w:val="24"/>
        </w:rPr>
        <w:t xml:space="preserve"> and so on.</w:t>
      </w:r>
    </w:p>
    <w:p w14:paraId="790DC4CD" w14:textId="5040ED13" w:rsidR="00BA23DD" w:rsidRPr="0077198D" w:rsidRDefault="00BA23DD" w:rsidP="00BA23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 xml:space="preserve">When </w:t>
      </w:r>
      <w:r w:rsidR="00DD1321" w:rsidRPr="0077198D">
        <w:rPr>
          <w:sz w:val="24"/>
          <w:szCs w:val="24"/>
        </w:rPr>
        <w:t xml:space="preserve">asked about </w:t>
      </w:r>
      <w:r w:rsidRPr="0077198D">
        <w:rPr>
          <w:sz w:val="24"/>
          <w:szCs w:val="24"/>
        </w:rPr>
        <w:t>this proposal</w:t>
      </w:r>
      <w:r w:rsidR="00DD1321" w:rsidRPr="0077198D">
        <w:rPr>
          <w:sz w:val="24"/>
          <w:szCs w:val="24"/>
        </w:rPr>
        <w:t xml:space="preserve">, </w:t>
      </w:r>
      <w:r w:rsidRPr="0077198D">
        <w:rPr>
          <w:sz w:val="24"/>
          <w:szCs w:val="24"/>
        </w:rPr>
        <w:t>government officials sometimes ask: But who would buy such bonds?</w:t>
      </w:r>
    </w:p>
    <w:p w14:paraId="71534943" w14:textId="77777777" w:rsidR="00A45DA4" w:rsidRPr="0077198D" w:rsidRDefault="00A45DA4" w:rsidP="00A45D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>There is a good a</w:t>
      </w:r>
      <w:r w:rsidR="00BA23DD" w:rsidRPr="0077198D">
        <w:rPr>
          <w:sz w:val="24"/>
          <w:szCs w:val="24"/>
        </w:rPr>
        <w:t>nswer</w:t>
      </w:r>
      <w:r w:rsidRPr="0077198D">
        <w:rPr>
          <w:sz w:val="24"/>
          <w:szCs w:val="24"/>
        </w:rPr>
        <w:t xml:space="preserve"> to this question.  N</w:t>
      </w:r>
      <w:r w:rsidR="00BA23DD" w:rsidRPr="0077198D">
        <w:rPr>
          <w:sz w:val="24"/>
          <w:szCs w:val="24"/>
        </w:rPr>
        <w:t xml:space="preserve">atural </w:t>
      </w:r>
      <w:r w:rsidR="00D33312" w:rsidRPr="0077198D">
        <w:rPr>
          <w:sz w:val="24"/>
          <w:szCs w:val="24"/>
        </w:rPr>
        <w:t xml:space="preserve">ultimate </w:t>
      </w:r>
      <w:r w:rsidR="00BA23DD" w:rsidRPr="0077198D">
        <w:rPr>
          <w:sz w:val="24"/>
          <w:szCs w:val="24"/>
        </w:rPr>
        <w:t xml:space="preserve">customers </w:t>
      </w:r>
      <w:r w:rsidRPr="0077198D">
        <w:rPr>
          <w:sz w:val="24"/>
          <w:szCs w:val="24"/>
        </w:rPr>
        <w:t xml:space="preserve">exist </w:t>
      </w:r>
      <w:r w:rsidR="00BA23DD" w:rsidRPr="0077198D">
        <w:rPr>
          <w:sz w:val="24"/>
          <w:szCs w:val="24"/>
        </w:rPr>
        <w:t xml:space="preserve">for oil bonds, copper bonds, </w:t>
      </w:r>
      <w:r w:rsidRPr="0077198D">
        <w:rPr>
          <w:sz w:val="24"/>
          <w:szCs w:val="24"/>
        </w:rPr>
        <w:t xml:space="preserve">and </w:t>
      </w:r>
      <w:r w:rsidR="0024501B" w:rsidRPr="0077198D">
        <w:rPr>
          <w:sz w:val="24"/>
          <w:szCs w:val="24"/>
        </w:rPr>
        <w:t>wheat</w:t>
      </w:r>
      <w:r w:rsidR="00BA23DD" w:rsidRPr="0077198D">
        <w:rPr>
          <w:sz w:val="24"/>
          <w:szCs w:val="24"/>
        </w:rPr>
        <w:t xml:space="preserve"> bonds</w:t>
      </w:r>
      <w:r w:rsidR="007115C0" w:rsidRPr="0077198D">
        <w:rPr>
          <w:sz w:val="24"/>
          <w:szCs w:val="24"/>
        </w:rPr>
        <w:t>.</w:t>
      </w:r>
      <w:r w:rsidR="004A2B7A" w:rsidRPr="0077198D">
        <w:rPr>
          <w:sz w:val="24"/>
          <w:szCs w:val="24"/>
        </w:rPr>
        <w:t xml:space="preserve"> </w:t>
      </w:r>
      <w:r w:rsidR="004A2B7A" w:rsidRPr="0077198D">
        <w:rPr>
          <w:sz w:val="24"/>
          <w:szCs w:val="24"/>
        </w:rPr>
        <w:t xml:space="preserve">Airlines </w:t>
      </w:r>
      <w:r w:rsidRPr="0077198D">
        <w:rPr>
          <w:sz w:val="24"/>
          <w:szCs w:val="24"/>
        </w:rPr>
        <w:t>and</w:t>
      </w:r>
      <w:r w:rsidR="004A2B7A" w:rsidRPr="0077198D">
        <w:rPr>
          <w:sz w:val="24"/>
          <w:szCs w:val="24"/>
        </w:rPr>
        <w:t xml:space="preserve"> </w:t>
      </w:r>
      <w:r w:rsidRPr="0077198D">
        <w:rPr>
          <w:sz w:val="24"/>
          <w:szCs w:val="24"/>
        </w:rPr>
        <w:t xml:space="preserve">electric </w:t>
      </w:r>
      <w:r w:rsidR="004A2B7A" w:rsidRPr="0077198D">
        <w:rPr>
          <w:sz w:val="24"/>
          <w:szCs w:val="24"/>
        </w:rPr>
        <w:t xml:space="preserve">power companies have reason to go long in oil, </w:t>
      </w:r>
      <w:r w:rsidR="006953EB" w:rsidRPr="0077198D">
        <w:rPr>
          <w:sz w:val="24"/>
          <w:szCs w:val="24"/>
        </w:rPr>
        <w:t xml:space="preserve">manufacturers of electrical equipment </w:t>
      </w:r>
      <w:r w:rsidRPr="0077198D">
        <w:rPr>
          <w:sz w:val="24"/>
          <w:szCs w:val="24"/>
        </w:rPr>
        <w:t xml:space="preserve">have reason </w:t>
      </w:r>
      <w:r w:rsidR="004A2B7A" w:rsidRPr="0077198D">
        <w:rPr>
          <w:sz w:val="24"/>
          <w:szCs w:val="24"/>
        </w:rPr>
        <w:t xml:space="preserve">to go long in </w:t>
      </w:r>
      <w:r w:rsidR="006953EB" w:rsidRPr="0077198D">
        <w:rPr>
          <w:sz w:val="24"/>
          <w:szCs w:val="24"/>
        </w:rPr>
        <w:t xml:space="preserve">copper, </w:t>
      </w:r>
      <w:r w:rsidR="001A2015" w:rsidRPr="0077198D">
        <w:rPr>
          <w:sz w:val="24"/>
          <w:szCs w:val="24"/>
        </w:rPr>
        <w:t xml:space="preserve">flour mills </w:t>
      </w:r>
      <w:r w:rsidR="006953EB" w:rsidRPr="0077198D">
        <w:rPr>
          <w:sz w:val="24"/>
          <w:szCs w:val="24"/>
        </w:rPr>
        <w:t xml:space="preserve">to go long in wheat, etc. </w:t>
      </w:r>
      <w:r w:rsidRPr="0077198D">
        <w:rPr>
          <w:sz w:val="24"/>
          <w:szCs w:val="24"/>
        </w:rPr>
        <w:t xml:space="preserve"> </w:t>
      </w:r>
    </w:p>
    <w:p w14:paraId="650C89DB" w14:textId="789E7393" w:rsidR="00A45DA4" w:rsidRPr="0077198D" w:rsidRDefault="00A45DA4" w:rsidP="00DA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 xml:space="preserve">Such firms are ultimate customers in the sense that they would not be expected to buy the bonds directly or even to accept the credit-risk component.  </w:t>
      </w:r>
      <w:r w:rsidR="00DA22B7" w:rsidRPr="0077198D">
        <w:rPr>
          <w:sz w:val="24"/>
          <w:szCs w:val="24"/>
        </w:rPr>
        <w:t xml:space="preserve">Rather, </w:t>
      </w:r>
      <w:r w:rsidRPr="0077198D">
        <w:rPr>
          <w:sz w:val="24"/>
          <w:szCs w:val="24"/>
        </w:rPr>
        <w:t>multilateral development banks</w:t>
      </w:r>
      <w:r w:rsidR="00DA22B7" w:rsidRPr="0077198D">
        <w:rPr>
          <w:sz w:val="24"/>
          <w:szCs w:val="24"/>
        </w:rPr>
        <w:t xml:space="preserve"> or</w:t>
      </w:r>
      <w:r w:rsidRPr="0077198D">
        <w:rPr>
          <w:sz w:val="24"/>
          <w:szCs w:val="24"/>
        </w:rPr>
        <w:t xml:space="preserve"> private </w:t>
      </w:r>
      <w:r w:rsidR="00DA22B7" w:rsidRPr="0077198D">
        <w:rPr>
          <w:sz w:val="24"/>
          <w:szCs w:val="24"/>
        </w:rPr>
        <w:t xml:space="preserve">financial institutions would intermediate, keeping the credit risk but off-loading the commodity risk.  One application of the idea is to </w:t>
      </w:r>
      <w:r w:rsidR="00DA22B7" w:rsidRPr="0077198D">
        <w:rPr>
          <w:sz w:val="24"/>
          <w:szCs w:val="24"/>
        </w:rPr>
        <w:t>a troubled borrower such as Argentina or Ecuador</w:t>
      </w:r>
      <w:r w:rsidR="00DA22B7" w:rsidRPr="0077198D">
        <w:rPr>
          <w:sz w:val="24"/>
          <w:szCs w:val="24"/>
        </w:rPr>
        <w:t xml:space="preserve">: the switch </w:t>
      </w:r>
      <w:r w:rsidR="002A2EFC" w:rsidRPr="0077198D">
        <w:rPr>
          <w:sz w:val="24"/>
          <w:szCs w:val="24"/>
        </w:rPr>
        <w:t>to commodity</w:t>
      </w:r>
      <w:r w:rsidR="00DA22B7" w:rsidRPr="0077198D">
        <w:rPr>
          <w:sz w:val="24"/>
          <w:szCs w:val="24"/>
        </w:rPr>
        <w:t>-denomination would take place as part of a restructuring of existing debt.</w:t>
      </w:r>
    </w:p>
    <w:p w14:paraId="4F428491" w14:textId="77777777" w:rsidR="00F32C5E" w:rsidRDefault="007115C0" w:rsidP="00A45D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>GDP-indexed</w:t>
      </w:r>
      <w:r w:rsidR="00907852" w:rsidRPr="0077198D">
        <w:rPr>
          <w:sz w:val="24"/>
          <w:szCs w:val="24"/>
        </w:rPr>
        <w:t xml:space="preserve"> bonds</w:t>
      </w:r>
      <w:r w:rsidR="00DA22B7" w:rsidRPr="0077198D">
        <w:rPr>
          <w:sz w:val="24"/>
          <w:szCs w:val="24"/>
        </w:rPr>
        <w:t xml:space="preserve"> are a</w:t>
      </w:r>
      <w:r w:rsidR="00DA22B7" w:rsidRPr="0077198D">
        <w:rPr>
          <w:sz w:val="24"/>
          <w:szCs w:val="24"/>
        </w:rPr>
        <w:t>n alternative</w:t>
      </w:r>
      <w:r w:rsidR="00DA22B7" w:rsidRPr="0077198D">
        <w:rPr>
          <w:sz w:val="24"/>
          <w:szCs w:val="24"/>
        </w:rPr>
        <w:t xml:space="preserve"> that</w:t>
      </w:r>
      <w:r w:rsidR="00A45DA4" w:rsidRPr="0077198D">
        <w:rPr>
          <w:sz w:val="24"/>
          <w:szCs w:val="24"/>
        </w:rPr>
        <w:t xml:space="preserve"> has been discussed more </w:t>
      </w:r>
      <w:proofErr w:type="gramStart"/>
      <w:r w:rsidR="00A45DA4" w:rsidRPr="0077198D">
        <w:rPr>
          <w:sz w:val="24"/>
          <w:szCs w:val="24"/>
        </w:rPr>
        <w:t>widely, and</w:t>
      </w:r>
      <w:proofErr w:type="gramEnd"/>
      <w:r w:rsidR="00A45DA4" w:rsidRPr="0077198D">
        <w:rPr>
          <w:sz w:val="24"/>
          <w:szCs w:val="24"/>
        </w:rPr>
        <w:t xml:space="preserve"> was</w:t>
      </w:r>
      <w:r w:rsidR="001542F9" w:rsidRPr="0077198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1542F9" w:rsidRPr="0077198D">
        <w:rPr>
          <w:rFonts w:cstheme="minorHAnsi"/>
          <w:color w:val="202122"/>
          <w:sz w:val="24"/>
          <w:szCs w:val="24"/>
          <w:shd w:val="clear" w:color="auto" w:fill="FFFFFF"/>
        </w:rPr>
        <w:t xml:space="preserve">tried by </w:t>
      </w:r>
      <w:r w:rsidR="001542F9" w:rsidRPr="0077198D">
        <w:rPr>
          <w:rFonts w:cstheme="minorHAnsi"/>
          <w:color w:val="202122"/>
          <w:sz w:val="24"/>
          <w:szCs w:val="24"/>
          <w:shd w:val="clear" w:color="auto" w:fill="FFFFFF"/>
        </w:rPr>
        <w:t xml:space="preserve">Argentina </w:t>
      </w:r>
      <w:r w:rsidR="001542F9" w:rsidRPr="0077198D">
        <w:rPr>
          <w:rFonts w:cstheme="minorHAnsi"/>
          <w:color w:val="202122"/>
          <w:sz w:val="24"/>
          <w:szCs w:val="24"/>
          <w:shd w:val="clear" w:color="auto" w:fill="FFFFFF"/>
        </w:rPr>
        <w:t xml:space="preserve">in </w:t>
      </w:r>
      <w:r w:rsidR="001542F9" w:rsidRPr="0077198D">
        <w:rPr>
          <w:rFonts w:cstheme="minorHAnsi"/>
          <w:color w:val="202122"/>
          <w:sz w:val="24"/>
          <w:szCs w:val="24"/>
          <w:shd w:val="clear" w:color="auto" w:fill="FFFFFF"/>
        </w:rPr>
        <w:t xml:space="preserve">2002 as </w:t>
      </w:r>
      <w:r w:rsidR="0077198D" w:rsidRPr="0077198D">
        <w:rPr>
          <w:rFonts w:cstheme="minorHAnsi"/>
          <w:color w:val="202122"/>
          <w:sz w:val="24"/>
          <w:szCs w:val="24"/>
          <w:shd w:val="clear" w:color="auto" w:fill="FFFFFF"/>
        </w:rPr>
        <w:t>a component</w:t>
      </w:r>
      <w:r w:rsidR="001542F9" w:rsidRPr="0077198D">
        <w:rPr>
          <w:rFonts w:cstheme="minorHAnsi"/>
          <w:color w:val="202122"/>
          <w:sz w:val="24"/>
          <w:szCs w:val="24"/>
          <w:shd w:val="clear" w:color="auto" w:fill="FFFFFF"/>
        </w:rPr>
        <w:t xml:space="preserve"> of debt-restructuring</w:t>
      </w:r>
      <w:r w:rsidR="00F34F2E" w:rsidRPr="0077198D">
        <w:rPr>
          <w:rFonts w:cstheme="minorHAnsi"/>
          <w:color w:val="202122"/>
          <w:sz w:val="24"/>
          <w:szCs w:val="24"/>
          <w:shd w:val="clear" w:color="auto" w:fill="FFFFFF"/>
        </w:rPr>
        <w:t>.</w:t>
      </w:r>
      <w:r w:rsidR="00907852" w:rsidRPr="0077198D">
        <w:rPr>
          <w:sz w:val="24"/>
          <w:szCs w:val="24"/>
        </w:rPr>
        <w:t xml:space="preserve">  </w:t>
      </w:r>
      <w:r w:rsidR="00A45DA4" w:rsidRPr="0077198D">
        <w:rPr>
          <w:sz w:val="24"/>
          <w:szCs w:val="24"/>
        </w:rPr>
        <w:t>But</w:t>
      </w:r>
      <w:r w:rsidR="00907852" w:rsidRPr="0077198D">
        <w:rPr>
          <w:sz w:val="24"/>
          <w:szCs w:val="24"/>
        </w:rPr>
        <w:t xml:space="preserve"> commodity bonds should </w:t>
      </w:r>
      <w:r w:rsidR="00A45DA4" w:rsidRPr="0077198D">
        <w:rPr>
          <w:sz w:val="24"/>
          <w:szCs w:val="24"/>
        </w:rPr>
        <w:t xml:space="preserve">logically </w:t>
      </w:r>
      <w:r w:rsidR="00907852" w:rsidRPr="0077198D">
        <w:rPr>
          <w:sz w:val="24"/>
          <w:szCs w:val="24"/>
        </w:rPr>
        <w:t>be “an easier sell” than GDP-linked bonds</w:t>
      </w:r>
      <w:r w:rsidR="00DA22B7" w:rsidRPr="0077198D">
        <w:rPr>
          <w:sz w:val="24"/>
          <w:szCs w:val="24"/>
        </w:rPr>
        <w:t>:</w:t>
      </w:r>
      <w:r w:rsidR="00907852" w:rsidRPr="0077198D">
        <w:rPr>
          <w:sz w:val="24"/>
          <w:szCs w:val="24"/>
        </w:rPr>
        <w:t xml:space="preserve"> </w:t>
      </w:r>
    </w:p>
    <w:p w14:paraId="69C95378" w14:textId="77777777" w:rsidR="00F32C5E" w:rsidRDefault="00907852" w:rsidP="00F32C5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 xml:space="preserve">(1) </w:t>
      </w:r>
      <w:r w:rsidRPr="0077198D">
        <w:rPr>
          <w:sz w:val="24"/>
          <w:szCs w:val="24"/>
        </w:rPr>
        <w:t>they have natural customers</w:t>
      </w:r>
      <w:r w:rsidR="00F34F2E" w:rsidRPr="0077198D">
        <w:rPr>
          <w:sz w:val="24"/>
          <w:szCs w:val="24"/>
        </w:rPr>
        <w:t>;</w:t>
      </w:r>
      <w:r w:rsidRPr="0077198D">
        <w:rPr>
          <w:sz w:val="24"/>
          <w:szCs w:val="24"/>
        </w:rPr>
        <w:t xml:space="preserve"> </w:t>
      </w:r>
      <w:r w:rsidR="00DD1321" w:rsidRPr="0077198D">
        <w:rPr>
          <w:sz w:val="24"/>
          <w:szCs w:val="24"/>
        </w:rPr>
        <w:t xml:space="preserve"> </w:t>
      </w:r>
    </w:p>
    <w:p w14:paraId="2CC5DA90" w14:textId="53C88DF9" w:rsidR="004C5360" w:rsidRPr="0077198D" w:rsidRDefault="00907852" w:rsidP="00F32C5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 xml:space="preserve">(2) </w:t>
      </w:r>
      <w:r w:rsidR="00F32C5E">
        <w:rPr>
          <w:sz w:val="24"/>
          <w:szCs w:val="24"/>
        </w:rPr>
        <w:t>and t</w:t>
      </w:r>
      <w:r w:rsidRPr="0077198D">
        <w:rPr>
          <w:sz w:val="24"/>
          <w:szCs w:val="24"/>
        </w:rPr>
        <w:t xml:space="preserve">he </w:t>
      </w:r>
      <w:r w:rsidR="001542F9" w:rsidRPr="0077198D">
        <w:rPr>
          <w:sz w:val="24"/>
          <w:szCs w:val="24"/>
        </w:rPr>
        <w:t>dollar</w:t>
      </w:r>
      <w:r w:rsidRPr="0077198D">
        <w:rPr>
          <w:sz w:val="24"/>
          <w:szCs w:val="24"/>
        </w:rPr>
        <w:t xml:space="preserve"> </w:t>
      </w:r>
      <w:r w:rsidRPr="0077198D">
        <w:rPr>
          <w:sz w:val="24"/>
          <w:szCs w:val="24"/>
        </w:rPr>
        <w:t xml:space="preserve">commodity price is not </w:t>
      </w:r>
      <w:r w:rsidR="001542F9" w:rsidRPr="0077198D">
        <w:rPr>
          <w:sz w:val="24"/>
          <w:szCs w:val="24"/>
        </w:rPr>
        <w:t xml:space="preserve">liable to </w:t>
      </w:r>
      <w:r w:rsidRPr="0077198D">
        <w:rPr>
          <w:sz w:val="24"/>
          <w:szCs w:val="24"/>
        </w:rPr>
        <w:t>subsequent</w:t>
      </w:r>
      <w:r w:rsidR="001542F9" w:rsidRPr="0077198D">
        <w:rPr>
          <w:sz w:val="24"/>
          <w:szCs w:val="24"/>
        </w:rPr>
        <w:t xml:space="preserve"> revision or mismeasurement as are </w:t>
      </w:r>
      <w:r w:rsidRPr="0077198D">
        <w:rPr>
          <w:sz w:val="24"/>
          <w:szCs w:val="24"/>
        </w:rPr>
        <w:t>GDP statistics.</w:t>
      </w:r>
    </w:p>
    <w:p w14:paraId="7DF2E4AD" w14:textId="6ED46233" w:rsidR="00C05989" w:rsidRPr="00F32C5E" w:rsidRDefault="004C5360" w:rsidP="00F32C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198D">
        <w:rPr>
          <w:sz w:val="24"/>
          <w:szCs w:val="24"/>
        </w:rPr>
        <w:t>So, for the relevant countries, particularly in Latin America, Africa and Middle East, commodity bonds might be a good option.</w:t>
      </w:r>
      <w:r w:rsidR="00F34F2E" w:rsidRPr="0077198D">
        <w:rPr>
          <w:sz w:val="24"/>
          <w:szCs w:val="24"/>
        </w:rPr>
        <w:br/>
      </w:r>
    </w:p>
    <w:p w14:paraId="125E3668" w14:textId="0D877D1B" w:rsidR="00C05989" w:rsidRPr="0077198D" w:rsidRDefault="00C05989" w:rsidP="00C05989">
      <w:pPr>
        <w:pStyle w:val="ListParagraph"/>
        <w:rPr>
          <w:rFonts w:cstheme="minorHAnsi"/>
          <w:sz w:val="24"/>
          <w:szCs w:val="24"/>
        </w:rPr>
      </w:pPr>
      <w:r w:rsidRPr="0077198D">
        <w:rPr>
          <w:rFonts w:cstheme="minorHAnsi"/>
          <w:sz w:val="24"/>
          <w:szCs w:val="24"/>
        </w:rPr>
        <w:t xml:space="preserve">Frankel references: </w:t>
      </w:r>
      <w:r w:rsidRPr="0077198D">
        <w:rPr>
          <w:rFonts w:cstheme="minorHAnsi"/>
          <w:sz w:val="24"/>
          <w:szCs w:val="24"/>
        </w:rPr>
        <w:br/>
      </w:r>
      <w:r w:rsidR="00A90C32" w:rsidRPr="0077198D">
        <w:rPr>
          <w:rFonts w:cstheme="minorHAnsi"/>
          <w:color w:val="1E1E1E"/>
          <w:sz w:val="24"/>
          <w:szCs w:val="24"/>
          <w:shd w:val="clear" w:color="auto" w:fill="FFFFFF"/>
        </w:rPr>
        <w:t xml:space="preserve">-- </w:t>
      </w:r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 xml:space="preserve">2018, </w:t>
      </w:r>
      <w:r w:rsidRPr="0077198D">
        <w:rPr>
          <w:rFonts w:cstheme="minorHAnsi"/>
          <w:color w:val="1E1E1E"/>
          <w:sz w:val="24"/>
          <w:szCs w:val="24"/>
          <w:shd w:val="clear" w:color="auto" w:fill="FFFFFF"/>
        </w:rPr>
        <w:t>"</w:t>
      </w:r>
      <w:hyperlink r:id="rId5" w:history="1">
        <w:r w:rsidRPr="0077198D">
          <w:rPr>
            <w:rStyle w:val="Hyperlink"/>
            <w:rFonts w:cstheme="minorHAnsi"/>
            <w:color w:val="215990"/>
            <w:sz w:val="24"/>
            <w:szCs w:val="24"/>
            <w:shd w:val="clear" w:color="auto" w:fill="FFFFFF"/>
          </w:rPr>
          <w:t>How to Cope with Volatile Commodity Export Prices: Three Proposals</w:t>
        </w:r>
      </w:hyperlink>
      <w:r w:rsidRPr="0077198D">
        <w:rPr>
          <w:rFonts w:cstheme="minorHAnsi"/>
          <w:color w:val="1E1E1E"/>
          <w:sz w:val="24"/>
          <w:szCs w:val="24"/>
          <w:shd w:val="clear" w:color="auto" w:fill="FFFFFF"/>
        </w:rPr>
        <w:t xml:space="preserve">," In: R </w:t>
      </w:r>
      <w:r w:rsidR="00D34542" w:rsidRPr="0077198D">
        <w:rPr>
          <w:rFonts w:cstheme="minorHAnsi"/>
          <w:color w:val="1E1E1E"/>
          <w:sz w:val="24"/>
          <w:szCs w:val="24"/>
          <w:shd w:val="clear" w:color="auto" w:fill="FFFFFF"/>
        </w:rPr>
        <w:t>Aerie</w:t>
      </w:r>
      <w:r w:rsidR="00A90C32" w:rsidRPr="0077198D">
        <w:rPr>
          <w:rFonts w:cstheme="minorHAnsi"/>
          <w:color w:val="1E1E1E"/>
          <w:sz w:val="24"/>
          <w:szCs w:val="24"/>
          <w:shd w:val="clear" w:color="auto" w:fill="FFFFFF"/>
        </w:rPr>
        <w:t xml:space="preserve"> &amp;</w:t>
      </w:r>
      <w:r w:rsidRPr="0077198D">
        <w:rPr>
          <w:rFonts w:cstheme="minorHAnsi"/>
          <w:color w:val="1E1E1E"/>
          <w:sz w:val="24"/>
          <w:szCs w:val="24"/>
          <w:shd w:val="clear" w:color="auto" w:fill="FFFFFF"/>
        </w:rPr>
        <w:t xml:space="preserve"> R. Boucekkine, editors,</w:t>
      </w:r>
      <w:r w:rsidRPr="0077198D">
        <w:rPr>
          <w:rStyle w:val="Emphasis"/>
          <w:rFonts w:cstheme="minorHAnsi"/>
          <w:color w:val="1E1E1E"/>
          <w:sz w:val="24"/>
          <w:szCs w:val="24"/>
          <w:shd w:val="clear" w:color="auto" w:fill="FFFFFF"/>
        </w:rPr>
        <w:t> Rethinking the Macroeconomics of Resource-Rich Countries.</w:t>
      </w:r>
      <w:r w:rsidRPr="0077198D">
        <w:rPr>
          <w:rFonts w:cstheme="minorHAnsi"/>
          <w:color w:val="1E1E1E"/>
          <w:sz w:val="24"/>
          <w:szCs w:val="24"/>
          <w:shd w:val="clear" w:color="auto" w:fill="FFFFFF"/>
        </w:rPr>
        <w:t> (</w:t>
      </w:r>
      <w:r w:rsidRPr="0077198D">
        <w:rPr>
          <w:rFonts w:cstheme="minorHAnsi"/>
          <w:color w:val="1E1E1E"/>
          <w:sz w:val="24"/>
          <w:szCs w:val="24"/>
          <w:shd w:val="clear" w:color="auto" w:fill="FFFFFF"/>
        </w:rPr>
        <w:t>CEPR</w:t>
      </w:r>
      <w:r w:rsidRPr="0077198D">
        <w:rPr>
          <w:rFonts w:cstheme="minorHAnsi"/>
          <w:color w:val="1E1E1E"/>
          <w:sz w:val="24"/>
          <w:szCs w:val="24"/>
          <w:shd w:val="clear" w:color="auto" w:fill="FFFFFF"/>
        </w:rPr>
        <w:t>)</w:t>
      </w:r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.</w:t>
      </w:r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br/>
      </w:r>
      <w:r w:rsidR="00A90C32" w:rsidRPr="0077198D">
        <w:rPr>
          <w:rFonts w:cstheme="minorHAnsi"/>
          <w:color w:val="1E1E1E"/>
          <w:sz w:val="24"/>
          <w:szCs w:val="24"/>
          <w:shd w:val="clear" w:color="auto" w:fill="FFFFFF"/>
        </w:rPr>
        <w:t xml:space="preserve">-- </w:t>
      </w:r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 xml:space="preserve">2011, </w:t>
      </w:r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"</w:t>
      </w:r>
      <w:hyperlink r:id="rId6" w:history="1">
        <w:r w:rsidR="008F54D0" w:rsidRPr="0077198D">
          <w:rPr>
            <w:rStyle w:val="Hyperlink"/>
            <w:rFonts w:cstheme="minorHAnsi"/>
            <w:color w:val="215990"/>
            <w:sz w:val="24"/>
            <w:szCs w:val="24"/>
            <w:shd w:val="clear" w:color="auto" w:fill="FFFFFF"/>
          </w:rPr>
          <w:t>Barrels, Bushels and Bonds</w:t>
        </w:r>
      </w:hyperlink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: </w:t>
      </w:r>
      <w:hyperlink r:id="rId7" w:history="1">
        <w:r w:rsidR="008F54D0" w:rsidRPr="0077198D">
          <w:rPr>
            <w:rStyle w:val="Hyperlink"/>
            <w:rFonts w:cstheme="minorHAnsi"/>
            <w:color w:val="215990"/>
            <w:sz w:val="24"/>
            <w:szCs w:val="24"/>
            <w:shd w:val="clear" w:color="auto" w:fill="FFFFFF"/>
          </w:rPr>
          <w:t>How Commodity Exporters Can Hedge Volatility</w:t>
        </w:r>
      </w:hyperlink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,"  </w:t>
      </w:r>
      <w:hyperlink r:id="rId8" w:history="1">
        <w:r w:rsidR="008F54D0" w:rsidRPr="0077198D">
          <w:rPr>
            <w:rStyle w:val="Hyperlink"/>
            <w:rFonts w:cstheme="minorHAnsi"/>
            <w:i/>
            <w:iCs/>
            <w:color w:val="215990"/>
            <w:sz w:val="24"/>
            <w:szCs w:val="24"/>
            <w:shd w:val="clear" w:color="auto" w:fill="FFFFFF"/>
          </w:rPr>
          <w:t>Project Syndicate</w:t>
        </w:r>
      </w:hyperlink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, Oct</w:t>
      </w:r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.</w:t>
      </w:r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17.  E.g., </w:t>
      </w:r>
      <w:hyperlink r:id="rId9" w:history="1">
        <w:r w:rsidR="008F54D0" w:rsidRPr="0077198D">
          <w:rPr>
            <w:rStyle w:val="Hyperlink"/>
            <w:rFonts w:cstheme="minorHAnsi"/>
            <w:i/>
            <w:iCs/>
            <w:color w:val="215990"/>
            <w:sz w:val="24"/>
            <w:szCs w:val="24"/>
            <w:shd w:val="clear" w:color="auto" w:fill="FFFFFF"/>
          </w:rPr>
          <w:t>Korea Herald</w:t>
        </w:r>
      </w:hyperlink>
      <w:r w:rsidR="008F54D0" w:rsidRPr="0077198D">
        <w:rPr>
          <w:rFonts w:cstheme="minorHAnsi"/>
          <w:color w:val="1E1E1E"/>
          <w:sz w:val="24"/>
          <w:szCs w:val="24"/>
          <w:shd w:val="clear" w:color="auto" w:fill="FFFFFF"/>
        </w:rPr>
        <w:t>.</w:t>
      </w:r>
    </w:p>
    <w:sectPr w:rsidR="00C05989" w:rsidRPr="0077198D" w:rsidSect="0077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8426B"/>
    <w:multiLevelType w:val="hybridMultilevel"/>
    <w:tmpl w:val="9078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DD"/>
    <w:rsid w:val="001542F9"/>
    <w:rsid w:val="001A2015"/>
    <w:rsid w:val="0024501B"/>
    <w:rsid w:val="002A2EFC"/>
    <w:rsid w:val="00301709"/>
    <w:rsid w:val="00350942"/>
    <w:rsid w:val="00372502"/>
    <w:rsid w:val="004A2B7A"/>
    <w:rsid w:val="004C5360"/>
    <w:rsid w:val="0051374C"/>
    <w:rsid w:val="00633FAD"/>
    <w:rsid w:val="00641011"/>
    <w:rsid w:val="006953EB"/>
    <w:rsid w:val="007115C0"/>
    <w:rsid w:val="0077198D"/>
    <w:rsid w:val="007A55A1"/>
    <w:rsid w:val="00837850"/>
    <w:rsid w:val="008C0164"/>
    <w:rsid w:val="008F54D0"/>
    <w:rsid w:val="00907852"/>
    <w:rsid w:val="0099432E"/>
    <w:rsid w:val="00A45DA4"/>
    <w:rsid w:val="00A67423"/>
    <w:rsid w:val="00A87F66"/>
    <w:rsid w:val="00A90C32"/>
    <w:rsid w:val="00A97791"/>
    <w:rsid w:val="00BA23DD"/>
    <w:rsid w:val="00C05989"/>
    <w:rsid w:val="00C8050B"/>
    <w:rsid w:val="00C866A9"/>
    <w:rsid w:val="00D33312"/>
    <w:rsid w:val="00D34542"/>
    <w:rsid w:val="00DA22B7"/>
    <w:rsid w:val="00DD1321"/>
    <w:rsid w:val="00DF641A"/>
    <w:rsid w:val="00E13B93"/>
    <w:rsid w:val="00E31582"/>
    <w:rsid w:val="00F32C5E"/>
    <w:rsid w:val="00F34F2E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6925"/>
  <w15:chartTrackingRefBased/>
  <w15:docId w15:val="{D1B7E9E4-A847-4398-A9BF-7DC3241E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3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598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9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ks.harvard.edu/fs/jfrankel/%E2%80%9CBarrels,%20bushels,%20bonds%20take%20global%20economy%20for%20a%20ride%E2%80%9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ks.harvard.edu/fs/jfrankel/CommodityBondsOct18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ct-syndicate.org/commentary/frankel6/Englis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harvard.edu/frankel/publications/how-cope-volatile-commodity-export-prices-four-proposals-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reaherald.com/national/Detail.jsp?newsMLId=20111018000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 of Government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Frankel, Jeffrey A.</dc:creator>
  <cp:keywords/>
  <dc:description/>
  <cp:lastModifiedBy>Frankel, Jeffrey A.</cp:lastModifiedBy>
  <cp:revision>2</cp:revision>
  <cp:lastPrinted>2020-07-07T21:49:00Z</cp:lastPrinted>
  <dcterms:created xsi:type="dcterms:W3CDTF">2020-07-08T21:21:00Z</dcterms:created>
  <dcterms:modified xsi:type="dcterms:W3CDTF">2020-07-08T21:21:00Z</dcterms:modified>
</cp:coreProperties>
</file>