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0CA" w:rsidRDefault="002A4966" w:rsidP="002A4966">
      <w:pPr>
        <w:ind w:left="720" w:hanging="720"/>
        <w:jc w:val="right"/>
      </w:pPr>
      <w:r>
        <w:t>J.Frankel, April 2, 2017</w:t>
      </w:r>
    </w:p>
    <w:p w:rsidR="00422B98" w:rsidRDefault="00042510" w:rsidP="00422B98">
      <w:pPr>
        <w:rPr>
          <w:b/>
          <w:i/>
          <w:sz w:val="32"/>
          <w:szCs w:val="32"/>
        </w:rPr>
      </w:pPr>
      <w:r w:rsidRPr="00C84D74">
        <w:rPr>
          <w:sz w:val="32"/>
          <w:szCs w:val="32"/>
        </w:rPr>
        <w:t>Four</w:t>
      </w:r>
      <w:r w:rsidR="002A4966" w:rsidRPr="00C84D74">
        <w:rPr>
          <w:sz w:val="32"/>
          <w:szCs w:val="32"/>
        </w:rPr>
        <w:t xml:space="preserve"> places </w:t>
      </w:r>
      <w:r w:rsidR="00B850CA" w:rsidRPr="00C84D74">
        <w:rPr>
          <w:sz w:val="32"/>
          <w:szCs w:val="32"/>
        </w:rPr>
        <w:t xml:space="preserve">where I </w:t>
      </w:r>
      <w:r w:rsidR="002A4966" w:rsidRPr="00C84D74">
        <w:rPr>
          <w:sz w:val="32"/>
          <w:szCs w:val="32"/>
        </w:rPr>
        <w:t xml:space="preserve">suggested </w:t>
      </w:r>
      <w:r w:rsidR="00B850CA" w:rsidRPr="00C84D74">
        <w:rPr>
          <w:sz w:val="32"/>
          <w:szCs w:val="32"/>
        </w:rPr>
        <w:t>that the eurozone countries needed to get through a couple of decades without a major asymmetric shock, for trade patterns and cyclical correlations to have risen sufficiently to satisfy the OCA criteria.</w:t>
      </w:r>
      <w:r w:rsidR="00D059A2" w:rsidRPr="00C84D74">
        <w:rPr>
          <w:sz w:val="32"/>
          <w:szCs w:val="32"/>
        </w:rPr>
        <w:t xml:space="preserve">   (</w:t>
      </w:r>
      <w:r w:rsidR="00B850CA" w:rsidRPr="00C84D74">
        <w:rPr>
          <w:b/>
          <w:i/>
          <w:sz w:val="32"/>
          <w:szCs w:val="32"/>
        </w:rPr>
        <w:t>Italics added</w:t>
      </w:r>
      <w:r w:rsidR="00D059A2" w:rsidRPr="00C84D74">
        <w:rPr>
          <w:b/>
          <w:i/>
          <w:sz w:val="32"/>
          <w:szCs w:val="32"/>
        </w:rPr>
        <w:t>)</w:t>
      </w:r>
      <w:r w:rsidR="00D059A2" w:rsidRPr="00C84D74">
        <w:rPr>
          <w:b/>
          <w:i/>
          <w:sz w:val="32"/>
          <w:szCs w:val="32"/>
        </w:rPr>
        <w:br/>
      </w:r>
    </w:p>
    <w:p w:rsidR="00C84D74" w:rsidRPr="00C84D74" w:rsidRDefault="00C84D74" w:rsidP="00422B98">
      <w:pPr>
        <w:rPr>
          <w:b/>
          <w:i/>
          <w:sz w:val="32"/>
          <w:szCs w:val="32"/>
        </w:rPr>
      </w:pPr>
      <w:bookmarkStart w:id="0" w:name="_GoBack"/>
      <w:bookmarkEnd w:id="0"/>
    </w:p>
    <w:p w:rsidR="00422B98" w:rsidRDefault="00422B98" w:rsidP="00EF4B3F">
      <w:pPr>
        <w:pStyle w:val="ListParagraph"/>
        <w:numPr>
          <w:ilvl w:val="0"/>
          <w:numId w:val="1"/>
        </w:numPr>
      </w:pPr>
      <w:r>
        <w:fldChar w:fldCharType="begin"/>
      </w:r>
      <w:r>
        <w:instrText xml:space="preserve"> HYPERLINK "http://www.hks.harvard.edu/fs/jfrankel/americanviewofemu&amp;euro.pdf" </w:instrText>
      </w:r>
      <w:r>
        <w:fldChar w:fldCharType="separate"/>
      </w:r>
      <w:r w:rsidRPr="00EF4B3F">
        <w:rPr>
          <w:rStyle w:val="Hyperlink"/>
          <w:rFonts w:ascii="Arial" w:hAnsi="Arial" w:cs="Arial"/>
          <w:color w:val="215990"/>
          <w:sz w:val="21"/>
          <w:szCs w:val="21"/>
          <w:shd w:val="clear" w:color="auto" w:fill="FFFFFF"/>
        </w:rPr>
        <w:t>"EMU and the E</w:t>
      </w:r>
      <w:r w:rsidRPr="00EF4B3F">
        <w:rPr>
          <w:rStyle w:val="Hyperlink"/>
          <w:rFonts w:ascii="Arial" w:hAnsi="Arial" w:cs="Arial"/>
          <w:color w:val="215990"/>
          <w:sz w:val="21"/>
          <w:szCs w:val="21"/>
          <w:shd w:val="clear" w:color="auto" w:fill="FFFFFF"/>
        </w:rPr>
        <w:t>u</w:t>
      </w:r>
      <w:r w:rsidRPr="00EF4B3F">
        <w:rPr>
          <w:rStyle w:val="Hyperlink"/>
          <w:rFonts w:ascii="Arial" w:hAnsi="Arial" w:cs="Arial"/>
          <w:color w:val="215990"/>
          <w:sz w:val="21"/>
          <w:szCs w:val="21"/>
          <w:shd w:val="clear" w:color="auto" w:fill="FFFFFF"/>
        </w:rPr>
        <w:t>ro: An American P</w:t>
      </w:r>
      <w:r w:rsidRPr="00EF4B3F">
        <w:rPr>
          <w:rStyle w:val="Hyperlink"/>
          <w:rFonts w:ascii="Arial" w:hAnsi="Arial" w:cs="Arial"/>
          <w:color w:val="215990"/>
          <w:sz w:val="21"/>
          <w:szCs w:val="21"/>
          <w:shd w:val="clear" w:color="auto" w:fill="FFFFFF"/>
        </w:rPr>
        <w:t>e</w:t>
      </w:r>
      <w:r w:rsidRPr="00EF4B3F">
        <w:rPr>
          <w:rStyle w:val="Hyperlink"/>
          <w:rFonts w:ascii="Arial" w:hAnsi="Arial" w:cs="Arial"/>
          <w:color w:val="215990"/>
          <w:sz w:val="21"/>
          <w:szCs w:val="21"/>
          <w:shd w:val="clear" w:color="auto" w:fill="FFFFFF"/>
        </w:rPr>
        <w:t>rspective,"</w:t>
      </w:r>
      <w:r>
        <w:fldChar w:fldCharType="end"/>
      </w:r>
      <w:r w:rsidRPr="00EF4B3F">
        <w:rPr>
          <w:rFonts w:ascii="Arial" w:hAnsi="Arial" w:cs="Arial"/>
          <w:color w:val="1E1E1E"/>
          <w:sz w:val="21"/>
          <w:szCs w:val="21"/>
          <w:shd w:val="clear" w:color="auto" w:fill="FFFFFF"/>
        </w:rPr>
        <w:t> </w:t>
      </w:r>
      <w:r w:rsidR="002526D1" w:rsidRPr="00EF4B3F">
        <w:rPr>
          <w:rFonts w:ascii="Arial" w:hAnsi="Arial" w:cs="Arial"/>
          <w:color w:val="1E1E1E"/>
          <w:sz w:val="21"/>
          <w:szCs w:val="21"/>
          <w:shd w:val="clear" w:color="auto" w:fill="FFFFFF"/>
        </w:rPr>
        <w:t xml:space="preserve">published in </w:t>
      </w:r>
      <w:r w:rsidR="002526D1" w:rsidRPr="00EF4B3F">
        <w:rPr>
          <w:rStyle w:val="Emphasis"/>
          <w:rFonts w:ascii="Arial" w:hAnsi="Arial" w:cs="Arial"/>
          <w:color w:val="1E1E1E"/>
          <w:sz w:val="21"/>
          <w:szCs w:val="21"/>
          <w:shd w:val="clear" w:color="auto" w:fill="FFFFFF"/>
        </w:rPr>
        <w:t xml:space="preserve">EMU Watch Series, DB Research.  </w:t>
      </w:r>
      <w:r w:rsidR="002526D1" w:rsidRPr="00EF4B3F">
        <w:rPr>
          <w:rFonts w:ascii="Arial" w:hAnsi="Arial" w:cs="Arial"/>
          <w:color w:val="1E1E1E"/>
          <w:sz w:val="21"/>
          <w:szCs w:val="21"/>
          <w:shd w:val="clear" w:color="auto" w:fill="FFFFFF"/>
        </w:rPr>
        <w:t>Pre</w:t>
      </w:r>
      <w:r w:rsidRPr="00EF4B3F">
        <w:rPr>
          <w:rFonts w:ascii="Arial" w:hAnsi="Arial" w:cs="Arial"/>
          <w:color w:val="1E1E1E"/>
          <w:sz w:val="21"/>
          <w:szCs w:val="21"/>
          <w:shd w:val="clear" w:color="auto" w:fill="FFFFFF"/>
        </w:rPr>
        <w:t xml:space="preserve">sented at Deutsche Bank, Frankfurt, June 21, 2000; and the </w:t>
      </w:r>
      <w:proofErr w:type="spellStart"/>
      <w:r w:rsidRPr="00EF4B3F">
        <w:rPr>
          <w:rFonts w:ascii="Arial" w:hAnsi="Arial" w:cs="Arial"/>
          <w:color w:val="1E1E1E"/>
          <w:sz w:val="21"/>
          <w:szCs w:val="21"/>
          <w:shd w:val="clear" w:color="auto" w:fill="FFFFFF"/>
        </w:rPr>
        <w:t>Lucchini</w:t>
      </w:r>
      <w:proofErr w:type="spellEnd"/>
      <w:r w:rsidRPr="00EF4B3F">
        <w:rPr>
          <w:rFonts w:ascii="Arial" w:hAnsi="Arial" w:cs="Arial"/>
          <w:color w:val="1E1E1E"/>
          <w:sz w:val="21"/>
          <w:szCs w:val="21"/>
          <w:shd w:val="clear" w:color="auto" w:fill="FFFFFF"/>
        </w:rPr>
        <w:t xml:space="preserve"> Fou</w:t>
      </w:r>
      <w:r w:rsidR="002526D1" w:rsidRPr="00EF4B3F">
        <w:rPr>
          <w:rFonts w:ascii="Arial" w:hAnsi="Arial" w:cs="Arial"/>
          <w:color w:val="1E1E1E"/>
          <w:sz w:val="21"/>
          <w:szCs w:val="21"/>
          <w:shd w:val="clear" w:color="auto" w:fill="FFFFFF"/>
        </w:rPr>
        <w:t>ndation, Brescia, June 22, 2000</w:t>
      </w:r>
      <w:r w:rsidR="002526D1">
        <w:t>.  </w:t>
      </w:r>
      <w:hyperlink r:id="rId6" w:history="1">
        <w:r w:rsidR="002526D1">
          <w:rPr>
            <w:rStyle w:val="Hyperlink"/>
          </w:rPr>
          <w:t>In Italian</w:t>
        </w:r>
      </w:hyperlink>
      <w:r w:rsidR="002526D1">
        <w:t xml:space="preserve"> in </w:t>
      </w:r>
      <w:r w:rsidR="002526D1">
        <w:rPr>
          <w:rStyle w:val="Emphasis"/>
        </w:rPr>
        <w:t>Europe: What Future After the Euro? </w:t>
      </w:r>
      <w:r w:rsidR="002526D1">
        <w:t>(</w:t>
      </w:r>
      <w:proofErr w:type="spellStart"/>
      <w:r w:rsidR="002526D1">
        <w:t>Laterza</w:t>
      </w:r>
      <w:proofErr w:type="spellEnd"/>
      <w:r w:rsidR="002526D1">
        <w:t xml:space="preserve"> &amp; </w:t>
      </w:r>
      <w:proofErr w:type="spellStart"/>
      <w:r w:rsidR="002526D1">
        <w:t>Figli</w:t>
      </w:r>
      <w:proofErr w:type="spellEnd"/>
      <w:r w:rsidR="002526D1">
        <w:t xml:space="preserve"> </w:t>
      </w:r>
      <w:proofErr w:type="spellStart"/>
      <w:r w:rsidR="002526D1">
        <w:t>SpA</w:t>
      </w:r>
      <w:proofErr w:type="spellEnd"/>
      <w:r w:rsidR="002526D1">
        <w:t>, Rome).</w:t>
      </w:r>
    </w:p>
    <w:p w:rsidR="00422B98" w:rsidRDefault="00422B98" w:rsidP="00422B98">
      <w:pPr>
        <w:autoSpaceDE w:val="0"/>
        <w:autoSpaceDN w:val="0"/>
        <w:adjustRightInd w:val="0"/>
        <w:spacing w:after="0" w:line="240" w:lineRule="auto"/>
        <w:rPr>
          <w:rFonts w:ascii="Times New Roman" w:hAnsi="Times New Roman" w:cs="Times New Roman"/>
          <w:sz w:val="24"/>
          <w:szCs w:val="24"/>
        </w:rPr>
      </w:pPr>
      <w:r>
        <w:t>PAGE 11: “</w:t>
      </w:r>
      <w:r>
        <w:t>The higher trade integration and higher symmetry of shocks mean that two of the criteria for an optimum currency area are more likely to be satisfied ex po</w:t>
      </w:r>
      <w:r>
        <w:t xml:space="preserve">st, </w:t>
      </w:r>
      <w:r>
        <w:t>after the countries go ahead with monetary union, than ex ante. A country that appears to be on the margin of satisfying the OCA criteria might do well to take the plunge, under the theory that the case is likely to look stronger after enough time has passed.</w:t>
      </w:r>
      <w:r w:rsidRPr="00B850CA">
        <w:rPr>
          <w:vertAlign w:val="superscript"/>
        </w:rPr>
        <w:t>27</w:t>
      </w:r>
      <w:r>
        <w:t xml:space="preserve"> </w:t>
      </w:r>
      <w:r w:rsidRPr="00422B98">
        <w:rPr>
          <w:b/>
          <w:i/>
        </w:rPr>
        <w:t>It seems to me that if the euro-11 can make it through the next couple of decades without a major asymmetric shock, the member countries will by then have become sufficiently integrated that EMU will have become a success</w:t>
      </w:r>
      <w:r>
        <w:t xml:space="preserve"> -- not just in the sense of holding together, or of having a successful currency, but in the sense that is of ultimate importance: bringing net economic benefits to its population.</w:t>
      </w:r>
      <w:r>
        <w:t>”</w:t>
      </w:r>
      <w:r>
        <w:br/>
      </w:r>
    </w:p>
    <w:p w:rsidR="00422B98" w:rsidRPr="00B850CA" w:rsidRDefault="00422B98" w:rsidP="00422B98">
      <w:pPr>
        <w:rPr>
          <w:sz w:val="16"/>
          <w:szCs w:val="16"/>
        </w:rPr>
      </w:pPr>
      <w:proofErr w:type="gramStart"/>
      <w:r w:rsidRPr="00B850CA">
        <w:rPr>
          <w:rFonts w:cs="Times New Roman"/>
          <w:sz w:val="16"/>
          <w:szCs w:val="16"/>
        </w:rPr>
        <w:t>27 Frankel and Rose (1997) and Engel and Rose (2000).</w:t>
      </w:r>
      <w:proofErr w:type="gramEnd"/>
      <w:r w:rsidR="00D059A2">
        <w:rPr>
          <w:rFonts w:cs="Times New Roman"/>
          <w:sz w:val="16"/>
          <w:szCs w:val="16"/>
        </w:rPr>
        <w:br/>
      </w:r>
    </w:p>
    <w:p w:rsidR="00422B98" w:rsidRDefault="00422B98" w:rsidP="00EF4B3F">
      <w:pPr>
        <w:pStyle w:val="ListParagraph"/>
        <w:ind w:left="360"/>
      </w:pPr>
    </w:p>
    <w:p w:rsidR="00422B98" w:rsidRPr="00EF4B3F" w:rsidRDefault="00422B98" w:rsidP="00EF4B3F">
      <w:pPr>
        <w:pStyle w:val="ListParagraph"/>
        <w:numPr>
          <w:ilvl w:val="0"/>
          <w:numId w:val="1"/>
        </w:numPr>
        <w:rPr>
          <w:rFonts w:ascii="Arial" w:hAnsi="Arial" w:cs="Arial"/>
          <w:color w:val="1E1E1E"/>
          <w:sz w:val="21"/>
          <w:szCs w:val="21"/>
          <w:shd w:val="clear" w:color="auto" w:fill="FFFFFF"/>
        </w:rPr>
      </w:pPr>
      <w:hyperlink r:id="rId7" w:history="1">
        <w:r w:rsidRPr="00EF4B3F">
          <w:rPr>
            <w:rStyle w:val="Hyperlink"/>
            <w:rFonts w:ascii="Arial" w:hAnsi="Arial" w:cs="Arial"/>
            <w:color w:val="215990"/>
            <w:sz w:val="21"/>
            <w:szCs w:val="21"/>
            <w:shd w:val="clear" w:color="auto" w:fill="FFFFFF"/>
          </w:rPr>
          <w:t>“Currency Blocs and Market Integration: Implications for Trade and Business Cycle Correlations,” </w:t>
        </w:r>
      </w:hyperlink>
      <w:r w:rsidRPr="00EF4B3F">
        <w:rPr>
          <w:rFonts w:ascii="Arial" w:hAnsi="Arial" w:cs="Arial"/>
          <w:color w:val="1E1E1E"/>
          <w:sz w:val="21"/>
          <w:szCs w:val="21"/>
          <w:shd w:val="clear" w:color="auto" w:fill="FFFFFF"/>
        </w:rPr>
        <w:t>A background report for the</w:t>
      </w:r>
      <w:r w:rsidRPr="00EF4B3F">
        <w:rPr>
          <w:rFonts w:ascii="Arial" w:hAnsi="Arial" w:cs="Arial"/>
          <w:color w:val="1E1E1E"/>
          <w:sz w:val="21"/>
          <w:szCs w:val="21"/>
          <w:shd w:val="clear" w:color="auto" w:fill="FFFFFF"/>
        </w:rPr>
        <w:t xml:space="preserve"> </w:t>
      </w:r>
      <w:r w:rsidRPr="00EF4B3F">
        <w:rPr>
          <w:rStyle w:val="Emphasis"/>
          <w:rFonts w:ascii="Arial" w:hAnsi="Arial" w:cs="Arial"/>
          <w:color w:val="1E1E1E"/>
          <w:sz w:val="21"/>
          <w:szCs w:val="21"/>
          <w:shd w:val="clear" w:color="auto" w:fill="FFFFFF"/>
        </w:rPr>
        <w:t>Commission on The UK Outside the Euro</w:t>
      </w:r>
      <w:r w:rsidRPr="00EF4B3F">
        <w:rPr>
          <w:rFonts w:ascii="Arial" w:hAnsi="Arial" w:cs="Arial"/>
          <w:color w:val="1E1E1E"/>
          <w:sz w:val="21"/>
          <w:szCs w:val="21"/>
          <w:shd w:val="clear" w:color="auto" w:fill="FFFFFF"/>
        </w:rPr>
        <w:t>, Oct.2002</w:t>
      </w:r>
    </w:p>
    <w:p w:rsidR="002A4966" w:rsidRDefault="00422B98" w:rsidP="00EF4B3F">
      <w:pPr>
        <w:spacing w:line="240" w:lineRule="auto"/>
      </w:pPr>
      <w:r>
        <w:rPr>
          <w:rFonts w:ascii="Arial" w:hAnsi="Arial" w:cs="Arial"/>
          <w:color w:val="1E1E1E"/>
          <w:sz w:val="21"/>
          <w:szCs w:val="21"/>
          <w:shd w:val="clear" w:color="auto" w:fill="FFFFFF"/>
        </w:rPr>
        <w:t>PAGE 12:  “</w:t>
      </w:r>
      <w:r>
        <w:t xml:space="preserve">The author’s feeling is that whether EMU proves ultimately beneficial or not depends largely on whether Europe happens to experience a large asymmetric shock within the next few decades. To stylize history: large global shocks happen about once a decade. The 1970s saw large upward increases in oil prices – which, in conjunction with subsequent </w:t>
      </w:r>
      <w:proofErr w:type="spellStart"/>
      <w:r>
        <w:t>Thatcherite</w:t>
      </w:r>
      <w:proofErr w:type="spellEnd"/>
      <w:r>
        <w:t xml:space="preserve"> monetary policy, implied a temporary real appreciation for the pound relative to continental Europe. The early 1980s saw Reaganomics in the US – a monetary-fiscal mix that implied a temporary real appreciation of the dollar (1980-85), but equally so against the UK and the continent. The early 1990s saw a German spending boom associated with reunification, which implied a temporary real appreciation of the mark against the pound and other European currencies. It is impossible to say what will be the important shocks of the future (that is what makes them shocks) -- perhaps eastern enlargement of the EU, or some aspect of political developments in the Middle East. </w:t>
      </w:r>
      <w:r w:rsidRPr="00422B98">
        <w:rPr>
          <w:b/>
          <w:i/>
        </w:rPr>
        <w:t>If there are no major shocks in the next few decades that affect the members of euroland asymmetrically, EMU may be “home free.” By then the trade links will be strong enough that a seriously disruptive asymmetric shock is unlikely.</w:t>
      </w:r>
      <w:r>
        <w:rPr>
          <w:b/>
          <w:i/>
        </w:rPr>
        <w:t>”</w:t>
      </w:r>
      <w:r w:rsidR="00D059A2">
        <w:rPr>
          <w:b/>
          <w:i/>
        </w:rPr>
        <w:br/>
      </w:r>
      <w:r w:rsidR="00B850CA">
        <w:rPr>
          <w:b/>
          <w:i/>
        </w:rPr>
        <w:br/>
      </w:r>
      <w:r w:rsidR="00EF4B3F">
        <w:lastRenderedPageBreak/>
        <w:br/>
        <w:t xml:space="preserve">3) </w:t>
      </w:r>
      <w:hyperlink r:id="rId8" w:tgtFrame="_blank" w:history="1">
        <w:r w:rsidR="002A4966">
          <w:rPr>
            <w:rStyle w:val="Hyperlink"/>
            <w:rFonts w:ascii="Helvetica" w:hAnsi="Helvetica"/>
            <w:color w:val="215990"/>
            <w:sz w:val="21"/>
            <w:szCs w:val="21"/>
            <w:shd w:val="clear" w:color="auto" w:fill="FFFFFF"/>
          </w:rPr>
          <w:t>"The UK Decision re EMU: Implications of Currency Blocs for Trade and Business Cycle Correlations,"</w:t>
        </w:r>
      </w:hyperlink>
      <w:r w:rsidR="002A4966">
        <w:rPr>
          <w:rFonts w:ascii="Helvetica" w:hAnsi="Helvetica"/>
          <w:color w:val="1E1E1E"/>
          <w:sz w:val="21"/>
          <w:szCs w:val="21"/>
          <w:shd w:val="clear" w:color="auto" w:fill="FFFFFF"/>
        </w:rPr>
        <w:t> in </w:t>
      </w:r>
      <w:hyperlink r:id="rId9" w:tgtFrame="_blank" w:history="1">
        <w:r w:rsidR="002A4966">
          <w:rPr>
            <w:rStyle w:val="Hyperlink"/>
            <w:rFonts w:ascii="Helvetica" w:hAnsi="Helvetica"/>
            <w:color w:val="215990"/>
            <w:sz w:val="21"/>
            <w:szCs w:val="21"/>
            <w:shd w:val="clear" w:color="auto" w:fill="FFFFFF"/>
          </w:rPr>
          <w:t>Submissions on EMU from Leading Academics </w:t>
        </w:r>
      </w:hyperlink>
      <w:r w:rsidR="002A4966">
        <w:rPr>
          <w:rFonts w:ascii="Helvetica" w:hAnsi="Helvetica"/>
          <w:color w:val="1E1E1E"/>
          <w:sz w:val="21"/>
          <w:szCs w:val="21"/>
          <w:shd w:val="clear" w:color="auto" w:fill="FFFFFF"/>
        </w:rPr>
        <w:t>(H.M. Treasury: London), 2003, p.99-109.  </w:t>
      </w:r>
    </w:p>
    <w:p w:rsidR="00EF4B3F" w:rsidRPr="00042510" w:rsidRDefault="00EF4B3F" w:rsidP="00EF4B3F">
      <w:pPr>
        <w:rPr>
          <w:b/>
          <w:i/>
        </w:rPr>
      </w:pPr>
      <w:r w:rsidRPr="00042510">
        <w:rPr>
          <w:b/>
          <w:i/>
        </w:rPr>
        <w:t>The author’s feeling is that whether EMU proves ultimately beneficial or not depends largely on whether Europe happens to experience a large asymmetric shock within the next few decades. To stylize history: large global shocks happen about once a decade. If there are no major shocks in the next few decades that affect the members of euroland asymmetrically, EMU may be “home free.” By then the trade links will be strong enough that a seriously disruptive asymmetric shock is unlikely</w:t>
      </w:r>
    </w:p>
    <w:p w:rsidR="00EF4B3F" w:rsidRDefault="00EF4B3F" w:rsidP="00422B98">
      <w:pPr>
        <w:spacing w:line="240" w:lineRule="auto"/>
      </w:pPr>
    </w:p>
    <w:p w:rsidR="00C84D74" w:rsidRPr="00EF4B3F" w:rsidRDefault="00C84D74" w:rsidP="00422B98">
      <w:pPr>
        <w:spacing w:line="240" w:lineRule="auto"/>
      </w:pPr>
    </w:p>
    <w:p w:rsidR="00B850CA" w:rsidRDefault="00EF4B3F" w:rsidP="00422B98">
      <w:pPr>
        <w:spacing w:line="240" w:lineRule="auto"/>
        <w:rPr>
          <w:b/>
          <w:i/>
        </w:rPr>
      </w:pPr>
      <w:r>
        <w:t xml:space="preserve">4) </w:t>
      </w:r>
      <w:hyperlink r:id="rId10" w:history="1">
        <w:r w:rsidR="00B850CA">
          <w:rPr>
            <w:rStyle w:val="Hyperlink"/>
            <w:rFonts w:ascii="Arial" w:hAnsi="Arial" w:cs="Arial"/>
            <w:color w:val="215990"/>
            <w:sz w:val="21"/>
            <w:szCs w:val="21"/>
            <w:shd w:val="clear" w:color="auto" w:fill="FFFFFF"/>
          </w:rPr>
          <w:t>"Real Convergence and Euro Adoption in Central and Eastern Europe: Trade and Business Cycle Correlations as Endogenous Criteria for Joining EMU"</w:t>
        </w:r>
      </w:hyperlink>
      <w:r w:rsidR="00B850CA">
        <w:rPr>
          <w:rFonts w:ascii="Arial" w:hAnsi="Arial" w:cs="Arial"/>
          <w:color w:val="1E1E1E"/>
          <w:sz w:val="21"/>
          <w:szCs w:val="21"/>
          <w:shd w:val="clear" w:color="auto" w:fill="FFFFFF"/>
        </w:rPr>
        <w:t>, </w:t>
      </w:r>
      <w:r w:rsidR="00B850CA">
        <w:rPr>
          <w:rFonts w:ascii="Arial" w:hAnsi="Arial" w:cs="Arial"/>
          <w:color w:val="1E1E1E"/>
          <w:sz w:val="21"/>
          <w:szCs w:val="21"/>
          <w:shd w:val="clear" w:color="auto" w:fill="FFFFFF"/>
        </w:rPr>
        <w:t>in </w:t>
      </w:r>
      <w:hyperlink r:id="rId11" w:history="1">
        <w:r w:rsidR="00B850CA">
          <w:rPr>
            <w:rStyle w:val="Hyperlink"/>
            <w:rFonts w:ascii="Arial" w:hAnsi="Arial" w:cs="Arial"/>
            <w:color w:val="215990"/>
            <w:sz w:val="21"/>
            <w:szCs w:val="21"/>
            <w:shd w:val="clear" w:color="auto" w:fill="FFFFFF"/>
          </w:rPr>
          <w:t> </w:t>
        </w:r>
        <w:r w:rsidR="00B850CA">
          <w:rPr>
            <w:rStyle w:val="Emphasis"/>
            <w:rFonts w:ascii="Arial" w:hAnsi="Arial" w:cs="Arial"/>
            <w:color w:val="215990"/>
            <w:sz w:val="21"/>
            <w:szCs w:val="21"/>
            <w:shd w:val="clear" w:color="auto" w:fill="FFFFFF"/>
          </w:rPr>
          <w:t>Euro Adoption in the Accession Countries – Opportunities and Challenges</w:t>
        </w:r>
      </w:hyperlink>
      <w:r w:rsidR="00B850CA">
        <w:rPr>
          <w:rStyle w:val="Emphasis"/>
          <w:rFonts w:ascii="Arial" w:hAnsi="Arial" w:cs="Arial"/>
          <w:color w:val="1E1E1E"/>
          <w:sz w:val="21"/>
          <w:szCs w:val="21"/>
          <w:shd w:val="clear" w:color="auto" w:fill="FFFFFF"/>
        </w:rPr>
        <w:t xml:space="preserve">, </w:t>
      </w:r>
      <w:r w:rsidR="00B850CA">
        <w:rPr>
          <w:rFonts w:ascii="Arial" w:hAnsi="Arial" w:cs="Arial"/>
          <w:color w:val="1E1E1E"/>
          <w:sz w:val="21"/>
          <w:szCs w:val="21"/>
          <w:shd w:val="clear" w:color="auto" w:fill="FFFFFF"/>
        </w:rPr>
        <w:t>edited by </w:t>
      </w:r>
      <w:hyperlink r:id="rId12" w:history="1">
        <w:r w:rsidR="00B850CA">
          <w:rPr>
            <w:rStyle w:val="Hyperlink"/>
            <w:rFonts w:ascii="Arial" w:hAnsi="Arial" w:cs="Arial"/>
            <w:color w:val="215990"/>
            <w:sz w:val="21"/>
            <w:szCs w:val="21"/>
            <w:shd w:val="clear" w:color="auto" w:fill="FFFFFF"/>
          </w:rPr>
          <w:t>Susan Schadler (IMF: Washington DC), 2005</w:t>
        </w:r>
      </w:hyperlink>
      <w:r w:rsidR="00B850CA">
        <w:rPr>
          <w:rFonts w:ascii="Arial" w:hAnsi="Arial" w:cs="Arial"/>
          <w:color w:val="1E1E1E"/>
          <w:sz w:val="21"/>
          <w:szCs w:val="21"/>
          <w:shd w:val="clear" w:color="auto" w:fill="FFFFFF"/>
        </w:rPr>
        <w:t>. </w:t>
      </w:r>
    </w:p>
    <w:p w:rsidR="00B850CA" w:rsidRPr="00B850CA" w:rsidRDefault="00B850CA" w:rsidP="00422B98">
      <w:pPr>
        <w:spacing w:line="240" w:lineRule="auto"/>
        <w:rPr>
          <w:b/>
        </w:rPr>
      </w:pPr>
      <w:r>
        <w:t xml:space="preserve">PAGE 17: </w:t>
      </w:r>
      <w:r>
        <w:t xml:space="preserve">Are Central European Countries Ready to Join the Euro? </w:t>
      </w:r>
      <w:r>
        <w:br/>
      </w:r>
      <w:r w:rsidRPr="00B850CA">
        <w:rPr>
          <w:b/>
          <w:i/>
        </w:rPr>
        <w:t>Whether Europe experiences a large asymmetric shock within the next few decades might determine whether the euro proves on net to benefit its members.</w:t>
      </w:r>
      <w:r>
        <w:t xml:space="preserve"> The early 1990s saw a German spending boom associated with reunification, which implied a temporary real appreciation of the mark against the pound and other European currencies; fortunately, monetary integration had not proceeded so far as to make such a realignment impossible. Today it would not be possible. One cannot predict the important shocks of the future. Their unpredictability is what makes them shocks. Possible shocks</w:t>
      </w:r>
      <w:r>
        <w:t xml:space="preserve">… </w:t>
      </w:r>
      <w:r>
        <w:t>Some of the Central and Eastern European countries may not meet the optimum currency area criteria as well currently as do the existing members of the EMU. An argument for joining anyway is the endogeneity of the optimum currency area criteria. By adopting the euro, these countries will eventually promote trade with the rest of the euro area and increase the cyclical correlation. The increased trade will in turn further increase the advantages of a common currency, while the increased correlation will reduce the disadvantages of a common currency</w:t>
      </w:r>
      <w:r w:rsidRPr="00B850CA">
        <w:rPr>
          <w:b/>
          <w:i/>
        </w:rPr>
        <w:t>. Thus, the CEE countries may eventually qualify ex post even if they do not ex ante.</w:t>
      </w:r>
      <w:r>
        <w:t xml:space="preserve"> </w:t>
      </w:r>
      <w:r w:rsidRPr="00B850CA">
        <w:rPr>
          <w:b/>
          <w:i/>
        </w:rPr>
        <w:t>On the other hand, the risks of asymmetric shocks in the meantime are substantial.</w:t>
      </w:r>
    </w:p>
    <w:sectPr w:rsidR="00B850CA" w:rsidRPr="00B85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7593"/>
    <w:multiLevelType w:val="hybridMultilevel"/>
    <w:tmpl w:val="F2D8DAC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B98"/>
    <w:rsid w:val="00042510"/>
    <w:rsid w:val="000452A7"/>
    <w:rsid w:val="002526D1"/>
    <w:rsid w:val="002A4966"/>
    <w:rsid w:val="00422B98"/>
    <w:rsid w:val="00674EEE"/>
    <w:rsid w:val="009D2950"/>
    <w:rsid w:val="00B850CA"/>
    <w:rsid w:val="00C04083"/>
    <w:rsid w:val="00C84D74"/>
    <w:rsid w:val="00D059A2"/>
    <w:rsid w:val="00EF4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2B98"/>
    <w:rPr>
      <w:color w:val="0000FF"/>
      <w:u w:val="single"/>
    </w:rPr>
  </w:style>
  <w:style w:type="character" w:styleId="Emphasis">
    <w:name w:val="Emphasis"/>
    <w:basedOn w:val="DefaultParagraphFont"/>
    <w:uiPriority w:val="20"/>
    <w:qFormat/>
    <w:rsid w:val="00422B98"/>
    <w:rPr>
      <w:i/>
      <w:iCs/>
    </w:rPr>
  </w:style>
  <w:style w:type="character" w:styleId="FollowedHyperlink">
    <w:name w:val="FollowedHyperlink"/>
    <w:basedOn w:val="DefaultParagraphFont"/>
    <w:uiPriority w:val="99"/>
    <w:semiHidden/>
    <w:unhideWhenUsed/>
    <w:rsid w:val="00422B98"/>
    <w:rPr>
      <w:color w:val="800080" w:themeColor="followedHyperlink"/>
      <w:u w:val="single"/>
    </w:rPr>
  </w:style>
  <w:style w:type="paragraph" w:styleId="ListParagraph">
    <w:name w:val="List Paragraph"/>
    <w:basedOn w:val="Normal"/>
    <w:uiPriority w:val="34"/>
    <w:qFormat/>
    <w:rsid w:val="00EF4B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2B98"/>
    <w:rPr>
      <w:color w:val="0000FF"/>
      <w:u w:val="single"/>
    </w:rPr>
  </w:style>
  <w:style w:type="character" w:styleId="Emphasis">
    <w:name w:val="Emphasis"/>
    <w:basedOn w:val="DefaultParagraphFont"/>
    <w:uiPriority w:val="20"/>
    <w:qFormat/>
    <w:rsid w:val="00422B98"/>
    <w:rPr>
      <w:i/>
      <w:iCs/>
    </w:rPr>
  </w:style>
  <w:style w:type="character" w:styleId="FollowedHyperlink">
    <w:name w:val="FollowedHyperlink"/>
    <w:basedOn w:val="DefaultParagraphFont"/>
    <w:uiPriority w:val="99"/>
    <w:semiHidden/>
    <w:unhideWhenUsed/>
    <w:rsid w:val="00422B98"/>
    <w:rPr>
      <w:color w:val="800080" w:themeColor="followedHyperlink"/>
      <w:u w:val="single"/>
    </w:rPr>
  </w:style>
  <w:style w:type="paragraph" w:styleId="ListParagraph">
    <w:name w:val="List Paragraph"/>
    <w:basedOn w:val="Normal"/>
    <w:uiPriority w:val="34"/>
    <w:qFormat/>
    <w:rsid w:val="00EF4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ks.harvard.edu/fs/jfrankel/The%20UK%20Decision%20Regarding%20EMU.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cfia.harvard.edu/publications/currency-blocs-and-market-integration-implications-trade-and-business-cycle" TargetMode="External"/><Relationship Id="rId12" Type="http://schemas.openxmlformats.org/officeDocument/2006/relationships/hyperlink" Target="http://www.imf.org/external/pubs/cat/longres.cfm?sk=174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ks.harvard.edu/fs/jfrankel/EMU-LucchiniFdtn.PDF" TargetMode="External"/><Relationship Id="rId11" Type="http://schemas.openxmlformats.org/officeDocument/2006/relationships/hyperlink" Target="http://www.imf.org/external/pubs/nft/2005/EURO/ENG/euroadop.pdf" TargetMode="External"/><Relationship Id="rId5" Type="http://schemas.openxmlformats.org/officeDocument/2006/relationships/webSettings" Target="webSettings.xml"/><Relationship Id="rId10" Type="http://schemas.openxmlformats.org/officeDocument/2006/relationships/hyperlink" Target="http://hks.harvard.edu/fs/jfrankel/RealConvergenceAndEuroAdoption.pdf" TargetMode="External"/><Relationship Id="rId4" Type="http://schemas.openxmlformats.org/officeDocument/2006/relationships/settings" Target="settings.xml"/><Relationship Id="rId9" Type="http://schemas.openxmlformats.org/officeDocument/2006/relationships/hyperlink" Target="http://hks.harvard.edu/fs/jfrankel/Submissions%20on%20EMU.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2017-04-02T19:02:00Z</dcterms:created>
  <dcterms:modified xsi:type="dcterms:W3CDTF">2017-04-02T19:42:00Z</dcterms:modified>
</cp:coreProperties>
</file>