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331" w:rsidRPr="005A12F5" w:rsidRDefault="009A0331" w:rsidP="00DD7DAE">
      <w:pPr>
        <w:jc w:val="center"/>
        <w:rPr>
          <w:sz w:val="36"/>
          <w:szCs w:val="36"/>
        </w:rPr>
      </w:pPr>
      <w:r w:rsidRPr="002653D6">
        <w:rPr>
          <w:b/>
          <w:sz w:val="36"/>
          <w:szCs w:val="36"/>
        </w:rPr>
        <w:t>The Role of the Dollar</w:t>
      </w:r>
      <w:r w:rsidRPr="005A12F5">
        <w:rPr>
          <w:sz w:val="36"/>
          <w:szCs w:val="36"/>
        </w:rPr>
        <w:t xml:space="preserve"> in the Post-war Era</w:t>
      </w:r>
      <w:r w:rsidR="002653D6">
        <w:rPr>
          <w:sz w:val="36"/>
          <w:szCs w:val="36"/>
        </w:rPr>
        <w:br/>
      </w:r>
      <w:r w:rsidR="002653D6" w:rsidRPr="00FB532A">
        <w:rPr>
          <w:sz w:val="28"/>
          <w:szCs w:val="28"/>
        </w:rPr>
        <w:t xml:space="preserve">Jeffrey Frankel, </w:t>
      </w:r>
      <w:r w:rsidR="00D66CF8" w:rsidRPr="00FB532A">
        <w:rPr>
          <w:sz w:val="28"/>
          <w:szCs w:val="28"/>
        </w:rPr>
        <w:t>Harpel Professor of Capital Formation and Growth, Harvard Kennedy School, Harvard University</w:t>
      </w:r>
      <w:r w:rsidR="002653D6">
        <w:rPr>
          <w:sz w:val="36"/>
          <w:szCs w:val="36"/>
        </w:rPr>
        <w:br/>
      </w:r>
      <w:r w:rsidR="00DD7DAE">
        <w:rPr>
          <w:sz w:val="36"/>
          <w:szCs w:val="36"/>
        </w:rPr>
        <w:t>at Roundtable on the Future of the Dollar,</w:t>
      </w:r>
      <w:r w:rsidR="00DD7DAE" w:rsidRPr="00DD7DAE">
        <w:rPr>
          <w:sz w:val="36"/>
          <w:szCs w:val="36"/>
        </w:rPr>
        <w:t xml:space="preserve"> </w:t>
      </w:r>
      <w:r w:rsidR="00D66CF8">
        <w:rPr>
          <w:sz w:val="36"/>
          <w:szCs w:val="36"/>
        </w:rPr>
        <w:t xml:space="preserve">9 a.m., </w:t>
      </w:r>
      <w:r w:rsidR="00DD7DAE">
        <w:rPr>
          <w:sz w:val="36"/>
          <w:szCs w:val="36"/>
        </w:rPr>
        <w:t>Oct. 16, 2019</w:t>
      </w:r>
      <w:r w:rsidR="00DD7DAE">
        <w:rPr>
          <w:sz w:val="36"/>
          <w:szCs w:val="36"/>
        </w:rPr>
        <w:br/>
        <w:t>Institute of</w:t>
      </w:r>
      <w:r w:rsidR="002653D6">
        <w:rPr>
          <w:sz w:val="36"/>
          <w:szCs w:val="36"/>
        </w:rPr>
        <w:t xml:space="preserve"> International Finance,</w:t>
      </w:r>
      <w:r w:rsidR="00DD7DAE">
        <w:rPr>
          <w:sz w:val="36"/>
          <w:szCs w:val="36"/>
        </w:rPr>
        <w:t xml:space="preserve"> 1300 Pennsylvania Ave., DC</w:t>
      </w:r>
    </w:p>
    <w:p w:rsidR="002C0252" w:rsidRPr="005A12F5" w:rsidRDefault="002C0252">
      <w:pPr>
        <w:rPr>
          <w:sz w:val="36"/>
          <w:szCs w:val="36"/>
        </w:rPr>
      </w:pPr>
    </w:p>
    <w:p w:rsidR="002C0252" w:rsidRPr="005A12F5" w:rsidRDefault="002C0252" w:rsidP="00821C31">
      <w:pPr>
        <w:ind w:firstLine="720"/>
        <w:rPr>
          <w:sz w:val="36"/>
          <w:szCs w:val="36"/>
        </w:rPr>
      </w:pPr>
      <w:r w:rsidRPr="005A12F5">
        <w:rPr>
          <w:sz w:val="36"/>
          <w:szCs w:val="36"/>
        </w:rPr>
        <w:t xml:space="preserve">This is a good time to gauge the rankings of the </w:t>
      </w:r>
      <w:r w:rsidR="007F795A">
        <w:rPr>
          <w:sz w:val="36"/>
          <w:szCs w:val="36"/>
        </w:rPr>
        <w:t xml:space="preserve">dollar and other </w:t>
      </w:r>
      <w:r w:rsidR="00E21B1E">
        <w:rPr>
          <w:sz w:val="36"/>
          <w:szCs w:val="36"/>
        </w:rPr>
        <w:t>`</w:t>
      </w:r>
      <w:r w:rsidRPr="005A12F5">
        <w:rPr>
          <w:sz w:val="36"/>
          <w:szCs w:val="36"/>
        </w:rPr>
        <w:t>major international currencies.  The BIS has just come out with its triennial survey of turnover of various currencies in the foreign exchange market.  The IMF COFER numbers on central bank holdings of foreign exchange reserves have gotten much more reliable</w:t>
      </w:r>
      <w:r w:rsidR="005A12F5">
        <w:rPr>
          <w:sz w:val="36"/>
          <w:szCs w:val="36"/>
        </w:rPr>
        <w:t xml:space="preserve"> </w:t>
      </w:r>
      <w:r w:rsidR="00E21B1E">
        <w:rPr>
          <w:sz w:val="36"/>
          <w:szCs w:val="36"/>
        </w:rPr>
        <w:t>l</w:t>
      </w:r>
      <w:r w:rsidR="005A12F5">
        <w:rPr>
          <w:sz w:val="36"/>
          <w:szCs w:val="36"/>
        </w:rPr>
        <w:t>ately</w:t>
      </w:r>
      <w:r w:rsidRPr="005A12F5">
        <w:rPr>
          <w:sz w:val="36"/>
          <w:szCs w:val="36"/>
        </w:rPr>
        <w:t>, because China and other coun</w:t>
      </w:r>
      <w:r w:rsidR="006F5384" w:rsidRPr="005A12F5">
        <w:rPr>
          <w:sz w:val="36"/>
          <w:szCs w:val="36"/>
        </w:rPr>
        <w:t>t</w:t>
      </w:r>
      <w:r w:rsidRPr="005A12F5">
        <w:rPr>
          <w:sz w:val="36"/>
          <w:szCs w:val="36"/>
        </w:rPr>
        <w:t>r</w:t>
      </w:r>
      <w:r w:rsidR="00E21B1E">
        <w:rPr>
          <w:sz w:val="36"/>
          <w:szCs w:val="36"/>
        </w:rPr>
        <w:t xml:space="preserve">ies that used to withhold </w:t>
      </w:r>
      <w:r w:rsidRPr="005A12F5">
        <w:rPr>
          <w:sz w:val="36"/>
          <w:szCs w:val="36"/>
        </w:rPr>
        <w:t xml:space="preserve">information </w:t>
      </w:r>
      <w:r w:rsidR="00E21B1E">
        <w:rPr>
          <w:sz w:val="36"/>
          <w:szCs w:val="36"/>
        </w:rPr>
        <w:t xml:space="preserve">on their holdings </w:t>
      </w:r>
      <w:hyperlink r:id="rId8" w:history="1">
        <w:r w:rsidRPr="00331B66">
          <w:rPr>
            <w:rStyle w:val="Hyperlink"/>
            <w:sz w:val="36"/>
            <w:szCs w:val="36"/>
          </w:rPr>
          <w:t>now report it</w:t>
        </w:r>
        <w:r w:rsidR="005A12F5" w:rsidRPr="00331B66">
          <w:rPr>
            <w:rStyle w:val="Hyperlink"/>
            <w:sz w:val="36"/>
            <w:szCs w:val="36"/>
          </w:rPr>
          <w:t xml:space="preserve"> to the IMF</w:t>
        </w:r>
      </w:hyperlink>
      <w:bookmarkStart w:id="0" w:name="_GoBack"/>
      <w:bookmarkEnd w:id="0"/>
      <w:r w:rsidR="00FD4CFD">
        <w:rPr>
          <w:sz w:val="36"/>
          <w:szCs w:val="36"/>
        </w:rPr>
        <w:t xml:space="preserve"> [confidentially]</w:t>
      </w:r>
      <w:r w:rsidR="00E21B1E">
        <w:rPr>
          <w:sz w:val="36"/>
          <w:szCs w:val="36"/>
        </w:rPr>
        <w:t xml:space="preserve">.  </w:t>
      </w:r>
      <w:r w:rsidRPr="005A12F5">
        <w:rPr>
          <w:sz w:val="36"/>
          <w:szCs w:val="36"/>
        </w:rPr>
        <w:t xml:space="preserve">And SWIFT offers every </w:t>
      </w:r>
      <w:r w:rsidR="003C015C">
        <w:rPr>
          <w:sz w:val="36"/>
          <w:szCs w:val="36"/>
        </w:rPr>
        <w:t>month</w:t>
      </w:r>
      <w:r w:rsidRPr="005A12F5">
        <w:rPr>
          <w:sz w:val="36"/>
          <w:szCs w:val="36"/>
        </w:rPr>
        <w:t xml:space="preserve"> </w:t>
      </w:r>
      <w:r w:rsidR="007B667F">
        <w:rPr>
          <w:sz w:val="36"/>
          <w:szCs w:val="36"/>
        </w:rPr>
        <w:t>its</w:t>
      </w:r>
      <w:r w:rsidRPr="005A12F5">
        <w:rPr>
          <w:sz w:val="36"/>
          <w:szCs w:val="36"/>
        </w:rPr>
        <w:t xml:space="preserve"> numbers on use of major currencies in international payments.  </w:t>
      </w:r>
    </w:p>
    <w:p w:rsidR="006F5384" w:rsidRPr="005A12F5" w:rsidRDefault="002C0252" w:rsidP="002C0252">
      <w:pPr>
        <w:rPr>
          <w:sz w:val="36"/>
          <w:szCs w:val="36"/>
        </w:rPr>
      </w:pPr>
      <w:r w:rsidRPr="005A12F5">
        <w:rPr>
          <w:sz w:val="36"/>
          <w:szCs w:val="36"/>
        </w:rPr>
        <w:t xml:space="preserve">The results?  The </w:t>
      </w:r>
      <w:r w:rsidR="00E21B1E">
        <w:rPr>
          <w:sz w:val="36"/>
          <w:szCs w:val="36"/>
        </w:rPr>
        <w:t xml:space="preserve">bottom </w:t>
      </w:r>
      <w:r w:rsidR="007B667F">
        <w:rPr>
          <w:sz w:val="36"/>
          <w:szCs w:val="36"/>
        </w:rPr>
        <w:t>line is that</w:t>
      </w:r>
      <w:r w:rsidRPr="005A12F5">
        <w:rPr>
          <w:sz w:val="36"/>
          <w:szCs w:val="36"/>
        </w:rPr>
        <w:t xml:space="preserve"> the US dollar</w:t>
      </w:r>
      <w:r w:rsidR="00E21B1E">
        <w:rPr>
          <w:sz w:val="36"/>
          <w:szCs w:val="36"/>
        </w:rPr>
        <w:t xml:space="preserve"> remains</w:t>
      </w:r>
      <w:r w:rsidRPr="005A12F5">
        <w:rPr>
          <w:sz w:val="36"/>
          <w:szCs w:val="36"/>
        </w:rPr>
        <w:t xml:space="preserve"> in first place by a wide margin, followed by the euro, the yen and pound sterling in fourth place. </w:t>
      </w:r>
      <w:r w:rsidR="006F5384" w:rsidRPr="005A12F5">
        <w:rPr>
          <w:sz w:val="36"/>
          <w:szCs w:val="36"/>
        </w:rPr>
        <w:t xml:space="preserve">  In 2019, 88% of fx trading involve</w:t>
      </w:r>
      <w:r w:rsidR="007B667F">
        <w:rPr>
          <w:sz w:val="36"/>
          <w:szCs w:val="36"/>
        </w:rPr>
        <w:t xml:space="preserve">s the dollar, </w:t>
      </w:r>
      <w:r w:rsidR="003C015C">
        <w:rPr>
          <w:sz w:val="36"/>
          <w:szCs w:val="36"/>
        </w:rPr>
        <w:t>more than double</w:t>
      </w:r>
      <w:r w:rsidR="006F5384" w:rsidRPr="005A12F5">
        <w:rPr>
          <w:sz w:val="36"/>
          <w:szCs w:val="36"/>
        </w:rPr>
        <w:t xml:space="preserve"> the share of the euro [32%</w:t>
      </w:r>
      <w:r w:rsidR="007D2E3F" w:rsidRPr="005A12F5">
        <w:rPr>
          <w:sz w:val="36"/>
          <w:szCs w:val="36"/>
        </w:rPr>
        <w:t>; BIS</w:t>
      </w:r>
      <w:r w:rsidR="006F5384" w:rsidRPr="005A12F5">
        <w:rPr>
          <w:sz w:val="36"/>
          <w:szCs w:val="36"/>
        </w:rPr>
        <w:t>].</w:t>
      </w:r>
      <w:r w:rsidR="00B62AB3" w:rsidRPr="005A12F5">
        <w:rPr>
          <w:sz w:val="36"/>
          <w:szCs w:val="36"/>
        </w:rPr>
        <w:t xml:space="preserve">   62% of reserve holdings are in dollars, </w:t>
      </w:r>
      <w:r w:rsidR="00B62AB3" w:rsidRPr="003C015C">
        <w:rPr>
          <w:sz w:val="36"/>
          <w:szCs w:val="36"/>
        </w:rPr>
        <w:t>more</w:t>
      </w:r>
      <w:r w:rsidR="00B62AB3" w:rsidRPr="007B667F">
        <w:rPr>
          <w:i/>
          <w:sz w:val="36"/>
          <w:szCs w:val="36"/>
        </w:rPr>
        <w:t xml:space="preserve"> </w:t>
      </w:r>
      <w:r w:rsidR="00B62AB3" w:rsidRPr="005A12F5">
        <w:rPr>
          <w:sz w:val="36"/>
          <w:szCs w:val="36"/>
        </w:rPr>
        <w:t>than 3 times the share in euros [20%; IMF].</w:t>
      </w:r>
      <w:r w:rsidR="00E825A4" w:rsidRPr="005A12F5">
        <w:rPr>
          <w:sz w:val="36"/>
          <w:szCs w:val="36"/>
        </w:rPr>
        <w:t xml:space="preserve">  In 2019, 47% of payments are in $, still well ahead of the euro’s share [31%;  SWIFT].</w:t>
      </w:r>
    </w:p>
    <w:p w:rsidR="007B667F" w:rsidRDefault="002C0252" w:rsidP="002C0252">
      <w:pPr>
        <w:rPr>
          <w:sz w:val="36"/>
          <w:szCs w:val="36"/>
        </w:rPr>
      </w:pPr>
      <w:r w:rsidRPr="005A12F5">
        <w:rPr>
          <w:sz w:val="36"/>
          <w:szCs w:val="36"/>
        </w:rPr>
        <w:t xml:space="preserve">After </w:t>
      </w:r>
      <w:r w:rsidR="006F5384" w:rsidRPr="005A12F5">
        <w:rPr>
          <w:sz w:val="36"/>
          <w:szCs w:val="36"/>
        </w:rPr>
        <w:t>the top four</w:t>
      </w:r>
      <w:r w:rsidRPr="005A12F5">
        <w:rPr>
          <w:sz w:val="36"/>
          <w:szCs w:val="36"/>
        </w:rPr>
        <w:t>,</w:t>
      </w:r>
      <w:r w:rsidR="006F5384" w:rsidRPr="005A12F5">
        <w:rPr>
          <w:sz w:val="36"/>
          <w:szCs w:val="36"/>
        </w:rPr>
        <w:t xml:space="preserve"> the ranking</w:t>
      </w:r>
      <w:r w:rsidRPr="005A12F5">
        <w:rPr>
          <w:sz w:val="36"/>
          <w:szCs w:val="36"/>
        </w:rPr>
        <w:t xml:space="preserve"> depends what measure you use.  The vaunted RMB is still in 8</w:t>
      </w:r>
      <w:r w:rsidRPr="005A12F5">
        <w:rPr>
          <w:sz w:val="36"/>
          <w:szCs w:val="36"/>
          <w:vertAlign w:val="superscript"/>
        </w:rPr>
        <w:t>th</w:t>
      </w:r>
      <w:r w:rsidRPr="005A12F5">
        <w:rPr>
          <w:sz w:val="36"/>
          <w:szCs w:val="36"/>
        </w:rPr>
        <w:t xml:space="preserve"> place in terms of foreign </w:t>
      </w:r>
      <w:r w:rsidRPr="005A12F5">
        <w:rPr>
          <w:sz w:val="36"/>
          <w:szCs w:val="36"/>
        </w:rPr>
        <w:lastRenderedPageBreak/>
        <w:t xml:space="preserve">exchange market turnover; but has recently passed the Swiss franc to attain the #7 spot judged by SWIFT payments, and has also passed the Canadian and Australian dollars to attain the #5 position when judged in terms of central banks’ holdings of foreign exchange reserves.  </w:t>
      </w:r>
    </w:p>
    <w:p w:rsidR="00821C31" w:rsidRDefault="002C0252" w:rsidP="00821C31">
      <w:pPr>
        <w:ind w:firstLine="720"/>
        <w:rPr>
          <w:sz w:val="36"/>
          <w:szCs w:val="36"/>
        </w:rPr>
      </w:pPr>
      <w:r w:rsidRPr="005A12F5">
        <w:rPr>
          <w:sz w:val="36"/>
          <w:szCs w:val="36"/>
        </w:rPr>
        <w:t xml:space="preserve">It is </w:t>
      </w:r>
      <w:r w:rsidR="00821C31">
        <w:rPr>
          <w:sz w:val="36"/>
          <w:szCs w:val="36"/>
        </w:rPr>
        <w:t xml:space="preserve">possible to discern a </w:t>
      </w:r>
      <w:r w:rsidRPr="005A12F5">
        <w:rPr>
          <w:sz w:val="36"/>
          <w:szCs w:val="36"/>
        </w:rPr>
        <w:t xml:space="preserve">downward trend in </w:t>
      </w:r>
      <w:hyperlink r:id="rId9" w:history="1">
        <w:r w:rsidRPr="005A12F5">
          <w:rPr>
            <w:rStyle w:val="Hyperlink"/>
            <w:sz w:val="36"/>
            <w:szCs w:val="36"/>
          </w:rPr>
          <w:t>the dollar’s share</w:t>
        </w:r>
      </w:hyperlink>
      <w:r w:rsidRPr="005A12F5">
        <w:rPr>
          <w:sz w:val="36"/>
          <w:szCs w:val="36"/>
        </w:rPr>
        <w:t xml:space="preserve">, </w:t>
      </w:r>
      <w:r w:rsidR="007B667F">
        <w:rPr>
          <w:sz w:val="36"/>
          <w:szCs w:val="36"/>
        </w:rPr>
        <w:t xml:space="preserve">particularly since </w:t>
      </w:r>
      <w:r w:rsidR="00FD4CFD">
        <w:rPr>
          <w:sz w:val="36"/>
          <w:szCs w:val="36"/>
        </w:rPr>
        <w:t>the beginning of the cent</w:t>
      </w:r>
      <w:r w:rsidR="009E08CE">
        <w:rPr>
          <w:sz w:val="36"/>
          <w:szCs w:val="36"/>
        </w:rPr>
        <w:t>u</w:t>
      </w:r>
      <w:r w:rsidR="00FD4CFD">
        <w:rPr>
          <w:sz w:val="36"/>
          <w:szCs w:val="36"/>
        </w:rPr>
        <w:t>r</w:t>
      </w:r>
      <w:r w:rsidR="009E08CE">
        <w:rPr>
          <w:sz w:val="36"/>
          <w:szCs w:val="36"/>
        </w:rPr>
        <w:t>y</w:t>
      </w:r>
      <w:r w:rsidR="00076143">
        <w:rPr>
          <w:sz w:val="36"/>
          <w:szCs w:val="36"/>
        </w:rPr>
        <w:t>.  B</w:t>
      </w:r>
      <w:r w:rsidR="00821C31">
        <w:rPr>
          <w:sz w:val="36"/>
          <w:szCs w:val="36"/>
        </w:rPr>
        <w:t>ut it is a</w:t>
      </w:r>
      <w:r w:rsidRPr="005A12F5">
        <w:rPr>
          <w:sz w:val="36"/>
          <w:szCs w:val="36"/>
        </w:rPr>
        <w:t xml:space="preserve"> slow gradual trend. </w:t>
      </w:r>
      <w:r w:rsidR="00E21B1E">
        <w:rPr>
          <w:sz w:val="36"/>
          <w:szCs w:val="36"/>
        </w:rPr>
        <w:t xml:space="preserve">   [</w:t>
      </w:r>
      <w:r w:rsidR="009E08CE">
        <w:rPr>
          <w:sz w:val="36"/>
          <w:szCs w:val="36"/>
        </w:rPr>
        <w:t>The 62 % of</w:t>
      </w:r>
      <w:r w:rsidR="00E21B1E">
        <w:rPr>
          <w:sz w:val="36"/>
          <w:szCs w:val="36"/>
        </w:rPr>
        <w:t xml:space="preserve"> reserve holdings </w:t>
      </w:r>
      <w:r w:rsidR="009E08CE">
        <w:rPr>
          <w:sz w:val="36"/>
          <w:szCs w:val="36"/>
        </w:rPr>
        <w:t>that are</w:t>
      </w:r>
      <w:r w:rsidR="00E21B1E">
        <w:rPr>
          <w:sz w:val="36"/>
          <w:szCs w:val="36"/>
        </w:rPr>
        <w:t xml:space="preserve"> in dollars is down from almost 70% in 2001.  The 88% of fx trading in dollars is down from 90% in 2001.]</w:t>
      </w:r>
      <w:r w:rsidR="00076143">
        <w:rPr>
          <w:sz w:val="36"/>
          <w:szCs w:val="36"/>
        </w:rPr>
        <w:t xml:space="preserve">  </w:t>
      </w:r>
    </w:p>
    <w:p w:rsidR="002C0252" w:rsidRDefault="00076143" w:rsidP="002C0252">
      <w:pPr>
        <w:rPr>
          <w:sz w:val="36"/>
          <w:szCs w:val="36"/>
        </w:rPr>
      </w:pPr>
      <w:r>
        <w:rPr>
          <w:sz w:val="36"/>
          <w:szCs w:val="36"/>
        </w:rPr>
        <w:t xml:space="preserve">Also the euro’s share as a reserve currency has been declining </w:t>
      </w:r>
      <w:r w:rsidR="00821C31">
        <w:rPr>
          <w:sz w:val="36"/>
          <w:szCs w:val="36"/>
        </w:rPr>
        <w:t xml:space="preserve">more rapidly </w:t>
      </w:r>
      <w:r>
        <w:rPr>
          <w:sz w:val="36"/>
          <w:szCs w:val="36"/>
        </w:rPr>
        <w:t xml:space="preserve"> (since 2007) than the dollar’s share.  </w:t>
      </w:r>
      <w:r w:rsidR="00DD7DAE">
        <w:rPr>
          <w:sz w:val="36"/>
          <w:szCs w:val="36"/>
        </w:rPr>
        <w:t>[</w:t>
      </w:r>
      <w:r>
        <w:rPr>
          <w:sz w:val="36"/>
          <w:szCs w:val="36"/>
        </w:rPr>
        <w:t>Who is rising?  The yen and a smattering of others (RMB, Canadian dollar, Australian dollar; also gold).</w:t>
      </w:r>
      <w:r w:rsidR="00DD7DAE">
        <w:rPr>
          <w:sz w:val="36"/>
          <w:szCs w:val="36"/>
        </w:rPr>
        <w:t>]</w:t>
      </w:r>
    </w:p>
    <w:p w:rsidR="00245D90" w:rsidRDefault="00245D90" w:rsidP="00245D90">
      <w:pPr>
        <w:rPr>
          <w:sz w:val="36"/>
          <w:szCs w:val="36"/>
        </w:rPr>
      </w:pPr>
      <w:r>
        <w:rPr>
          <w:sz w:val="36"/>
          <w:szCs w:val="36"/>
        </w:rPr>
        <w:t>Despite years of fiscal and current account deficits and a current path of rising debt/GDP ratios, the dollar remains ensconced as #1 currency.  Presumably the reason is the lack of a good alternative.</w:t>
      </w:r>
    </w:p>
    <w:p w:rsidR="00245D90" w:rsidRPr="00245D90" w:rsidRDefault="00245D90">
      <w:pPr>
        <w:rPr>
          <w:b/>
          <w:sz w:val="36"/>
          <w:szCs w:val="36"/>
        </w:rPr>
      </w:pPr>
      <w:r>
        <w:rPr>
          <w:b/>
          <w:sz w:val="36"/>
          <w:szCs w:val="36"/>
        </w:rPr>
        <w:t>Militaristic language</w:t>
      </w:r>
    </w:p>
    <w:p w:rsidR="000452A7" w:rsidRPr="005A12F5" w:rsidRDefault="001F193B">
      <w:pPr>
        <w:rPr>
          <w:sz w:val="36"/>
          <w:szCs w:val="36"/>
        </w:rPr>
      </w:pPr>
      <w:r w:rsidRPr="005A12F5">
        <w:rPr>
          <w:sz w:val="36"/>
          <w:szCs w:val="36"/>
        </w:rPr>
        <w:t>The language of internat</w:t>
      </w:r>
      <w:r w:rsidR="007B667F">
        <w:rPr>
          <w:sz w:val="36"/>
          <w:szCs w:val="36"/>
        </w:rPr>
        <w:t xml:space="preserve">ional monetary policy has </w:t>
      </w:r>
      <w:r w:rsidRPr="005A12F5">
        <w:rPr>
          <w:sz w:val="36"/>
          <w:szCs w:val="36"/>
        </w:rPr>
        <w:t xml:space="preserve">turned militaristic. The phrase “currency war” has been </w:t>
      </w:r>
      <w:r w:rsidR="007B667F">
        <w:rPr>
          <w:sz w:val="36"/>
          <w:szCs w:val="36"/>
        </w:rPr>
        <w:t>popular</w:t>
      </w:r>
      <w:r w:rsidRPr="005A12F5">
        <w:rPr>
          <w:sz w:val="36"/>
          <w:szCs w:val="36"/>
        </w:rPr>
        <w:t xml:space="preserve"> since 2010, and more recently </w:t>
      </w:r>
      <w:r w:rsidR="006B1002" w:rsidRPr="005A12F5">
        <w:rPr>
          <w:sz w:val="36"/>
          <w:szCs w:val="36"/>
        </w:rPr>
        <w:t>w</w:t>
      </w:r>
      <w:r w:rsidRPr="005A12F5">
        <w:rPr>
          <w:sz w:val="36"/>
          <w:szCs w:val="36"/>
        </w:rPr>
        <w:t>e hear of “weaponization” o</w:t>
      </w:r>
      <w:r w:rsidR="006B1002" w:rsidRPr="005A12F5">
        <w:rPr>
          <w:sz w:val="36"/>
          <w:szCs w:val="36"/>
        </w:rPr>
        <w:t>f the dollar</w:t>
      </w:r>
      <w:r w:rsidRPr="005A12F5">
        <w:rPr>
          <w:sz w:val="36"/>
          <w:szCs w:val="36"/>
        </w:rPr>
        <w:t>.</w:t>
      </w:r>
      <w:r w:rsidR="006B1002" w:rsidRPr="005A12F5">
        <w:rPr>
          <w:sz w:val="36"/>
          <w:szCs w:val="36"/>
        </w:rPr>
        <w:t xml:space="preserve">  If </w:t>
      </w:r>
      <w:r w:rsidR="002538AC" w:rsidRPr="005A12F5">
        <w:rPr>
          <w:sz w:val="36"/>
          <w:szCs w:val="36"/>
        </w:rPr>
        <w:t>readers</w:t>
      </w:r>
      <w:r w:rsidR="007B667F">
        <w:rPr>
          <w:sz w:val="36"/>
          <w:szCs w:val="36"/>
        </w:rPr>
        <w:t xml:space="preserve"> </w:t>
      </w:r>
      <w:r w:rsidR="006B1002" w:rsidRPr="005A12F5">
        <w:rPr>
          <w:sz w:val="36"/>
          <w:szCs w:val="36"/>
        </w:rPr>
        <w:t xml:space="preserve">took such language at face value, </w:t>
      </w:r>
      <w:r w:rsidR="002538AC" w:rsidRPr="005A12F5">
        <w:rPr>
          <w:sz w:val="36"/>
          <w:szCs w:val="36"/>
        </w:rPr>
        <w:t>they</w:t>
      </w:r>
      <w:r w:rsidR="006B1002" w:rsidRPr="005A12F5">
        <w:rPr>
          <w:sz w:val="36"/>
          <w:szCs w:val="36"/>
        </w:rPr>
        <w:t xml:space="preserve"> might </w:t>
      </w:r>
      <w:r w:rsidR="006B1002" w:rsidRPr="005A12F5">
        <w:rPr>
          <w:sz w:val="36"/>
          <w:szCs w:val="36"/>
        </w:rPr>
        <w:lastRenderedPageBreak/>
        <w:t>infer that a country with sufficient financial power first w</w:t>
      </w:r>
      <w:r w:rsidR="00F31E5F">
        <w:rPr>
          <w:sz w:val="36"/>
          <w:szCs w:val="36"/>
        </w:rPr>
        <w:t>eaponizes its currency</w:t>
      </w:r>
      <w:r w:rsidR="001E7761" w:rsidRPr="001E7761">
        <w:rPr>
          <w:sz w:val="36"/>
          <w:szCs w:val="36"/>
        </w:rPr>
        <w:t xml:space="preserve"> </w:t>
      </w:r>
      <w:r w:rsidR="001E7761">
        <w:rPr>
          <w:sz w:val="36"/>
          <w:szCs w:val="36"/>
        </w:rPr>
        <w:t>[</w:t>
      </w:r>
      <w:r w:rsidR="001E7761" w:rsidRPr="005A12F5">
        <w:rPr>
          <w:sz w:val="36"/>
          <w:szCs w:val="36"/>
        </w:rPr>
        <w:t>perhaps by accumulating a war chest of international reserves</w:t>
      </w:r>
      <w:r w:rsidR="001E7761">
        <w:rPr>
          <w:sz w:val="36"/>
          <w:szCs w:val="36"/>
        </w:rPr>
        <w:t>]</w:t>
      </w:r>
      <w:r w:rsidR="006B1002" w:rsidRPr="005A12F5">
        <w:rPr>
          <w:sz w:val="36"/>
          <w:szCs w:val="36"/>
        </w:rPr>
        <w:t>, and then launches a speculative attack against a rival’s curren</w:t>
      </w:r>
      <w:r w:rsidR="008E7246">
        <w:rPr>
          <w:sz w:val="36"/>
          <w:szCs w:val="36"/>
        </w:rPr>
        <w:t>cy</w:t>
      </w:r>
      <w:r w:rsidR="00F31E5F">
        <w:rPr>
          <w:sz w:val="36"/>
          <w:szCs w:val="36"/>
        </w:rPr>
        <w:t xml:space="preserve">; </w:t>
      </w:r>
      <w:r w:rsidR="001E7761" w:rsidRPr="005A12F5">
        <w:rPr>
          <w:sz w:val="36"/>
          <w:szCs w:val="36"/>
        </w:rPr>
        <w:t>if others do the same in retaliation, that is a currency war.</w:t>
      </w:r>
    </w:p>
    <w:p w:rsidR="00E06E69" w:rsidRDefault="006B1002">
      <w:pPr>
        <w:rPr>
          <w:sz w:val="36"/>
          <w:szCs w:val="36"/>
        </w:rPr>
      </w:pPr>
      <w:r w:rsidRPr="005A12F5">
        <w:rPr>
          <w:sz w:val="36"/>
          <w:szCs w:val="36"/>
        </w:rPr>
        <w:t>This is nonsense</w:t>
      </w:r>
      <w:r w:rsidR="00F31E5F">
        <w:rPr>
          <w:sz w:val="36"/>
          <w:szCs w:val="36"/>
        </w:rPr>
        <w:t xml:space="preserve"> of course</w:t>
      </w:r>
      <w:r w:rsidR="002538AC" w:rsidRPr="005A12F5">
        <w:rPr>
          <w:sz w:val="36"/>
          <w:szCs w:val="36"/>
        </w:rPr>
        <w:t xml:space="preserve">.  One can make a metaphor out of each of the </w:t>
      </w:r>
      <w:r w:rsidR="00E06E69">
        <w:rPr>
          <w:sz w:val="36"/>
          <w:szCs w:val="36"/>
        </w:rPr>
        <w:t xml:space="preserve">three </w:t>
      </w:r>
      <w:r w:rsidR="002538AC" w:rsidRPr="005A12F5">
        <w:rPr>
          <w:sz w:val="36"/>
          <w:szCs w:val="36"/>
        </w:rPr>
        <w:t>militarist terms, but they bear little relation to each other</w:t>
      </w:r>
      <w:r w:rsidR="001938D2">
        <w:rPr>
          <w:sz w:val="36"/>
          <w:szCs w:val="36"/>
        </w:rPr>
        <w:t>.  Indeed the currency war metaphor i</w:t>
      </w:r>
      <w:r w:rsidR="007B667F">
        <w:rPr>
          <w:sz w:val="36"/>
          <w:szCs w:val="36"/>
        </w:rPr>
        <w:t>s diametrically opposed to the other metaphors</w:t>
      </w:r>
      <w:r w:rsidR="002538AC" w:rsidRPr="005A12F5">
        <w:rPr>
          <w:sz w:val="36"/>
          <w:szCs w:val="36"/>
        </w:rPr>
        <w:t xml:space="preserve">.  </w:t>
      </w:r>
      <w:r w:rsidR="00E06E69">
        <w:rPr>
          <w:sz w:val="36"/>
          <w:szCs w:val="36"/>
        </w:rPr>
        <w:t xml:space="preserve"> Let’s take currency wars, then attacks, then weaponization.</w:t>
      </w:r>
    </w:p>
    <w:p w:rsidR="00821C31" w:rsidRPr="00821C31" w:rsidRDefault="00821C31">
      <w:pPr>
        <w:rPr>
          <w:b/>
          <w:sz w:val="36"/>
          <w:szCs w:val="36"/>
        </w:rPr>
      </w:pPr>
      <w:r w:rsidRPr="00821C31">
        <w:rPr>
          <w:b/>
          <w:sz w:val="36"/>
          <w:szCs w:val="36"/>
        </w:rPr>
        <w:t>Currency war</w:t>
      </w:r>
    </w:p>
    <w:p w:rsidR="00B62028" w:rsidRPr="005A12F5" w:rsidRDefault="008C3826" w:rsidP="008C3826">
      <w:pPr>
        <w:pStyle w:val="ListParagraph"/>
        <w:numPr>
          <w:ilvl w:val="0"/>
          <w:numId w:val="1"/>
        </w:numPr>
        <w:rPr>
          <w:sz w:val="36"/>
          <w:szCs w:val="36"/>
        </w:rPr>
      </w:pPr>
      <w:r w:rsidRPr="005A12F5">
        <w:rPr>
          <w:sz w:val="36"/>
          <w:szCs w:val="36"/>
        </w:rPr>
        <w:t xml:space="preserve">When Brazilian leaders popularized the phrase currency war in 2010-11, </w:t>
      </w:r>
    </w:p>
    <w:p w:rsidR="008C3826" w:rsidRPr="005A12F5" w:rsidRDefault="008C3826" w:rsidP="00B62028">
      <w:pPr>
        <w:pStyle w:val="ListParagraph"/>
        <w:numPr>
          <w:ilvl w:val="1"/>
          <w:numId w:val="1"/>
        </w:numPr>
        <w:rPr>
          <w:sz w:val="36"/>
          <w:szCs w:val="36"/>
        </w:rPr>
      </w:pPr>
      <w:r w:rsidRPr="005A12F5">
        <w:rPr>
          <w:sz w:val="36"/>
          <w:szCs w:val="36"/>
        </w:rPr>
        <w:t>they were accusing the US and other countries of pursuing competitive depreciation.</w:t>
      </w:r>
    </w:p>
    <w:p w:rsidR="008C3826" w:rsidRPr="005A12F5" w:rsidRDefault="009F32C2" w:rsidP="00B62028">
      <w:pPr>
        <w:pStyle w:val="ListParagraph"/>
        <w:numPr>
          <w:ilvl w:val="1"/>
          <w:numId w:val="1"/>
        </w:numPr>
        <w:rPr>
          <w:sz w:val="36"/>
          <w:szCs w:val="36"/>
        </w:rPr>
      </w:pPr>
      <w:r w:rsidRPr="005A12F5">
        <w:rPr>
          <w:sz w:val="36"/>
          <w:szCs w:val="36"/>
        </w:rPr>
        <w:t xml:space="preserve">Major governments subsequently agreed to </w:t>
      </w:r>
      <w:hyperlink r:id="rId10" w:history="1">
        <w:r w:rsidRPr="005A12F5">
          <w:rPr>
            <w:rStyle w:val="Hyperlink"/>
            <w:sz w:val="36"/>
            <w:szCs w:val="36"/>
          </w:rPr>
          <w:t>refrain</w:t>
        </w:r>
      </w:hyperlink>
      <w:r w:rsidRPr="005A12F5">
        <w:rPr>
          <w:sz w:val="36"/>
          <w:szCs w:val="36"/>
        </w:rPr>
        <w:t xml:space="preserve"> </w:t>
      </w:r>
      <w:hyperlink r:id="rId11" w:history="1">
        <w:r w:rsidRPr="005A12F5">
          <w:rPr>
            <w:rStyle w:val="Hyperlink"/>
            <w:sz w:val="36"/>
            <w:szCs w:val="36"/>
          </w:rPr>
          <w:t>from</w:t>
        </w:r>
      </w:hyperlink>
      <w:r w:rsidRPr="005A12F5">
        <w:rPr>
          <w:sz w:val="36"/>
          <w:szCs w:val="36"/>
        </w:rPr>
        <w:t xml:space="preserve"> competitive depreciation [</w:t>
      </w:r>
      <w:r w:rsidR="002C0252" w:rsidRPr="005A12F5">
        <w:rPr>
          <w:sz w:val="36"/>
          <w:szCs w:val="36"/>
        </w:rPr>
        <w:t>Feb. 2013, G7</w:t>
      </w:r>
      <w:r w:rsidRPr="005A12F5">
        <w:rPr>
          <w:sz w:val="36"/>
          <w:szCs w:val="36"/>
        </w:rPr>
        <w:t xml:space="preserve"> ]</w:t>
      </w:r>
      <w:r w:rsidR="00005DA9" w:rsidRPr="005A12F5">
        <w:rPr>
          <w:sz w:val="36"/>
          <w:szCs w:val="36"/>
        </w:rPr>
        <w:t xml:space="preserve"> or currency manipulation, </w:t>
      </w:r>
      <w:r w:rsidR="00235544" w:rsidRPr="005A12F5">
        <w:rPr>
          <w:sz w:val="36"/>
          <w:szCs w:val="36"/>
        </w:rPr>
        <w:t xml:space="preserve">not only </w:t>
      </w:r>
      <w:r w:rsidR="00005DA9" w:rsidRPr="005A12F5">
        <w:rPr>
          <w:sz w:val="36"/>
          <w:szCs w:val="36"/>
        </w:rPr>
        <w:t xml:space="preserve">in the narrow sense of intervening to push down the foreign exchange values of their currencies </w:t>
      </w:r>
      <w:r w:rsidR="00235544" w:rsidRPr="005A12F5">
        <w:rPr>
          <w:sz w:val="36"/>
          <w:szCs w:val="36"/>
        </w:rPr>
        <w:t xml:space="preserve">but also </w:t>
      </w:r>
      <w:r w:rsidR="00005DA9" w:rsidRPr="005A12F5">
        <w:rPr>
          <w:sz w:val="36"/>
          <w:szCs w:val="36"/>
        </w:rPr>
        <w:t xml:space="preserve">in the </w:t>
      </w:r>
      <w:r w:rsidR="00235544" w:rsidRPr="005A12F5">
        <w:rPr>
          <w:sz w:val="36"/>
          <w:szCs w:val="36"/>
        </w:rPr>
        <w:t xml:space="preserve">wider </w:t>
      </w:r>
      <w:r w:rsidR="00005DA9" w:rsidRPr="005A12F5">
        <w:rPr>
          <w:sz w:val="36"/>
          <w:szCs w:val="36"/>
        </w:rPr>
        <w:t xml:space="preserve">sense of officials </w:t>
      </w:r>
      <w:r w:rsidR="00235544" w:rsidRPr="005A12F5">
        <w:rPr>
          <w:sz w:val="36"/>
          <w:szCs w:val="36"/>
        </w:rPr>
        <w:t xml:space="preserve">either </w:t>
      </w:r>
      <w:r w:rsidR="00005DA9" w:rsidRPr="005A12F5">
        <w:rPr>
          <w:sz w:val="36"/>
          <w:szCs w:val="36"/>
        </w:rPr>
        <w:t>“talking down their currencies” or pursuing monetary stimulus in a deliberate or explicit effort to depreciate them.</w:t>
      </w:r>
    </w:p>
    <w:p w:rsidR="00235544" w:rsidRDefault="00235544" w:rsidP="00B62028">
      <w:pPr>
        <w:pStyle w:val="ListParagraph"/>
        <w:numPr>
          <w:ilvl w:val="1"/>
          <w:numId w:val="1"/>
        </w:numPr>
        <w:rPr>
          <w:sz w:val="36"/>
          <w:szCs w:val="36"/>
        </w:rPr>
      </w:pPr>
      <w:r w:rsidRPr="005A12F5">
        <w:rPr>
          <w:sz w:val="36"/>
          <w:szCs w:val="36"/>
        </w:rPr>
        <w:t>No major country has violat</w:t>
      </w:r>
      <w:r w:rsidR="006E054C" w:rsidRPr="005A12F5">
        <w:rPr>
          <w:sz w:val="36"/>
          <w:szCs w:val="36"/>
        </w:rPr>
        <w:t>ed this agreement, to my knowledge…</w:t>
      </w:r>
      <w:r w:rsidRPr="005A12F5">
        <w:rPr>
          <w:sz w:val="36"/>
          <w:szCs w:val="36"/>
        </w:rPr>
        <w:t xml:space="preserve"> with one exception.  That exception is not China [which since 2015 has intervened in the opposite direction</w:t>
      </w:r>
      <w:r w:rsidR="006E054C" w:rsidRPr="005A12F5">
        <w:rPr>
          <w:sz w:val="36"/>
          <w:szCs w:val="36"/>
        </w:rPr>
        <w:t>, to keep its currency up</w:t>
      </w:r>
      <w:r w:rsidRPr="005A12F5">
        <w:rPr>
          <w:sz w:val="36"/>
          <w:szCs w:val="36"/>
        </w:rPr>
        <w:t>], but the United States.  Donald Trump</w:t>
      </w:r>
      <w:r w:rsidR="006E054C" w:rsidRPr="005A12F5">
        <w:rPr>
          <w:sz w:val="36"/>
          <w:szCs w:val="36"/>
        </w:rPr>
        <w:t xml:space="preserve"> has repeatedly engaged [unsuccessfully] in “verbal intervention” to talk down the dollar; more worryingly, he has crudely pressured the Fed to lower interest rates with the explicit objective of depreciating the dollar.</w:t>
      </w:r>
    </w:p>
    <w:p w:rsidR="00821C31" w:rsidRPr="00821C31" w:rsidRDefault="00821C31" w:rsidP="00821C31">
      <w:pPr>
        <w:rPr>
          <w:b/>
          <w:sz w:val="36"/>
          <w:szCs w:val="36"/>
        </w:rPr>
      </w:pPr>
      <w:r w:rsidRPr="00821C31">
        <w:rPr>
          <w:b/>
          <w:sz w:val="36"/>
          <w:szCs w:val="36"/>
        </w:rPr>
        <w:t>Attack</w:t>
      </w:r>
    </w:p>
    <w:p w:rsidR="00921550" w:rsidRPr="005A12F5" w:rsidRDefault="00B62028" w:rsidP="00821C31">
      <w:pPr>
        <w:pStyle w:val="ListParagraph"/>
        <w:numPr>
          <w:ilvl w:val="0"/>
          <w:numId w:val="1"/>
        </w:numPr>
        <w:rPr>
          <w:sz w:val="36"/>
          <w:szCs w:val="36"/>
        </w:rPr>
      </w:pPr>
      <w:r w:rsidRPr="005A12F5">
        <w:rPr>
          <w:sz w:val="36"/>
          <w:szCs w:val="36"/>
        </w:rPr>
        <w:t>Typically</w:t>
      </w:r>
      <w:r w:rsidR="007B667F">
        <w:rPr>
          <w:sz w:val="36"/>
          <w:szCs w:val="36"/>
        </w:rPr>
        <w:t>,</w:t>
      </w:r>
      <w:r w:rsidRPr="005A12F5">
        <w:rPr>
          <w:sz w:val="36"/>
          <w:szCs w:val="36"/>
        </w:rPr>
        <w:t xml:space="preserve"> analysts of interna</w:t>
      </w:r>
      <w:r w:rsidR="007B667F">
        <w:rPr>
          <w:sz w:val="36"/>
          <w:szCs w:val="36"/>
        </w:rPr>
        <w:t>tional relations associate</w:t>
      </w:r>
      <w:r w:rsidRPr="005A12F5">
        <w:rPr>
          <w:sz w:val="36"/>
          <w:szCs w:val="36"/>
        </w:rPr>
        <w:t xml:space="preserve"> </w:t>
      </w:r>
      <w:r w:rsidR="00A07D2D" w:rsidRPr="005A12F5">
        <w:rPr>
          <w:sz w:val="36"/>
          <w:szCs w:val="36"/>
        </w:rPr>
        <w:t xml:space="preserve">geopolitical power with </w:t>
      </w:r>
      <w:r w:rsidRPr="005A12F5">
        <w:rPr>
          <w:sz w:val="36"/>
          <w:szCs w:val="36"/>
        </w:rPr>
        <w:t xml:space="preserve">a </w:t>
      </w:r>
      <w:r w:rsidRPr="007B667F">
        <w:rPr>
          <w:i/>
          <w:sz w:val="36"/>
          <w:szCs w:val="36"/>
        </w:rPr>
        <w:t>strong</w:t>
      </w:r>
      <w:r w:rsidRPr="005A12F5">
        <w:rPr>
          <w:sz w:val="36"/>
          <w:szCs w:val="36"/>
        </w:rPr>
        <w:t xml:space="preserve"> currency, no</w:t>
      </w:r>
      <w:r w:rsidR="00A07D2D" w:rsidRPr="005A12F5">
        <w:rPr>
          <w:sz w:val="36"/>
          <w:szCs w:val="36"/>
        </w:rPr>
        <w:t>t a weak currency</w:t>
      </w:r>
      <w:r w:rsidRPr="005A12F5">
        <w:rPr>
          <w:sz w:val="36"/>
          <w:szCs w:val="36"/>
        </w:rPr>
        <w:t>.</w:t>
      </w:r>
      <w:r w:rsidR="00B84A27" w:rsidRPr="005A12F5">
        <w:rPr>
          <w:sz w:val="36"/>
          <w:szCs w:val="36"/>
        </w:rPr>
        <w:t xml:space="preserve">  Sometimes the militaristic language is used to describe the danger that </w:t>
      </w:r>
      <w:r w:rsidR="003035C1" w:rsidRPr="005A12F5">
        <w:rPr>
          <w:sz w:val="36"/>
          <w:szCs w:val="36"/>
        </w:rPr>
        <w:t>China will dump its vast stockpile of US treasury securities, which could drive down the dollar and drive up the interest rates that the US treasury has to pay.</w:t>
      </w:r>
      <w:r w:rsidR="00A07D2D" w:rsidRPr="005A12F5">
        <w:rPr>
          <w:sz w:val="36"/>
          <w:szCs w:val="36"/>
        </w:rPr>
        <w:t xml:space="preserve">  </w:t>
      </w:r>
    </w:p>
    <w:p w:rsidR="00921550" w:rsidRPr="005A12F5" w:rsidRDefault="00A07D2D" w:rsidP="00921550">
      <w:pPr>
        <w:pStyle w:val="ListParagraph"/>
        <w:numPr>
          <w:ilvl w:val="1"/>
          <w:numId w:val="1"/>
        </w:numPr>
        <w:rPr>
          <w:sz w:val="36"/>
          <w:szCs w:val="36"/>
        </w:rPr>
      </w:pPr>
      <w:r w:rsidRPr="005A12F5">
        <w:rPr>
          <w:sz w:val="36"/>
          <w:szCs w:val="36"/>
        </w:rPr>
        <w:t>But, again, this is the opposite of competitive depreciation.</w:t>
      </w:r>
      <w:r w:rsidR="003B4833" w:rsidRPr="005A12F5">
        <w:rPr>
          <w:sz w:val="36"/>
          <w:szCs w:val="36"/>
        </w:rPr>
        <w:t xml:space="preserve">  </w:t>
      </w:r>
    </w:p>
    <w:p w:rsidR="00B62028" w:rsidRPr="005A12F5" w:rsidRDefault="00A11BDC" w:rsidP="00921550">
      <w:pPr>
        <w:pStyle w:val="ListParagraph"/>
        <w:numPr>
          <w:ilvl w:val="1"/>
          <w:numId w:val="1"/>
        </w:numPr>
        <w:rPr>
          <w:sz w:val="36"/>
          <w:szCs w:val="36"/>
        </w:rPr>
      </w:pPr>
      <w:r>
        <w:rPr>
          <w:sz w:val="36"/>
          <w:szCs w:val="36"/>
        </w:rPr>
        <w:t>When a strategic rival s</w:t>
      </w:r>
      <w:r w:rsidR="003B4833" w:rsidRPr="005A12F5">
        <w:rPr>
          <w:sz w:val="36"/>
          <w:szCs w:val="36"/>
        </w:rPr>
        <w:t>hift</w:t>
      </w:r>
      <w:r>
        <w:rPr>
          <w:sz w:val="36"/>
          <w:szCs w:val="36"/>
        </w:rPr>
        <w:t>s</w:t>
      </w:r>
      <w:r w:rsidR="003B4833" w:rsidRPr="005A12F5">
        <w:rPr>
          <w:sz w:val="36"/>
          <w:szCs w:val="36"/>
        </w:rPr>
        <w:t xml:space="preserve"> out of dollars into other reserve currencies, </w:t>
      </w:r>
      <w:r>
        <w:rPr>
          <w:sz w:val="36"/>
          <w:szCs w:val="36"/>
        </w:rPr>
        <w:t xml:space="preserve">it does not appreciate the domestic currency. Russia is reported </w:t>
      </w:r>
      <w:r w:rsidR="003B4833" w:rsidRPr="005A12F5">
        <w:rPr>
          <w:sz w:val="36"/>
          <w:szCs w:val="36"/>
        </w:rPr>
        <w:t xml:space="preserve">to have </w:t>
      </w:r>
      <w:r>
        <w:rPr>
          <w:sz w:val="36"/>
          <w:szCs w:val="36"/>
        </w:rPr>
        <w:t xml:space="preserve">shifted out of dollars in 2018, </w:t>
      </w:r>
      <w:r w:rsidR="003B4833" w:rsidRPr="005A12F5">
        <w:rPr>
          <w:sz w:val="36"/>
          <w:szCs w:val="36"/>
        </w:rPr>
        <w:t xml:space="preserve">a defensive move against </w:t>
      </w:r>
      <w:r>
        <w:rPr>
          <w:sz w:val="36"/>
          <w:szCs w:val="36"/>
        </w:rPr>
        <w:t>US sanctions</w:t>
      </w:r>
      <w:r w:rsidR="003B4833" w:rsidRPr="005A12F5">
        <w:rPr>
          <w:sz w:val="36"/>
          <w:szCs w:val="36"/>
        </w:rPr>
        <w:t xml:space="preserve">.  </w:t>
      </w:r>
      <w:r>
        <w:rPr>
          <w:sz w:val="36"/>
          <w:szCs w:val="36"/>
        </w:rPr>
        <w:t>[</w:t>
      </w:r>
      <w:r w:rsidR="003B4833" w:rsidRPr="005A12F5">
        <w:rPr>
          <w:sz w:val="36"/>
          <w:szCs w:val="36"/>
        </w:rPr>
        <w:t>See weaponization below.]</w:t>
      </w:r>
      <w:r w:rsidR="00921550" w:rsidRPr="005A12F5">
        <w:rPr>
          <w:sz w:val="36"/>
          <w:szCs w:val="36"/>
        </w:rPr>
        <w:t xml:space="preserve"> </w:t>
      </w:r>
    </w:p>
    <w:p w:rsidR="00921550" w:rsidRPr="005A12F5" w:rsidRDefault="00921550" w:rsidP="00921550">
      <w:pPr>
        <w:pStyle w:val="ListParagraph"/>
        <w:numPr>
          <w:ilvl w:val="1"/>
          <w:numId w:val="1"/>
        </w:numPr>
        <w:rPr>
          <w:sz w:val="36"/>
          <w:szCs w:val="36"/>
        </w:rPr>
      </w:pPr>
      <w:r w:rsidRPr="005A12F5">
        <w:rPr>
          <w:sz w:val="36"/>
          <w:szCs w:val="36"/>
        </w:rPr>
        <w:t>More broadly when a country runs a huge budget deficit [$1 trillion for the US, even at the height of its business cycle] which in twin-deficit fashion translates into a big current account deficit</w:t>
      </w:r>
      <w:r w:rsidR="004B0419" w:rsidRPr="005A12F5">
        <w:rPr>
          <w:sz w:val="36"/>
          <w:szCs w:val="36"/>
        </w:rPr>
        <w:t xml:space="preserve">, it is normally perceived to </w:t>
      </w:r>
      <w:r w:rsidR="007B667F">
        <w:rPr>
          <w:sz w:val="36"/>
          <w:szCs w:val="36"/>
        </w:rPr>
        <w:t>be in danger of losing</w:t>
      </w:r>
      <w:r w:rsidR="004B0419" w:rsidRPr="005A12F5">
        <w:rPr>
          <w:sz w:val="36"/>
          <w:szCs w:val="36"/>
        </w:rPr>
        <w:t xml:space="preserve"> geopolitical power.</w:t>
      </w:r>
      <w:r w:rsidR="00B05CCF" w:rsidRPr="005A12F5">
        <w:rPr>
          <w:sz w:val="36"/>
          <w:szCs w:val="36"/>
        </w:rPr>
        <w:t xml:space="preserve">  Exhibit “A” is the experience of the UK in the course of the 20</w:t>
      </w:r>
      <w:r w:rsidR="00B05CCF" w:rsidRPr="005A12F5">
        <w:rPr>
          <w:sz w:val="36"/>
          <w:szCs w:val="36"/>
          <w:vertAlign w:val="superscript"/>
        </w:rPr>
        <w:t>th</w:t>
      </w:r>
      <w:r w:rsidR="00B05CCF" w:rsidRPr="005A12F5">
        <w:rPr>
          <w:sz w:val="36"/>
          <w:szCs w:val="36"/>
        </w:rPr>
        <w:t xml:space="preserve"> century.</w:t>
      </w:r>
    </w:p>
    <w:p w:rsidR="005611E3" w:rsidRPr="005A12F5" w:rsidRDefault="00511F66" w:rsidP="00921550">
      <w:pPr>
        <w:pStyle w:val="ListParagraph"/>
        <w:numPr>
          <w:ilvl w:val="1"/>
          <w:numId w:val="1"/>
        </w:numPr>
        <w:rPr>
          <w:sz w:val="36"/>
          <w:szCs w:val="36"/>
        </w:rPr>
      </w:pPr>
      <w:r w:rsidRPr="005A12F5">
        <w:rPr>
          <w:sz w:val="36"/>
          <w:szCs w:val="36"/>
        </w:rPr>
        <w:t>The US of course inherited Britain’s “exorbitant privilege,” an ease of financing its deficits because other country’s want to hold the world’s number one international currency.</w:t>
      </w:r>
      <w:r w:rsidR="00D64141" w:rsidRPr="005A12F5">
        <w:rPr>
          <w:sz w:val="36"/>
          <w:szCs w:val="36"/>
        </w:rPr>
        <w:t xml:space="preserve">  Despite decades of curr</w:t>
      </w:r>
      <w:r w:rsidR="00A11BDC">
        <w:rPr>
          <w:sz w:val="36"/>
          <w:szCs w:val="36"/>
        </w:rPr>
        <w:t>ent account deficits</w:t>
      </w:r>
      <w:r w:rsidR="003A5BF6" w:rsidRPr="005A12F5">
        <w:rPr>
          <w:sz w:val="36"/>
          <w:szCs w:val="36"/>
        </w:rPr>
        <w:t>, the dollar’s role as by far the leading international currency continues</w:t>
      </w:r>
      <w:r w:rsidR="007B667F">
        <w:rPr>
          <w:sz w:val="36"/>
          <w:szCs w:val="36"/>
        </w:rPr>
        <w:t>, as already documented [</w:t>
      </w:r>
      <w:r w:rsidR="003A5BF6" w:rsidRPr="005A12F5">
        <w:rPr>
          <w:sz w:val="36"/>
          <w:szCs w:val="36"/>
        </w:rPr>
        <w:t>by statistics on international use of the major currencies</w:t>
      </w:r>
      <w:r w:rsidR="007B667F">
        <w:rPr>
          <w:sz w:val="36"/>
          <w:szCs w:val="36"/>
        </w:rPr>
        <w:t>]</w:t>
      </w:r>
      <w:r w:rsidR="003A5BF6" w:rsidRPr="005A12F5">
        <w:rPr>
          <w:sz w:val="36"/>
          <w:szCs w:val="36"/>
        </w:rPr>
        <w:t xml:space="preserve">.  </w:t>
      </w:r>
    </w:p>
    <w:p w:rsidR="00F80D6A" w:rsidRDefault="007B667F" w:rsidP="00F80D6A">
      <w:pPr>
        <w:pStyle w:val="ListParagraph"/>
        <w:numPr>
          <w:ilvl w:val="1"/>
          <w:numId w:val="1"/>
        </w:numPr>
        <w:rPr>
          <w:sz w:val="36"/>
          <w:szCs w:val="36"/>
        </w:rPr>
      </w:pPr>
      <w:r>
        <w:rPr>
          <w:sz w:val="36"/>
          <w:szCs w:val="36"/>
        </w:rPr>
        <w:t>T</w:t>
      </w:r>
      <w:r w:rsidR="003A5BF6" w:rsidRPr="005A12F5">
        <w:rPr>
          <w:sz w:val="36"/>
          <w:szCs w:val="36"/>
        </w:rPr>
        <w:t xml:space="preserve">he most dramatic illustration </w:t>
      </w:r>
      <w:r w:rsidR="00A11BDC">
        <w:rPr>
          <w:sz w:val="36"/>
          <w:szCs w:val="36"/>
        </w:rPr>
        <w:t xml:space="preserve">of the dollar’s special status </w:t>
      </w:r>
      <w:r w:rsidR="003A5BF6" w:rsidRPr="005A12F5">
        <w:rPr>
          <w:sz w:val="36"/>
          <w:szCs w:val="36"/>
        </w:rPr>
        <w:t>occurs every time international financial markets swing into “risk off” mode: the response is a [safe-haven] flight into dollars, and this happens even wh</w:t>
      </w:r>
      <w:r w:rsidR="00A11BDC">
        <w:rPr>
          <w:sz w:val="36"/>
          <w:szCs w:val="36"/>
        </w:rPr>
        <w:t>en the impetus for the increase</w:t>
      </w:r>
      <w:r w:rsidR="003A5BF6" w:rsidRPr="005A12F5">
        <w:rPr>
          <w:sz w:val="36"/>
          <w:szCs w:val="36"/>
        </w:rPr>
        <w:t xml:space="preserve"> in perce</w:t>
      </w:r>
      <w:r w:rsidR="00A11BDC">
        <w:rPr>
          <w:sz w:val="36"/>
          <w:szCs w:val="36"/>
        </w:rPr>
        <w:t xml:space="preserve">ived risk is some serious stumble </w:t>
      </w:r>
      <w:r w:rsidR="003A5BF6" w:rsidRPr="005A12F5">
        <w:rPr>
          <w:sz w:val="36"/>
          <w:szCs w:val="36"/>
        </w:rPr>
        <w:t xml:space="preserve">in the US </w:t>
      </w:r>
      <w:r w:rsidR="00A11BDC">
        <w:rPr>
          <w:sz w:val="36"/>
          <w:szCs w:val="36"/>
        </w:rPr>
        <w:t xml:space="preserve">itself </w:t>
      </w:r>
      <w:r w:rsidR="003A5BF6" w:rsidRPr="005A12F5">
        <w:rPr>
          <w:sz w:val="36"/>
          <w:szCs w:val="36"/>
        </w:rPr>
        <w:t>[such as the 2008 global financial crisis or Trump’s trade war].</w:t>
      </w:r>
    </w:p>
    <w:p w:rsidR="00821C31" w:rsidRPr="00821C31" w:rsidRDefault="00821C31" w:rsidP="00821C31">
      <w:pPr>
        <w:rPr>
          <w:b/>
          <w:sz w:val="36"/>
          <w:szCs w:val="36"/>
        </w:rPr>
      </w:pPr>
      <w:r>
        <w:rPr>
          <w:b/>
          <w:sz w:val="36"/>
          <w:szCs w:val="36"/>
        </w:rPr>
        <w:t>Weaponization</w:t>
      </w:r>
    </w:p>
    <w:p w:rsidR="00317518" w:rsidRDefault="006910B2" w:rsidP="006910B2">
      <w:pPr>
        <w:pStyle w:val="ListParagraph"/>
        <w:numPr>
          <w:ilvl w:val="0"/>
          <w:numId w:val="1"/>
        </w:numPr>
        <w:rPr>
          <w:sz w:val="36"/>
          <w:szCs w:val="36"/>
        </w:rPr>
      </w:pPr>
      <w:r>
        <w:rPr>
          <w:sz w:val="36"/>
          <w:szCs w:val="36"/>
        </w:rPr>
        <w:t xml:space="preserve">     </w:t>
      </w:r>
      <w:r w:rsidRPr="00317518">
        <w:rPr>
          <w:b/>
          <w:sz w:val="36"/>
          <w:szCs w:val="36"/>
        </w:rPr>
        <w:t>The weaponization of the dollar</w:t>
      </w:r>
      <w:r>
        <w:rPr>
          <w:sz w:val="36"/>
          <w:szCs w:val="36"/>
        </w:rPr>
        <w:t>, I think, generally refers to exploitation by the US government of the dollar’ s role as #1 international currency to extend</w:t>
      </w:r>
      <w:r w:rsidR="00317518">
        <w:rPr>
          <w:sz w:val="36"/>
          <w:szCs w:val="36"/>
        </w:rPr>
        <w:t xml:space="preserve"> extra-territorially</w:t>
      </w:r>
      <w:r>
        <w:rPr>
          <w:sz w:val="36"/>
          <w:szCs w:val="36"/>
        </w:rPr>
        <w:t xml:space="preserve"> the reach of US law and policy</w:t>
      </w:r>
      <w:r w:rsidR="00317518">
        <w:rPr>
          <w:sz w:val="36"/>
          <w:szCs w:val="36"/>
        </w:rPr>
        <w:t>.   Probably the most</w:t>
      </w:r>
      <w:r>
        <w:rPr>
          <w:sz w:val="36"/>
          <w:szCs w:val="36"/>
        </w:rPr>
        <w:t xml:space="preserve"> salie</w:t>
      </w:r>
      <w:r w:rsidR="00317518">
        <w:rPr>
          <w:sz w:val="36"/>
          <w:szCs w:val="36"/>
        </w:rPr>
        <w:t xml:space="preserve">nt example is US </w:t>
      </w:r>
      <w:r>
        <w:rPr>
          <w:sz w:val="36"/>
          <w:szCs w:val="36"/>
        </w:rPr>
        <w:t>enforcement of economic</w:t>
      </w:r>
      <w:r w:rsidR="00A0066C">
        <w:rPr>
          <w:sz w:val="36"/>
          <w:szCs w:val="36"/>
        </w:rPr>
        <w:t xml:space="preserve"> sanctions  against Iran.  I</w:t>
      </w:r>
      <w:r>
        <w:rPr>
          <w:sz w:val="36"/>
          <w:szCs w:val="36"/>
        </w:rPr>
        <w:t>t</w:t>
      </w:r>
      <w:r w:rsidR="00A0066C">
        <w:rPr>
          <w:sz w:val="36"/>
          <w:szCs w:val="36"/>
        </w:rPr>
        <w:t xml:space="preserve"> i</w:t>
      </w:r>
      <w:r>
        <w:rPr>
          <w:sz w:val="36"/>
          <w:szCs w:val="36"/>
        </w:rPr>
        <w:t xml:space="preserve">s not just the dollar share of the SWIFT </w:t>
      </w:r>
      <w:r w:rsidR="00A0066C">
        <w:rPr>
          <w:sz w:val="36"/>
          <w:szCs w:val="36"/>
        </w:rPr>
        <w:t>payments</w:t>
      </w:r>
      <w:r>
        <w:rPr>
          <w:sz w:val="36"/>
          <w:szCs w:val="36"/>
        </w:rPr>
        <w:t xml:space="preserve"> system </w:t>
      </w:r>
      <w:r w:rsidR="00A0066C">
        <w:rPr>
          <w:sz w:val="36"/>
          <w:szCs w:val="36"/>
        </w:rPr>
        <w:t xml:space="preserve">or of the </w:t>
      </w:r>
      <w:r>
        <w:rPr>
          <w:sz w:val="36"/>
          <w:szCs w:val="36"/>
        </w:rPr>
        <w:t>inter</w:t>
      </w:r>
      <w:r w:rsidR="00A0066C">
        <w:rPr>
          <w:sz w:val="36"/>
          <w:szCs w:val="36"/>
        </w:rPr>
        <w:t>nat</w:t>
      </w:r>
      <w:r>
        <w:rPr>
          <w:sz w:val="36"/>
          <w:szCs w:val="36"/>
        </w:rPr>
        <w:t>ional banking system</w:t>
      </w:r>
      <w:r w:rsidR="00A0066C">
        <w:rPr>
          <w:sz w:val="36"/>
          <w:szCs w:val="36"/>
        </w:rPr>
        <w:t xml:space="preserve"> more general</w:t>
      </w:r>
      <w:r>
        <w:rPr>
          <w:sz w:val="36"/>
          <w:szCs w:val="36"/>
        </w:rPr>
        <w:t>,</w:t>
      </w:r>
      <w:r w:rsidR="00A0066C">
        <w:rPr>
          <w:sz w:val="36"/>
          <w:szCs w:val="36"/>
        </w:rPr>
        <w:t xml:space="preserve"> that the US </w:t>
      </w:r>
      <w:r w:rsidR="00317518">
        <w:rPr>
          <w:sz w:val="36"/>
          <w:szCs w:val="36"/>
        </w:rPr>
        <w:t>is s</w:t>
      </w:r>
      <w:r w:rsidR="00A0066C">
        <w:rPr>
          <w:sz w:val="36"/>
          <w:szCs w:val="36"/>
        </w:rPr>
        <w:t xml:space="preserve">hutting Iran out of; it is the entire international banking system.  </w:t>
      </w:r>
    </w:p>
    <w:p w:rsidR="00317518" w:rsidRDefault="00A0066C" w:rsidP="00317518">
      <w:pPr>
        <w:pStyle w:val="ListParagraph"/>
        <w:numPr>
          <w:ilvl w:val="1"/>
          <w:numId w:val="1"/>
        </w:numPr>
        <w:rPr>
          <w:sz w:val="36"/>
          <w:szCs w:val="36"/>
        </w:rPr>
      </w:pPr>
      <w:r>
        <w:rPr>
          <w:sz w:val="36"/>
          <w:szCs w:val="36"/>
        </w:rPr>
        <w:t>Even before Iran agreed to halt its nuclear</w:t>
      </w:r>
      <w:r w:rsidR="00E829D0">
        <w:rPr>
          <w:sz w:val="36"/>
          <w:szCs w:val="36"/>
        </w:rPr>
        <w:t xml:space="preserve"> weapons program, there was occasional</w:t>
      </w:r>
      <w:r>
        <w:rPr>
          <w:sz w:val="36"/>
          <w:szCs w:val="36"/>
        </w:rPr>
        <w:t xml:space="preserve"> grumbling </w:t>
      </w:r>
      <w:r w:rsidR="00E829D0">
        <w:rPr>
          <w:sz w:val="36"/>
          <w:szCs w:val="36"/>
        </w:rPr>
        <w:t xml:space="preserve">in </w:t>
      </w:r>
      <w:r>
        <w:rPr>
          <w:sz w:val="36"/>
          <w:szCs w:val="36"/>
        </w:rPr>
        <w:t xml:space="preserve">Europe about extraterritoriality, some suspicion that the US might be quicker to impose large penalties on European banks for violating sanctions than on US banks.  </w:t>
      </w:r>
    </w:p>
    <w:p w:rsidR="00317518" w:rsidRDefault="00DB6338" w:rsidP="00317518">
      <w:pPr>
        <w:pStyle w:val="ListParagraph"/>
        <w:numPr>
          <w:ilvl w:val="1"/>
          <w:numId w:val="1"/>
        </w:numPr>
        <w:rPr>
          <w:sz w:val="36"/>
          <w:szCs w:val="36"/>
        </w:rPr>
      </w:pPr>
      <w:r>
        <w:rPr>
          <w:sz w:val="36"/>
          <w:szCs w:val="36"/>
        </w:rPr>
        <w:t xml:space="preserve">But since </w:t>
      </w:r>
      <w:r w:rsidR="00A0066C">
        <w:rPr>
          <w:sz w:val="36"/>
          <w:szCs w:val="36"/>
        </w:rPr>
        <w:t>President Trump abrogated a treaty that Iran was abiding by</w:t>
      </w:r>
      <w:r w:rsidR="00317518">
        <w:rPr>
          <w:sz w:val="36"/>
          <w:szCs w:val="36"/>
        </w:rPr>
        <w:t>, enforcing the sanctions via SWIFT</w:t>
      </w:r>
      <w:r w:rsidR="00E829D0">
        <w:rPr>
          <w:sz w:val="36"/>
          <w:szCs w:val="36"/>
        </w:rPr>
        <w:t xml:space="preserve"> does seem an abuse of the exorbitant privilege, an exercise in US hegemony </w:t>
      </w:r>
      <w:r w:rsidR="00317518">
        <w:rPr>
          <w:sz w:val="36"/>
          <w:szCs w:val="36"/>
        </w:rPr>
        <w:t>that</w:t>
      </w:r>
      <w:r w:rsidR="00E829D0">
        <w:rPr>
          <w:sz w:val="36"/>
          <w:szCs w:val="36"/>
        </w:rPr>
        <w:t xml:space="preserve"> can no longer be justified as conducting the international orchestra (in Kindleberger’s phrase) in the name of a global public good</w:t>
      </w:r>
      <w:r w:rsidR="00A0066C">
        <w:rPr>
          <w:sz w:val="36"/>
          <w:szCs w:val="36"/>
        </w:rPr>
        <w:t xml:space="preserve">.               </w:t>
      </w:r>
      <w:r w:rsidR="00E829D0">
        <w:rPr>
          <w:sz w:val="36"/>
          <w:szCs w:val="36"/>
        </w:rPr>
        <w:t xml:space="preserve">  </w:t>
      </w:r>
    </w:p>
    <w:p w:rsidR="00821C31" w:rsidRPr="002653D6" w:rsidRDefault="00A0066C" w:rsidP="002653D6">
      <w:pPr>
        <w:pStyle w:val="ListParagraph"/>
        <w:numPr>
          <w:ilvl w:val="1"/>
          <w:numId w:val="1"/>
        </w:numPr>
        <w:rPr>
          <w:sz w:val="36"/>
          <w:szCs w:val="36"/>
        </w:rPr>
      </w:pPr>
      <w:r w:rsidRPr="00317518">
        <w:rPr>
          <w:sz w:val="36"/>
          <w:szCs w:val="36"/>
        </w:rPr>
        <w:t>I still find it hard to believe that Europe or C</w:t>
      </w:r>
      <w:r w:rsidR="00821C31">
        <w:rPr>
          <w:sz w:val="36"/>
          <w:szCs w:val="36"/>
        </w:rPr>
        <w:t>hina will not succeed in effort</w:t>
      </w:r>
      <w:r w:rsidRPr="00317518">
        <w:rPr>
          <w:sz w:val="36"/>
          <w:szCs w:val="36"/>
        </w:rPr>
        <w:t>s to develop alternative payments mechanism to allow Iran to sell its oil.</w:t>
      </w:r>
      <w:r w:rsidR="006910B2" w:rsidRPr="00317518">
        <w:rPr>
          <w:sz w:val="36"/>
          <w:szCs w:val="36"/>
        </w:rPr>
        <w:t xml:space="preserve">  </w:t>
      </w:r>
      <w:r w:rsidRPr="00317518">
        <w:rPr>
          <w:sz w:val="36"/>
          <w:szCs w:val="36"/>
        </w:rPr>
        <w:t>If so, this could help undermine the</w:t>
      </w:r>
      <w:r w:rsidR="00317518">
        <w:rPr>
          <w:sz w:val="36"/>
          <w:szCs w:val="36"/>
        </w:rPr>
        <w:t xml:space="preserve"> long-run primacy of the dollar.  </w:t>
      </w:r>
    </w:p>
    <w:p w:rsidR="00821C31" w:rsidRPr="00821C31" w:rsidRDefault="00821C31" w:rsidP="00821C31">
      <w:pPr>
        <w:rPr>
          <w:sz w:val="36"/>
          <w:szCs w:val="36"/>
        </w:rPr>
      </w:pPr>
      <w:r>
        <w:rPr>
          <w:sz w:val="36"/>
          <w:szCs w:val="36"/>
        </w:rPr>
        <w:t>References</w:t>
      </w:r>
    </w:p>
    <w:p w:rsidR="00103D13" w:rsidRPr="00821C31" w:rsidRDefault="00103D13" w:rsidP="00821C31">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Bank for International Settlements, 2019, </w:t>
      </w:r>
      <w:hyperlink r:id="rId12" w:history="1">
        <w:r w:rsidRPr="00821C31">
          <w:rPr>
            <w:rStyle w:val="Hyperlink"/>
            <w:rFonts w:ascii="Helvetica" w:hAnsi="Helvetica" w:cs="Helvetica"/>
            <w:color w:val="9F9F9F"/>
            <w:sz w:val="28"/>
            <w:szCs w:val="28"/>
            <w:bdr w:val="none" w:sz="0" w:space="0" w:color="auto" w:frame="1"/>
          </w:rPr>
          <w:t>Triennial Central Bank Survey</w:t>
        </w:r>
      </w:hyperlink>
      <w:r w:rsidRPr="00821C31">
        <w:rPr>
          <w:rFonts w:ascii="Helvetica" w:hAnsi="Helvetica" w:cs="Helvetica"/>
          <w:color w:val="444444"/>
          <w:sz w:val="28"/>
          <w:szCs w:val="28"/>
        </w:rPr>
        <w:t> – Foreign Exchange Turnover in April 2019, Monetary and Economic Department, September.    </w:t>
      </w:r>
    </w:p>
    <w:p w:rsidR="00103D13" w:rsidRPr="00821C31" w:rsidRDefault="00103D13" w:rsidP="00821C31">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Menzie Chinn, 2013, “</w:t>
      </w:r>
      <w:hyperlink r:id="rId13" w:history="1">
        <w:r w:rsidRPr="00821C31">
          <w:rPr>
            <w:rStyle w:val="Hyperlink"/>
            <w:rFonts w:ascii="Helvetica" w:hAnsi="Helvetica" w:cs="Helvetica"/>
            <w:color w:val="9F9F9F"/>
            <w:sz w:val="28"/>
            <w:szCs w:val="28"/>
            <w:bdr w:val="none" w:sz="0" w:space="0" w:color="auto" w:frame="1"/>
          </w:rPr>
          <w:t>What Currencies are Foreign Exchange Reserves Held In?”</w:t>
        </w:r>
      </w:hyperlink>
      <w:r w:rsidRPr="00821C31">
        <w:rPr>
          <w:rFonts w:ascii="Helvetica" w:hAnsi="Helvetica" w:cs="Helvetica"/>
          <w:color w:val="444444"/>
          <w:sz w:val="28"/>
          <w:szCs w:val="28"/>
        </w:rPr>
        <w:t> Econbrowser, Oct. 31.   </w:t>
      </w:r>
    </w:p>
    <w:p w:rsidR="00103D13" w:rsidRPr="00821C31" w:rsidRDefault="00103D13" w:rsidP="00821C31">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Menzie Chinn and J. Frankel, 2007, “</w:t>
      </w:r>
      <w:hyperlink r:id="rId14" w:history="1">
        <w:r w:rsidRPr="00821C31">
          <w:rPr>
            <w:rStyle w:val="Hyperlink"/>
            <w:rFonts w:ascii="Helvetica" w:hAnsi="Helvetica" w:cs="Helvetica"/>
            <w:color w:val="9F9F9F"/>
            <w:sz w:val="28"/>
            <w:szCs w:val="28"/>
            <w:bdr w:val="none" w:sz="0" w:space="0" w:color="auto" w:frame="1"/>
          </w:rPr>
          <w:t>“Will the Euro Eventually Surpass the Dollar as Leading International Reserve Currency?”</w:t>
        </w:r>
      </w:hyperlink>
      <w:r w:rsidRPr="00821C31">
        <w:rPr>
          <w:rFonts w:ascii="Helvetica" w:hAnsi="Helvetica" w:cs="Helvetica"/>
          <w:color w:val="444444"/>
          <w:sz w:val="28"/>
          <w:szCs w:val="28"/>
        </w:rPr>
        <w:t>  in </w:t>
      </w:r>
      <w:hyperlink r:id="rId15" w:history="1">
        <w:r w:rsidRPr="00821C31">
          <w:rPr>
            <w:rStyle w:val="Emphasis"/>
            <w:rFonts w:ascii="Helvetica" w:hAnsi="Helvetica" w:cs="Helvetica"/>
            <w:color w:val="9F9F9F"/>
            <w:sz w:val="28"/>
            <w:szCs w:val="28"/>
            <w:bdr w:val="none" w:sz="0" w:space="0" w:color="auto" w:frame="1"/>
          </w:rPr>
          <w:t>G7 Current Account Imbalances: Sustainability and Adjustment</w:t>
        </w:r>
      </w:hyperlink>
      <w:r w:rsidRPr="00821C31">
        <w:rPr>
          <w:rFonts w:ascii="Helvetica" w:hAnsi="Helvetica" w:cs="Helvetica"/>
          <w:color w:val="444444"/>
          <w:sz w:val="28"/>
          <w:szCs w:val="28"/>
        </w:rPr>
        <w:t>,  edited by Richard Clarida (University of Chicago Press: Chicago). </w:t>
      </w:r>
    </w:p>
    <w:p w:rsidR="00103D13" w:rsidRPr="00821C31" w:rsidRDefault="00103D13" w:rsidP="00821C31">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Barry Eichengreen, 2005, “Sterling’s Past, Dollar’s Future: Historical Perspectives on Reserve Currency Competition,” </w:t>
      </w:r>
      <w:hyperlink r:id="rId16" w:history="1">
        <w:r w:rsidRPr="00821C31">
          <w:rPr>
            <w:rStyle w:val="Hyperlink"/>
            <w:rFonts w:ascii="Helvetica" w:hAnsi="Helvetica" w:cs="Helvetica"/>
            <w:color w:val="9F9F9F"/>
            <w:sz w:val="28"/>
            <w:szCs w:val="28"/>
            <w:bdr w:val="none" w:sz="0" w:space="0" w:color="auto" w:frame="1"/>
          </w:rPr>
          <w:t>NBER Working Paper No.11336</w:t>
        </w:r>
      </w:hyperlink>
      <w:r w:rsidRPr="00821C31">
        <w:rPr>
          <w:rFonts w:ascii="Helvetica" w:hAnsi="Helvetica" w:cs="Helvetica"/>
          <w:color w:val="444444"/>
          <w:sz w:val="28"/>
          <w:szCs w:val="28"/>
        </w:rPr>
        <w:t>, May.    </w:t>
      </w:r>
    </w:p>
    <w:p w:rsidR="00103D13" w:rsidRPr="00821C31" w:rsidRDefault="00103D13" w:rsidP="00821C31">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 —— 2011, “</w:t>
      </w:r>
      <w:hyperlink r:id="rId17" w:history="1">
        <w:r w:rsidRPr="00821C31">
          <w:rPr>
            <w:rStyle w:val="Hyperlink"/>
            <w:rFonts w:ascii="Helvetica" w:hAnsi="Helvetica" w:cs="Helvetica"/>
            <w:color w:val="9F9F9F"/>
            <w:sz w:val="28"/>
            <w:szCs w:val="28"/>
            <w:bdr w:val="none" w:sz="0" w:space="0" w:color="auto" w:frame="1"/>
          </w:rPr>
          <w:t>The Renminbi as an International Currency</w:t>
        </w:r>
      </w:hyperlink>
      <w:r w:rsidRPr="00821C31">
        <w:rPr>
          <w:rFonts w:ascii="Helvetica" w:hAnsi="Helvetica" w:cs="Helvetica"/>
          <w:color w:val="444444"/>
          <w:sz w:val="28"/>
          <w:szCs w:val="28"/>
        </w:rPr>
        <w:t>.” </w:t>
      </w:r>
      <w:hyperlink r:id="rId18" w:history="1">
        <w:r w:rsidRPr="00821C31">
          <w:rPr>
            <w:rStyle w:val="Hyperlink"/>
            <w:rFonts w:ascii="Helvetica" w:hAnsi="Helvetica" w:cs="Helvetica"/>
            <w:color w:val="9F9F9F"/>
            <w:sz w:val="28"/>
            <w:szCs w:val="28"/>
            <w:bdr w:val="none" w:sz="0" w:space="0" w:color="auto" w:frame="1"/>
          </w:rPr>
          <w:t>J</w:t>
        </w:r>
        <w:r w:rsidRPr="00821C31">
          <w:rPr>
            <w:rStyle w:val="Emphasis"/>
            <w:rFonts w:ascii="Helvetica" w:hAnsi="Helvetica" w:cs="Helvetica"/>
            <w:color w:val="9F9F9F"/>
            <w:sz w:val="28"/>
            <w:szCs w:val="28"/>
            <w:bdr w:val="none" w:sz="0" w:space="0" w:color="auto" w:frame="1"/>
          </w:rPr>
          <w:t>ournal of Policy Modeling</w:t>
        </w:r>
      </w:hyperlink>
      <w:r w:rsidRPr="00821C31">
        <w:rPr>
          <w:rStyle w:val="Emphasis"/>
          <w:rFonts w:ascii="Helvetica" w:hAnsi="Helvetica" w:cs="Helvetica"/>
          <w:color w:val="9F9F9F"/>
          <w:sz w:val="28"/>
          <w:szCs w:val="28"/>
          <w:u w:val="single"/>
          <w:bdr w:val="none" w:sz="0" w:space="0" w:color="auto" w:frame="1"/>
        </w:rPr>
        <w:t xml:space="preserve"> </w:t>
      </w:r>
      <w:r w:rsidRPr="00821C31">
        <w:rPr>
          <w:rFonts w:ascii="Helvetica" w:hAnsi="Helvetica" w:cs="Helvetica"/>
          <w:color w:val="444444"/>
          <w:sz w:val="28"/>
          <w:szCs w:val="28"/>
        </w:rPr>
        <w:t>33 (5): 723-730.  </w:t>
      </w:r>
    </w:p>
    <w:p w:rsidR="00103D13" w:rsidRPr="00821C31" w:rsidRDefault="00103D13" w:rsidP="00821C31">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J. Frankel, 1995, </w:t>
      </w:r>
      <w:hyperlink r:id="rId19" w:history="1">
        <w:r w:rsidRPr="00821C31">
          <w:rPr>
            <w:rStyle w:val="Hyperlink"/>
            <w:rFonts w:ascii="Helvetica" w:hAnsi="Helvetica" w:cs="Helvetica"/>
            <w:color w:val="9F9F9F"/>
            <w:sz w:val="28"/>
            <w:szCs w:val="28"/>
            <w:bdr w:val="none" w:sz="0" w:space="0" w:color="auto" w:frame="1"/>
          </w:rPr>
          <w:t>“Still the Lingua Franca: The Exaggerated Death of the Dollar,” </w:t>
        </w:r>
      </w:hyperlink>
      <w:r w:rsidRPr="00821C31">
        <w:rPr>
          <w:rStyle w:val="Emphasis"/>
          <w:rFonts w:ascii="Helvetica" w:hAnsi="Helvetica" w:cs="Helvetica"/>
          <w:color w:val="444444"/>
          <w:sz w:val="28"/>
          <w:szCs w:val="28"/>
          <w:bdr w:val="none" w:sz="0" w:space="0" w:color="auto" w:frame="1"/>
        </w:rPr>
        <w:t>Foreign Affairs</w:t>
      </w:r>
      <w:r w:rsidRPr="00821C31">
        <w:rPr>
          <w:rFonts w:ascii="Helvetica" w:hAnsi="Helvetica" w:cs="Helvetica"/>
          <w:color w:val="444444"/>
          <w:sz w:val="28"/>
          <w:szCs w:val="28"/>
        </w:rPr>
        <w:t>, 74, no. 4, July/August, 9-16  </w:t>
      </w:r>
    </w:p>
    <w:p w:rsidR="00103D13" w:rsidRPr="00821C31" w:rsidRDefault="00103D13" w:rsidP="00821C31">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 ——- 2012, “</w:t>
      </w:r>
      <w:hyperlink r:id="rId20" w:history="1">
        <w:r w:rsidRPr="00821C31">
          <w:rPr>
            <w:rStyle w:val="Hyperlink"/>
            <w:rFonts w:ascii="Helvetica" w:hAnsi="Helvetica" w:cs="Helvetica"/>
            <w:color w:val="9F9F9F"/>
            <w:sz w:val="28"/>
            <w:szCs w:val="28"/>
            <w:bdr w:val="none" w:sz="0" w:space="0" w:color="auto" w:frame="1"/>
          </w:rPr>
          <w:t>Internationalization of the RMB and Historical Precedents</w:t>
        </w:r>
      </w:hyperlink>
      <w:r w:rsidRPr="00821C31">
        <w:rPr>
          <w:rFonts w:ascii="Helvetica" w:hAnsi="Helvetica" w:cs="Helvetica"/>
          <w:color w:val="444444"/>
          <w:sz w:val="28"/>
          <w:szCs w:val="28"/>
        </w:rPr>
        <w:t>,” </w:t>
      </w:r>
      <w:hyperlink r:id="rId21" w:history="1">
        <w:r w:rsidRPr="00821C31">
          <w:rPr>
            <w:rStyle w:val="Hyperlink"/>
            <w:rFonts w:ascii="Helvetica" w:hAnsi="Helvetica" w:cs="Helvetica"/>
            <w:color w:val="9F9F9F"/>
            <w:sz w:val="28"/>
            <w:szCs w:val="28"/>
            <w:bdr w:val="none" w:sz="0" w:space="0" w:color="auto" w:frame="1"/>
          </w:rPr>
          <w:t>published</w:t>
        </w:r>
      </w:hyperlink>
      <w:r w:rsidRPr="00821C31">
        <w:rPr>
          <w:rFonts w:ascii="Helvetica" w:hAnsi="Helvetica" w:cs="Helvetica"/>
          <w:color w:val="444444"/>
          <w:sz w:val="28"/>
          <w:szCs w:val="28"/>
        </w:rPr>
        <w:t> in </w:t>
      </w:r>
      <w:hyperlink r:id="rId22" w:history="1">
        <w:r w:rsidRPr="00821C31">
          <w:rPr>
            <w:rStyle w:val="Emphasis"/>
            <w:rFonts w:ascii="Helvetica" w:hAnsi="Helvetica" w:cs="Helvetica"/>
            <w:color w:val="9F9F9F"/>
            <w:sz w:val="28"/>
            <w:szCs w:val="28"/>
            <w:bdr w:val="none" w:sz="0" w:space="0" w:color="auto" w:frame="1"/>
          </w:rPr>
          <w:t>Journal of Economic Integration</w:t>
        </w:r>
      </w:hyperlink>
      <w:r w:rsidRPr="00821C31">
        <w:rPr>
          <w:rStyle w:val="Emphasis"/>
          <w:rFonts w:ascii="Helvetica" w:hAnsi="Helvetica" w:cs="Helvetica"/>
          <w:color w:val="444444"/>
          <w:sz w:val="28"/>
          <w:szCs w:val="28"/>
          <w:bdr w:val="none" w:sz="0" w:space="0" w:color="auto" w:frame="1"/>
        </w:rPr>
        <w:t>,</w:t>
      </w:r>
      <w:r w:rsidRPr="00821C31">
        <w:rPr>
          <w:rFonts w:ascii="Helvetica" w:hAnsi="Helvetica" w:cs="Helvetica"/>
          <w:color w:val="444444"/>
          <w:sz w:val="28"/>
          <w:szCs w:val="28"/>
        </w:rPr>
        <w:t> vol.27, no.3, 329-65.  </w:t>
      </w:r>
      <w:hyperlink r:id="rId23" w:history="1">
        <w:r w:rsidRPr="00821C31">
          <w:rPr>
            <w:rStyle w:val="Hyperlink"/>
            <w:rFonts w:ascii="Helvetica" w:hAnsi="Helvetica" w:cs="Helvetica"/>
            <w:color w:val="9F9F9F"/>
            <w:sz w:val="28"/>
            <w:szCs w:val="28"/>
            <w:bdr w:val="none" w:sz="0" w:space="0" w:color="auto" w:frame="1"/>
          </w:rPr>
          <w:t>Summarized</w:t>
        </w:r>
      </w:hyperlink>
      <w:r w:rsidRPr="00821C31">
        <w:rPr>
          <w:rFonts w:ascii="Helvetica" w:hAnsi="Helvetica" w:cs="Helvetica"/>
          <w:color w:val="444444"/>
          <w:sz w:val="28"/>
          <w:szCs w:val="28"/>
        </w:rPr>
        <w:t> in </w:t>
      </w:r>
      <w:hyperlink r:id="rId24" w:history="1">
        <w:r w:rsidRPr="00821C31">
          <w:rPr>
            <w:rStyle w:val="Hyperlink"/>
            <w:rFonts w:ascii="Helvetica" w:hAnsi="Helvetica" w:cs="Helvetica"/>
            <w:color w:val="9F9F9F"/>
            <w:sz w:val="28"/>
            <w:szCs w:val="28"/>
            <w:bdr w:val="none" w:sz="0" w:space="0" w:color="auto" w:frame="1"/>
          </w:rPr>
          <w:t>RIETI</w:t>
        </w:r>
      </w:hyperlink>
      <w:r w:rsidRPr="00821C31">
        <w:rPr>
          <w:rFonts w:ascii="Helvetica" w:hAnsi="Helvetica" w:cs="Helvetica"/>
          <w:color w:val="444444"/>
          <w:sz w:val="28"/>
          <w:szCs w:val="28"/>
        </w:rPr>
        <w:t> &amp; </w:t>
      </w:r>
      <w:hyperlink r:id="rId25" w:history="1">
        <w:r w:rsidRPr="00821C31">
          <w:rPr>
            <w:rStyle w:val="Emphasis"/>
            <w:rFonts w:ascii="Helvetica" w:hAnsi="Helvetica" w:cs="Helvetica"/>
            <w:color w:val="9F9F9F"/>
            <w:sz w:val="28"/>
            <w:szCs w:val="28"/>
            <w:bdr w:val="none" w:sz="0" w:space="0" w:color="auto" w:frame="1"/>
          </w:rPr>
          <w:t>Vox</w:t>
        </w:r>
      </w:hyperlink>
      <w:r w:rsidRPr="00821C31">
        <w:rPr>
          <w:rFonts w:ascii="Helvetica" w:hAnsi="Helvetica" w:cs="Helvetica"/>
          <w:color w:val="444444"/>
          <w:sz w:val="28"/>
          <w:szCs w:val="28"/>
        </w:rPr>
        <w:t>.</w:t>
      </w:r>
    </w:p>
    <w:p w:rsidR="005A3554" w:rsidRPr="00821C31" w:rsidRDefault="005A3554" w:rsidP="00821C31">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____ 2013. “</w:t>
      </w:r>
      <w:hyperlink r:id="rId26" w:history="1">
        <w:r w:rsidRPr="00821C31">
          <w:rPr>
            <w:rStyle w:val="Hyperlink"/>
            <w:rFonts w:ascii="Helvetica" w:hAnsi="Helvetica" w:cs="Helvetica"/>
            <w:color w:val="9F9F9F"/>
            <w:sz w:val="28"/>
            <w:szCs w:val="28"/>
            <w:bdr w:val="none" w:sz="0" w:space="0" w:color="auto" w:frame="1"/>
          </w:rPr>
          <w:t>The Dollar and Its Rivals</w:t>
        </w:r>
      </w:hyperlink>
      <w:r w:rsidRPr="00821C31">
        <w:rPr>
          <w:rStyle w:val="Hyperlink"/>
          <w:rFonts w:ascii="Helvetica" w:hAnsi="Helvetica" w:cs="Helvetica"/>
          <w:color w:val="9F9F9F"/>
          <w:sz w:val="28"/>
          <w:szCs w:val="28"/>
          <w:bdr w:val="none" w:sz="0" w:space="0" w:color="auto" w:frame="1"/>
        </w:rPr>
        <w:t>,”</w:t>
      </w:r>
      <w:r w:rsidRPr="00821C31">
        <w:rPr>
          <w:rFonts w:ascii="Helvetica" w:hAnsi="Helvetica" w:cs="Helvetica"/>
          <w:color w:val="444444"/>
          <w:sz w:val="28"/>
          <w:szCs w:val="28"/>
        </w:rPr>
        <w:t>.November, </w:t>
      </w:r>
      <w:r w:rsidRPr="00821C31">
        <w:rPr>
          <w:rStyle w:val="Emphasis"/>
          <w:rFonts w:ascii="Helvetica" w:hAnsi="Helvetica" w:cs="Helvetica"/>
          <w:color w:val="9F9F9F"/>
          <w:sz w:val="28"/>
          <w:szCs w:val="28"/>
          <w:bdr w:val="none" w:sz="0" w:space="0" w:color="auto" w:frame="1"/>
        </w:rPr>
        <w:t>Project Syndicate</w:t>
      </w:r>
      <w:r w:rsidRPr="00821C31">
        <w:rPr>
          <w:rFonts w:ascii="Helvetica" w:hAnsi="Helvetica" w:cs="Helvetica"/>
          <w:color w:val="444444"/>
          <w:sz w:val="28"/>
          <w:szCs w:val="28"/>
        </w:rPr>
        <w:t>  </w:t>
      </w:r>
    </w:p>
    <w:p w:rsidR="00821C31" w:rsidRDefault="00103D13" w:rsidP="00821C31">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International Monetary Fund, 2019, </w:t>
      </w:r>
      <w:hyperlink r:id="rId27" w:history="1">
        <w:r w:rsidRPr="00821C31">
          <w:rPr>
            <w:rStyle w:val="Hyperlink"/>
            <w:rFonts w:ascii="Helvetica" w:hAnsi="Helvetica" w:cs="Helvetica"/>
            <w:color w:val="9F9F9F"/>
            <w:sz w:val="28"/>
            <w:szCs w:val="28"/>
            <w:bdr w:val="none" w:sz="0" w:space="0" w:color="auto" w:frame="1"/>
          </w:rPr>
          <w:t>Currency Composition of Official Foreign Exchange Reserves</w:t>
        </w:r>
      </w:hyperlink>
      <w:r w:rsidRPr="00821C31">
        <w:rPr>
          <w:rFonts w:ascii="Helvetica" w:hAnsi="Helvetica" w:cs="Helvetica"/>
          <w:color w:val="444444"/>
          <w:sz w:val="28"/>
          <w:szCs w:val="28"/>
        </w:rPr>
        <w:t> (COFER), Quarter II, October.   </w:t>
      </w:r>
    </w:p>
    <w:p w:rsidR="0002435E" w:rsidRPr="00821C31" w:rsidRDefault="0002435E" w:rsidP="00821C31">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Eswar Prasad, 2019, “</w:t>
      </w:r>
      <w:hyperlink r:id="rId28" w:history="1">
        <w:r w:rsidRPr="00331B66">
          <w:rPr>
            <w:rStyle w:val="Hyperlink"/>
            <w:rFonts w:ascii="Helvetica" w:hAnsi="Helvetica" w:cs="Helvetica"/>
            <w:sz w:val="28"/>
            <w:szCs w:val="28"/>
          </w:rPr>
          <w:t>Has the dollar lost ground as the dominant international currency?”</w:t>
        </w:r>
      </w:hyperlink>
      <w:r w:rsidRPr="00821C31">
        <w:rPr>
          <w:rFonts w:ascii="Helvetica" w:hAnsi="Helvetica" w:cs="Helvetica"/>
          <w:color w:val="444444"/>
          <w:sz w:val="28"/>
          <w:szCs w:val="28"/>
        </w:rPr>
        <w:t xml:space="preserve"> Cornell and Brookings, September.</w:t>
      </w:r>
    </w:p>
    <w:p w:rsidR="00103D13" w:rsidRPr="00821C31" w:rsidRDefault="00103D13" w:rsidP="00821C31">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Arvind Subramanian, 2011a, “Renminbi Rules: The Conditional Imminence of the Reserve Currency Transition.” </w:t>
      </w:r>
      <w:hyperlink r:id="rId29" w:history="1">
        <w:r w:rsidRPr="00821C31">
          <w:rPr>
            <w:rStyle w:val="Hyperlink"/>
            <w:rFonts w:ascii="Helvetica" w:hAnsi="Helvetica" w:cs="Helvetica"/>
            <w:color w:val="9F9F9F"/>
            <w:sz w:val="28"/>
            <w:szCs w:val="28"/>
            <w:bdr w:val="none" w:sz="0" w:space="0" w:color="auto" w:frame="1"/>
          </w:rPr>
          <w:t>Working Paper Series No. 11-14</w:t>
        </w:r>
      </w:hyperlink>
      <w:r w:rsidRPr="00821C31">
        <w:rPr>
          <w:rFonts w:ascii="Helvetica" w:hAnsi="Helvetica" w:cs="Helvetica"/>
          <w:color w:val="444444"/>
          <w:sz w:val="28"/>
          <w:szCs w:val="28"/>
        </w:rPr>
        <w:t> (Washington, D.C.: Peterson Institute for International Economics, September).   </w:t>
      </w:r>
    </w:p>
    <w:p w:rsidR="00103D13" w:rsidRDefault="00103D13" w:rsidP="005A3554">
      <w:pPr>
        <w:pStyle w:val="NormalWeb"/>
        <w:numPr>
          <w:ilvl w:val="0"/>
          <w:numId w:val="2"/>
        </w:numPr>
        <w:shd w:val="clear" w:color="auto" w:fill="FFFFFF"/>
        <w:spacing w:before="0" w:after="0"/>
        <w:textAlignment w:val="baseline"/>
        <w:rPr>
          <w:rFonts w:ascii="Helvetica" w:hAnsi="Helvetica" w:cs="Helvetica"/>
          <w:color w:val="444444"/>
          <w:sz w:val="28"/>
          <w:szCs w:val="28"/>
        </w:rPr>
      </w:pPr>
      <w:r w:rsidRPr="00821C31">
        <w:rPr>
          <w:rFonts w:ascii="Helvetica" w:hAnsi="Helvetica" w:cs="Helvetica"/>
          <w:color w:val="444444"/>
          <w:sz w:val="28"/>
          <w:szCs w:val="28"/>
        </w:rPr>
        <w:t>——. 2011b. </w:t>
      </w:r>
      <w:hyperlink r:id="rId30" w:history="1">
        <w:r w:rsidRPr="00821C31">
          <w:rPr>
            <w:rStyle w:val="Emphasis"/>
            <w:rFonts w:ascii="Helvetica" w:hAnsi="Helvetica" w:cs="Helvetica"/>
            <w:color w:val="9F9F9F"/>
            <w:sz w:val="28"/>
            <w:szCs w:val="28"/>
            <w:bdr w:val="none" w:sz="0" w:space="0" w:color="auto" w:frame="1"/>
          </w:rPr>
          <w:t>Eclipse: Living in the Shadow of China’s Economic Dominanc</w:t>
        </w:r>
        <w:r w:rsidRPr="00821C31">
          <w:rPr>
            <w:rStyle w:val="Hyperlink"/>
            <w:rFonts w:ascii="Helvetica" w:hAnsi="Helvetica" w:cs="Helvetica"/>
            <w:color w:val="9F9F9F"/>
            <w:sz w:val="28"/>
            <w:szCs w:val="28"/>
            <w:bdr w:val="none" w:sz="0" w:space="0" w:color="auto" w:frame="1"/>
          </w:rPr>
          <w:t>e</w:t>
        </w:r>
      </w:hyperlink>
      <w:r w:rsidRPr="00821C31">
        <w:rPr>
          <w:rFonts w:ascii="Helvetica" w:hAnsi="Helvetica" w:cs="Helvetica"/>
          <w:color w:val="444444"/>
          <w:sz w:val="28"/>
          <w:szCs w:val="28"/>
        </w:rPr>
        <w:t> (Washington, DC: Peterson Inst. for Int.Econ.).</w:t>
      </w:r>
    </w:p>
    <w:p w:rsidR="002653D6" w:rsidRPr="002653D6" w:rsidRDefault="002653D6" w:rsidP="002653D6">
      <w:pPr>
        <w:pStyle w:val="ListParagraph"/>
        <w:rPr>
          <w:sz w:val="36"/>
          <w:szCs w:val="36"/>
        </w:rPr>
      </w:pPr>
    </w:p>
    <w:tbl>
      <w:tblPr>
        <w:tblW w:w="9180" w:type="dxa"/>
        <w:tblCellMar>
          <w:left w:w="0" w:type="dxa"/>
          <w:right w:w="0" w:type="dxa"/>
        </w:tblCellMar>
        <w:tblLook w:val="0420" w:firstRow="1" w:lastRow="0" w:firstColumn="0" w:lastColumn="0" w:noHBand="0" w:noVBand="1"/>
      </w:tblPr>
      <w:tblGrid>
        <w:gridCol w:w="313"/>
        <w:gridCol w:w="3604"/>
        <w:gridCol w:w="1764"/>
        <w:gridCol w:w="1654"/>
        <w:gridCol w:w="1845"/>
      </w:tblGrid>
      <w:tr w:rsidR="002653D6" w:rsidRPr="005A12F5" w:rsidTr="0039077A">
        <w:trPr>
          <w:trHeight w:val="584"/>
        </w:trPr>
        <w:tc>
          <w:tcPr>
            <w:tcW w:w="31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br w:type="page"/>
            </w:r>
          </w:p>
        </w:tc>
        <w:tc>
          <w:tcPr>
            <w:tcW w:w="399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2653D6" w:rsidRPr="005A12F5" w:rsidRDefault="002653D6" w:rsidP="0039077A">
            <w:pPr>
              <w:jc w:val="center"/>
              <w:rPr>
                <w:sz w:val="36"/>
                <w:szCs w:val="36"/>
              </w:rPr>
            </w:pPr>
            <w:r w:rsidRPr="005A12F5">
              <w:rPr>
                <w:b/>
                <w:bCs/>
                <w:sz w:val="36"/>
                <w:szCs w:val="36"/>
              </w:rPr>
              <w:t>The top 8 currencies, ranked by 3 measures of international use</w:t>
            </w:r>
            <w:r w:rsidRPr="005A12F5">
              <w:rPr>
                <w:b/>
                <w:bCs/>
                <w:sz w:val="36"/>
                <w:szCs w:val="36"/>
              </w:rPr>
              <w:br/>
              <w:t>(Oct 2019)</w:t>
            </w:r>
          </w:p>
        </w:tc>
        <w:tc>
          <w:tcPr>
            <w:tcW w:w="143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2653D6" w:rsidRPr="005A12F5" w:rsidRDefault="002653D6" w:rsidP="0039077A">
            <w:pPr>
              <w:jc w:val="center"/>
              <w:rPr>
                <w:sz w:val="36"/>
                <w:szCs w:val="36"/>
              </w:rPr>
            </w:pPr>
            <w:r w:rsidRPr="005A12F5">
              <w:rPr>
                <w:b/>
                <w:bCs/>
                <w:sz w:val="36"/>
                <w:szCs w:val="36"/>
              </w:rPr>
              <w:t>Payments</w:t>
            </w:r>
          </w:p>
          <w:p w:rsidR="002653D6" w:rsidRPr="005A12F5" w:rsidRDefault="002653D6" w:rsidP="0039077A">
            <w:pPr>
              <w:jc w:val="center"/>
              <w:rPr>
                <w:sz w:val="36"/>
                <w:szCs w:val="36"/>
              </w:rPr>
            </w:pPr>
            <w:r w:rsidRPr="005A12F5">
              <w:rPr>
                <w:b/>
                <w:bCs/>
                <w:sz w:val="36"/>
                <w:szCs w:val="36"/>
              </w:rPr>
              <w:t>(SWIFT)</w:t>
            </w:r>
          </w:p>
        </w:tc>
        <w:tc>
          <w:tcPr>
            <w:tcW w:w="152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2653D6" w:rsidRPr="005A12F5" w:rsidRDefault="002653D6" w:rsidP="0039077A">
            <w:pPr>
              <w:jc w:val="center"/>
              <w:rPr>
                <w:sz w:val="36"/>
                <w:szCs w:val="36"/>
              </w:rPr>
            </w:pPr>
            <w:r w:rsidRPr="005A12F5">
              <w:rPr>
                <w:b/>
                <w:bCs/>
                <w:sz w:val="36"/>
                <w:szCs w:val="36"/>
              </w:rPr>
              <w:t>FX Turnover</w:t>
            </w:r>
            <w:r w:rsidRPr="005A12F5">
              <w:rPr>
                <w:b/>
                <w:bCs/>
                <w:sz w:val="36"/>
                <w:szCs w:val="36"/>
              </w:rPr>
              <w:br/>
              <w:t>(BIS)</w:t>
            </w:r>
          </w:p>
        </w:tc>
        <w:tc>
          <w:tcPr>
            <w:tcW w:w="190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2653D6" w:rsidRPr="005A12F5" w:rsidRDefault="002653D6" w:rsidP="0039077A">
            <w:pPr>
              <w:jc w:val="center"/>
              <w:rPr>
                <w:sz w:val="36"/>
                <w:szCs w:val="36"/>
              </w:rPr>
            </w:pPr>
            <w:r w:rsidRPr="005A12F5">
              <w:rPr>
                <w:b/>
                <w:bCs/>
                <w:sz w:val="36"/>
                <w:szCs w:val="36"/>
              </w:rPr>
              <w:t>CB Reserves</w:t>
            </w:r>
          </w:p>
          <w:p w:rsidR="002653D6" w:rsidRPr="005A12F5" w:rsidRDefault="002653D6" w:rsidP="0039077A">
            <w:pPr>
              <w:jc w:val="center"/>
              <w:rPr>
                <w:sz w:val="36"/>
                <w:szCs w:val="36"/>
              </w:rPr>
            </w:pPr>
            <w:r w:rsidRPr="005A12F5">
              <w:rPr>
                <w:b/>
                <w:bCs/>
                <w:sz w:val="36"/>
                <w:szCs w:val="36"/>
              </w:rPr>
              <w:t>(IMF)</w:t>
            </w:r>
          </w:p>
        </w:tc>
      </w:tr>
      <w:tr w:rsidR="002653D6" w:rsidRPr="005A12F5" w:rsidTr="0039077A">
        <w:trPr>
          <w:trHeight w:val="584"/>
        </w:trPr>
        <w:tc>
          <w:tcPr>
            <w:tcW w:w="31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rPr>
                <w:sz w:val="36"/>
                <w:szCs w:val="36"/>
              </w:rPr>
            </w:pPr>
          </w:p>
        </w:tc>
        <w:tc>
          <w:tcPr>
            <w:tcW w:w="399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rPr>
                <w:sz w:val="36"/>
                <w:szCs w:val="36"/>
              </w:rPr>
            </w:pPr>
            <w:r w:rsidRPr="005A12F5">
              <w:rPr>
                <w:sz w:val="36"/>
                <w:szCs w:val="36"/>
              </w:rPr>
              <w:t>US dollar</w:t>
            </w:r>
          </w:p>
        </w:tc>
        <w:tc>
          <w:tcPr>
            <w:tcW w:w="143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1</w:t>
            </w:r>
          </w:p>
        </w:tc>
        <w:tc>
          <w:tcPr>
            <w:tcW w:w="152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1</w:t>
            </w:r>
          </w:p>
        </w:tc>
        <w:tc>
          <w:tcPr>
            <w:tcW w:w="1909"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1</w:t>
            </w:r>
          </w:p>
        </w:tc>
      </w:tr>
      <w:tr w:rsidR="002653D6" w:rsidRPr="005A12F5" w:rsidTr="0039077A">
        <w:trPr>
          <w:trHeight w:val="584"/>
        </w:trPr>
        <w:tc>
          <w:tcPr>
            <w:tcW w:w="3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rPr>
                <w:sz w:val="36"/>
                <w:szCs w:val="36"/>
              </w:rPr>
            </w:pPr>
          </w:p>
        </w:tc>
        <w:tc>
          <w:tcPr>
            <w:tcW w:w="399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rPr>
                <w:sz w:val="36"/>
                <w:szCs w:val="36"/>
              </w:rPr>
            </w:pPr>
            <w:r w:rsidRPr="005A12F5">
              <w:rPr>
                <w:sz w:val="36"/>
                <w:szCs w:val="36"/>
              </w:rPr>
              <w:t>Euro</w:t>
            </w:r>
          </w:p>
        </w:tc>
        <w:tc>
          <w:tcPr>
            <w:tcW w:w="14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2</w:t>
            </w:r>
          </w:p>
        </w:tc>
        <w:tc>
          <w:tcPr>
            <w:tcW w:w="15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2</w:t>
            </w:r>
          </w:p>
        </w:tc>
        <w:tc>
          <w:tcPr>
            <w:tcW w:w="190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2</w:t>
            </w:r>
          </w:p>
        </w:tc>
      </w:tr>
      <w:tr w:rsidR="002653D6" w:rsidRPr="005A12F5" w:rsidTr="0039077A">
        <w:trPr>
          <w:trHeight w:val="584"/>
        </w:trPr>
        <w:tc>
          <w:tcPr>
            <w:tcW w:w="3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rPr>
                <w:sz w:val="36"/>
                <w:szCs w:val="36"/>
              </w:rPr>
            </w:pPr>
          </w:p>
        </w:tc>
        <w:tc>
          <w:tcPr>
            <w:tcW w:w="399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rPr>
                <w:sz w:val="36"/>
                <w:szCs w:val="36"/>
              </w:rPr>
            </w:pPr>
            <w:r w:rsidRPr="005A12F5">
              <w:rPr>
                <w:sz w:val="36"/>
                <w:szCs w:val="36"/>
              </w:rPr>
              <w:t>Japanese yen</w:t>
            </w:r>
          </w:p>
        </w:tc>
        <w:tc>
          <w:tcPr>
            <w:tcW w:w="14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3</w:t>
            </w:r>
          </w:p>
        </w:tc>
        <w:tc>
          <w:tcPr>
            <w:tcW w:w="15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3</w:t>
            </w:r>
          </w:p>
        </w:tc>
        <w:tc>
          <w:tcPr>
            <w:tcW w:w="190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3</w:t>
            </w:r>
          </w:p>
        </w:tc>
      </w:tr>
      <w:tr w:rsidR="002653D6" w:rsidRPr="005A12F5" w:rsidTr="0039077A">
        <w:trPr>
          <w:trHeight w:val="584"/>
        </w:trPr>
        <w:tc>
          <w:tcPr>
            <w:tcW w:w="3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rPr>
                <w:sz w:val="36"/>
                <w:szCs w:val="36"/>
              </w:rPr>
            </w:pPr>
          </w:p>
        </w:tc>
        <w:tc>
          <w:tcPr>
            <w:tcW w:w="399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rPr>
                <w:sz w:val="36"/>
                <w:szCs w:val="36"/>
              </w:rPr>
            </w:pPr>
            <w:r w:rsidRPr="005A12F5">
              <w:rPr>
                <w:sz w:val="36"/>
                <w:szCs w:val="36"/>
              </w:rPr>
              <w:t>UK pound sterling</w:t>
            </w:r>
          </w:p>
        </w:tc>
        <w:tc>
          <w:tcPr>
            <w:tcW w:w="14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4</w:t>
            </w:r>
          </w:p>
        </w:tc>
        <w:tc>
          <w:tcPr>
            <w:tcW w:w="15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4</w:t>
            </w:r>
          </w:p>
        </w:tc>
        <w:tc>
          <w:tcPr>
            <w:tcW w:w="190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4</w:t>
            </w:r>
          </w:p>
        </w:tc>
      </w:tr>
      <w:tr w:rsidR="002653D6" w:rsidRPr="005A12F5" w:rsidTr="0039077A">
        <w:trPr>
          <w:trHeight w:val="584"/>
        </w:trPr>
        <w:tc>
          <w:tcPr>
            <w:tcW w:w="3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rPr>
                <w:sz w:val="36"/>
                <w:szCs w:val="36"/>
              </w:rPr>
            </w:pPr>
          </w:p>
        </w:tc>
        <w:tc>
          <w:tcPr>
            <w:tcW w:w="399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rPr>
                <w:sz w:val="36"/>
                <w:szCs w:val="36"/>
              </w:rPr>
            </w:pPr>
            <w:r w:rsidRPr="005A12F5">
              <w:rPr>
                <w:sz w:val="36"/>
                <w:szCs w:val="36"/>
              </w:rPr>
              <w:t>Canadian dollar</w:t>
            </w:r>
          </w:p>
        </w:tc>
        <w:tc>
          <w:tcPr>
            <w:tcW w:w="14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5</w:t>
            </w:r>
          </w:p>
        </w:tc>
        <w:tc>
          <w:tcPr>
            <w:tcW w:w="15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6</w:t>
            </w:r>
          </w:p>
        </w:tc>
        <w:tc>
          <w:tcPr>
            <w:tcW w:w="190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6</w:t>
            </w:r>
          </w:p>
        </w:tc>
      </w:tr>
      <w:tr w:rsidR="002653D6" w:rsidRPr="005A12F5" w:rsidTr="0039077A">
        <w:trPr>
          <w:trHeight w:val="584"/>
        </w:trPr>
        <w:tc>
          <w:tcPr>
            <w:tcW w:w="3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rPr>
                <w:sz w:val="36"/>
                <w:szCs w:val="36"/>
              </w:rPr>
            </w:pPr>
          </w:p>
        </w:tc>
        <w:tc>
          <w:tcPr>
            <w:tcW w:w="399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rPr>
                <w:sz w:val="36"/>
                <w:szCs w:val="36"/>
              </w:rPr>
            </w:pPr>
            <w:r w:rsidRPr="005A12F5">
              <w:rPr>
                <w:sz w:val="36"/>
                <w:szCs w:val="36"/>
              </w:rPr>
              <w:t>Australian dollars</w:t>
            </w:r>
          </w:p>
        </w:tc>
        <w:tc>
          <w:tcPr>
            <w:tcW w:w="14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6</w:t>
            </w:r>
          </w:p>
        </w:tc>
        <w:tc>
          <w:tcPr>
            <w:tcW w:w="15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5</w:t>
            </w:r>
          </w:p>
        </w:tc>
        <w:tc>
          <w:tcPr>
            <w:tcW w:w="190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7</w:t>
            </w:r>
          </w:p>
        </w:tc>
      </w:tr>
      <w:tr w:rsidR="002653D6" w:rsidRPr="005A12F5" w:rsidTr="0039077A">
        <w:trPr>
          <w:trHeight w:val="584"/>
        </w:trPr>
        <w:tc>
          <w:tcPr>
            <w:tcW w:w="31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rPr>
                <w:sz w:val="36"/>
                <w:szCs w:val="36"/>
              </w:rPr>
            </w:pPr>
          </w:p>
        </w:tc>
        <w:tc>
          <w:tcPr>
            <w:tcW w:w="399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rPr>
                <w:sz w:val="36"/>
                <w:szCs w:val="36"/>
              </w:rPr>
            </w:pPr>
            <w:r w:rsidRPr="005A12F5">
              <w:rPr>
                <w:sz w:val="36"/>
                <w:szCs w:val="36"/>
              </w:rPr>
              <w:t>Chinese RMB</w:t>
            </w:r>
          </w:p>
        </w:tc>
        <w:tc>
          <w:tcPr>
            <w:tcW w:w="14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7</w:t>
            </w:r>
          </w:p>
        </w:tc>
        <w:tc>
          <w:tcPr>
            <w:tcW w:w="152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8</w:t>
            </w:r>
          </w:p>
        </w:tc>
        <w:tc>
          <w:tcPr>
            <w:tcW w:w="1909"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5</w:t>
            </w:r>
          </w:p>
        </w:tc>
      </w:tr>
      <w:tr w:rsidR="002653D6" w:rsidRPr="005A12F5" w:rsidTr="0039077A">
        <w:trPr>
          <w:trHeight w:val="584"/>
        </w:trPr>
        <w:tc>
          <w:tcPr>
            <w:tcW w:w="3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rPr>
                <w:sz w:val="36"/>
                <w:szCs w:val="36"/>
              </w:rPr>
            </w:pPr>
          </w:p>
        </w:tc>
        <w:tc>
          <w:tcPr>
            <w:tcW w:w="399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rPr>
                <w:sz w:val="36"/>
                <w:szCs w:val="36"/>
              </w:rPr>
            </w:pPr>
            <w:r w:rsidRPr="005A12F5">
              <w:rPr>
                <w:sz w:val="36"/>
                <w:szCs w:val="36"/>
              </w:rPr>
              <w:t>Swiss franc</w:t>
            </w:r>
          </w:p>
        </w:tc>
        <w:tc>
          <w:tcPr>
            <w:tcW w:w="14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8</w:t>
            </w:r>
          </w:p>
        </w:tc>
        <w:tc>
          <w:tcPr>
            <w:tcW w:w="152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7</w:t>
            </w:r>
          </w:p>
        </w:tc>
        <w:tc>
          <w:tcPr>
            <w:tcW w:w="190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2653D6" w:rsidRPr="005A12F5" w:rsidRDefault="002653D6" w:rsidP="0039077A">
            <w:pPr>
              <w:jc w:val="center"/>
              <w:rPr>
                <w:sz w:val="36"/>
                <w:szCs w:val="36"/>
              </w:rPr>
            </w:pPr>
            <w:r w:rsidRPr="005A12F5">
              <w:rPr>
                <w:sz w:val="36"/>
                <w:szCs w:val="36"/>
              </w:rPr>
              <w:t>8</w:t>
            </w:r>
          </w:p>
        </w:tc>
      </w:tr>
    </w:tbl>
    <w:p w:rsidR="002653D6" w:rsidRPr="002653D6" w:rsidRDefault="002653D6" w:rsidP="002653D6">
      <w:pPr>
        <w:rPr>
          <w:sz w:val="36"/>
          <w:szCs w:val="36"/>
        </w:rPr>
      </w:pPr>
    </w:p>
    <w:sectPr w:rsidR="002653D6" w:rsidRPr="002653D6">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C31" w:rsidRDefault="00821C31" w:rsidP="00821C31">
      <w:pPr>
        <w:spacing w:after="0" w:line="240" w:lineRule="auto"/>
      </w:pPr>
      <w:r>
        <w:separator/>
      </w:r>
    </w:p>
  </w:endnote>
  <w:endnote w:type="continuationSeparator" w:id="0">
    <w:p w:rsidR="00821C31" w:rsidRDefault="00821C31" w:rsidP="0082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134525"/>
      <w:docPartObj>
        <w:docPartGallery w:val="Page Numbers (Bottom of Page)"/>
        <w:docPartUnique/>
      </w:docPartObj>
    </w:sdtPr>
    <w:sdtEndPr>
      <w:rPr>
        <w:noProof/>
      </w:rPr>
    </w:sdtEndPr>
    <w:sdtContent>
      <w:p w:rsidR="00821C31" w:rsidRDefault="00821C31">
        <w:pPr>
          <w:pStyle w:val="Footer"/>
          <w:jc w:val="right"/>
        </w:pPr>
        <w:r>
          <w:fldChar w:fldCharType="begin"/>
        </w:r>
        <w:r>
          <w:instrText xml:space="preserve"> PAGE   \* MERGEFORMAT </w:instrText>
        </w:r>
        <w:r>
          <w:fldChar w:fldCharType="separate"/>
        </w:r>
        <w:r w:rsidR="003E0E42">
          <w:rPr>
            <w:noProof/>
          </w:rPr>
          <w:t>2</w:t>
        </w:r>
        <w:r>
          <w:rPr>
            <w:noProof/>
          </w:rPr>
          <w:fldChar w:fldCharType="end"/>
        </w:r>
      </w:p>
    </w:sdtContent>
  </w:sdt>
  <w:p w:rsidR="00821C31" w:rsidRDefault="00821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C31" w:rsidRDefault="00821C31" w:rsidP="00821C31">
      <w:pPr>
        <w:spacing w:after="0" w:line="240" w:lineRule="auto"/>
      </w:pPr>
      <w:r>
        <w:separator/>
      </w:r>
    </w:p>
  </w:footnote>
  <w:footnote w:type="continuationSeparator" w:id="0">
    <w:p w:rsidR="00821C31" w:rsidRDefault="00821C31" w:rsidP="00821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53886"/>
    <w:multiLevelType w:val="hybridMultilevel"/>
    <w:tmpl w:val="61F098F6"/>
    <w:lvl w:ilvl="0" w:tplc="C218A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3655A"/>
    <w:multiLevelType w:val="hybridMultilevel"/>
    <w:tmpl w:val="07583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3B"/>
    <w:rsid w:val="00005DA9"/>
    <w:rsid w:val="0002435E"/>
    <w:rsid w:val="00037928"/>
    <w:rsid w:val="000452A7"/>
    <w:rsid w:val="0005324C"/>
    <w:rsid w:val="00076143"/>
    <w:rsid w:val="0010164A"/>
    <w:rsid w:val="00103039"/>
    <w:rsid w:val="00103D13"/>
    <w:rsid w:val="001938D2"/>
    <w:rsid w:val="001B7518"/>
    <w:rsid w:val="001E7761"/>
    <w:rsid w:val="001F193B"/>
    <w:rsid w:val="00235544"/>
    <w:rsid w:val="00245D90"/>
    <w:rsid w:val="002538AC"/>
    <w:rsid w:val="002653D6"/>
    <w:rsid w:val="00270096"/>
    <w:rsid w:val="002C0252"/>
    <w:rsid w:val="002F7985"/>
    <w:rsid w:val="003035C1"/>
    <w:rsid w:val="00317518"/>
    <w:rsid w:val="00331B66"/>
    <w:rsid w:val="003A5BF6"/>
    <w:rsid w:val="003B4833"/>
    <w:rsid w:val="003C015C"/>
    <w:rsid w:val="003C3040"/>
    <w:rsid w:val="003D2361"/>
    <w:rsid w:val="003E0E42"/>
    <w:rsid w:val="004241F5"/>
    <w:rsid w:val="004B0419"/>
    <w:rsid w:val="00511F66"/>
    <w:rsid w:val="005611E3"/>
    <w:rsid w:val="005A12F5"/>
    <w:rsid w:val="005A3554"/>
    <w:rsid w:val="005C403E"/>
    <w:rsid w:val="00674EEE"/>
    <w:rsid w:val="006910B2"/>
    <w:rsid w:val="006B1002"/>
    <w:rsid w:val="006E054C"/>
    <w:rsid w:val="006F5384"/>
    <w:rsid w:val="00775358"/>
    <w:rsid w:val="007B667F"/>
    <w:rsid w:val="007D2E3F"/>
    <w:rsid w:val="007F4DA3"/>
    <w:rsid w:val="007F795A"/>
    <w:rsid w:val="00821C31"/>
    <w:rsid w:val="00862A30"/>
    <w:rsid w:val="008C02BB"/>
    <w:rsid w:val="008C3826"/>
    <w:rsid w:val="008C5297"/>
    <w:rsid w:val="008E7246"/>
    <w:rsid w:val="00921550"/>
    <w:rsid w:val="009A0331"/>
    <w:rsid w:val="009B399F"/>
    <w:rsid w:val="009E08CE"/>
    <w:rsid w:val="009F32C2"/>
    <w:rsid w:val="00A0066C"/>
    <w:rsid w:val="00A07D2D"/>
    <w:rsid w:val="00A11BDC"/>
    <w:rsid w:val="00AC4EE0"/>
    <w:rsid w:val="00B05CCF"/>
    <w:rsid w:val="00B5531E"/>
    <w:rsid w:val="00B62028"/>
    <w:rsid w:val="00B62AB3"/>
    <w:rsid w:val="00B84A27"/>
    <w:rsid w:val="00BB57C7"/>
    <w:rsid w:val="00C4037F"/>
    <w:rsid w:val="00C43B76"/>
    <w:rsid w:val="00CC4EF8"/>
    <w:rsid w:val="00D04161"/>
    <w:rsid w:val="00D22E74"/>
    <w:rsid w:val="00D64141"/>
    <w:rsid w:val="00D66CF8"/>
    <w:rsid w:val="00DB6338"/>
    <w:rsid w:val="00DD7DAE"/>
    <w:rsid w:val="00E06E69"/>
    <w:rsid w:val="00E21B1E"/>
    <w:rsid w:val="00E825A4"/>
    <w:rsid w:val="00E829D0"/>
    <w:rsid w:val="00F0523D"/>
    <w:rsid w:val="00F31E5F"/>
    <w:rsid w:val="00F77B30"/>
    <w:rsid w:val="00F80D6A"/>
    <w:rsid w:val="00FB532A"/>
    <w:rsid w:val="00FD4CFD"/>
    <w:rsid w:val="00FF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DF9F"/>
  <w15:docId w15:val="{B65550BB-4847-4187-AC64-CA070413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26"/>
    <w:pPr>
      <w:ind w:left="720"/>
      <w:contextualSpacing/>
    </w:pPr>
  </w:style>
  <w:style w:type="character" w:styleId="Hyperlink">
    <w:name w:val="Hyperlink"/>
    <w:basedOn w:val="DefaultParagraphFont"/>
    <w:uiPriority w:val="99"/>
    <w:unhideWhenUsed/>
    <w:rsid w:val="005C403E"/>
    <w:rPr>
      <w:color w:val="0000FF" w:themeColor="hyperlink"/>
      <w:u w:val="single"/>
    </w:rPr>
  </w:style>
  <w:style w:type="character" w:styleId="FollowedHyperlink">
    <w:name w:val="FollowedHyperlink"/>
    <w:basedOn w:val="DefaultParagraphFont"/>
    <w:uiPriority w:val="99"/>
    <w:semiHidden/>
    <w:unhideWhenUsed/>
    <w:rsid w:val="00BB57C7"/>
    <w:rPr>
      <w:color w:val="800080" w:themeColor="followedHyperlink"/>
      <w:u w:val="single"/>
    </w:rPr>
  </w:style>
  <w:style w:type="paragraph" w:styleId="NormalWeb">
    <w:name w:val="Normal (Web)"/>
    <w:basedOn w:val="Normal"/>
    <w:uiPriority w:val="99"/>
    <w:unhideWhenUsed/>
    <w:rsid w:val="00103D1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3D13"/>
    <w:rPr>
      <w:i/>
      <w:iCs/>
    </w:rPr>
  </w:style>
  <w:style w:type="paragraph" w:styleId="Header">
    <w:name w:val="header"/>
    <w:basedOn w:val="Normal"/>
    <w:link w:val="HeaderChar"/>
    <w:uiPriority w:val="99"/>
    <w:unhideWhenUsed/>
    <w:rsid w:val="00821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C31"/>
  </w:style>
  <w:style w:type="paragraph" w:styleId="Footer">
    <w:name w:val="footer"/>
    <w:basedOn w:val="Normal"/>
    <w:link w:val="FooterChar"/>
    <w:uiPriority w:val="99"/>
    <w:unhideWhenUsed/>
    <w:rsid w:val="00821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C31"/>
  </w:style>
  <w:style w:type="paragraph" w:styleId="BalloonText">
    <w:name w:val="Balloon Text"/>
    <w:basedOn w:val="Normal"/>
    <w:link w:val="BalloonTextChar"/>
    <w:uiPriority w:val="99"/>
    <w:semiHidden/>
    <w:unhideWhenUsed/>
    <w:rsid w:val="00FB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15686">
      <w:bodyDiv w:val="1"/>
      <w:marLeft w:val="0"/>
      <w:marRight w:val="0"/>
      <w:marTop w:val="0"/>
      <w:marBottom w:val="0"/>
      <w:divBdr>
        <w:top w:val="none" w:sz="0" w:space="0" w:color="auto"/>
        <w:left w:val="none" w:sz="0" w:space="0" w:color="auto"/>
        <w:bottom w:val="none" w:sz="0" w:space="0" w:color="auto"/>
        <w:right w:val="none" w:sz="0" w:space="0" w:color="auto"/>
      </w:divBdr>
    </w:div>
    <w:div w:id="196584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ings.edu/wp-content/uploads/2019/09/DollarInGlobalFinance.final_.9.20.pdf" TargetMode="External"/><Relationship Id="rId13" Type="http://schemas.openxmlformats.org/officeDocument/2006/relationships/hyperlink" Target="http://www.econbrowser.com/archives/2013/10/what_are_foreig.html" TargetMode="External"/><Relationship Id="rId18" Type="http://schemas.openxmlformats.org/officeDocument/2006/relationships/hyperlink" Target="http://www.sciencedirect.com/science/journal/01618938/33/5" TargetMode="External"/><Relationship Id="rId26" Type="http://schemas.openxmlformats.org/officeDocument/2006/relationships/hyperlink" Target="http://www.project-syndicate.org/commentary/jeffrey-frankel-argues-that-the-dollar-s-status-as-the-world-s-top-international-currency-is-not-in-jeopardy" TargetMode="External"/><Relationship Id="rId3" Type="http://schemas.openxmlformats.org/officeDocument/2006/relationships/styles" Target="styles.xml"/><Relationship Id="rId21" Type="http://schemas.openxmlformats.org/officeDocument/2006/relationships/hyperlink" Target="http://www.hks.harvard.edu/fs/jfrankel/RMBintnztnJEI2012pg329~365.pdf" TargetMode="External"/><Relationship Id="rId7" Type="http://schemas.openxmlformats.org/officeDocument/2006/relationships/endnotes" Target="endnotes.xml"/><Relationship Id="rId12" Type="http://schemas.openxmlformats.org/officeDocument/2006/relationships/hyperlink" Target="http://www.bis.org/publ/rpfx13fx.pdf" TargetMode="External"/><Relationship Id="rId17" Type="http://schemas.openxmlformats.org/officeDocument/2006/relationships/hyperlink" Target="http://www.sciencedirect.com/science/article/pii/S0161893811000603" TargetMode="External"/><Relationship Id="rId25" Type="http://schemas.openxmlformats.org/officeDocument/2006/relationships/hyperlink" Target="http://www.voxeu.org/index.php?q=node/707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ber.org/papers/w11336" TargetMode="External"/><Relationship Id="rId20" Type="http://schemas.openxmlformats.org/officeDocument/2006/relationships/hyperlink" Target="http://www.hks.harvard.edu/fs/jfrankel/RMBinterntlznJEI2012.doc" TargetMode="External"/><Relationship Id="rId29" Type="http://schemas.openxmlformats.org/officeDocument/2006/relationships/hyperlink" Target="http://www.iie.com/publications/wp/wp11-1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er.org/papers/w21813" TargetMode="External"/><Relationship Id="rId24" Type="http://schemas.openxmlformats.org/officeDocument/2006/relationships/hyperlink" Target="http://www.rieti.go.jp/en/special/p_a_w/008.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ber.org/books/clar06-2http:/www.nber.org/books/curracct/index.html" TargetMode="External"/><Relationship Id="rId23" Type="http://schemas.openxmlformats.org/officeDocument/2006/relationships/hyperlink" Target="http://www.hks.harvard.edu/fs/jfrankel/RMBintztn-RIETIfull.doc" TargetMode="External"/><Relationship Id="rId28" Type="http://schemas.openxmlformats.org/officeDocument/2006/relationships/hyperlink" Target="https://www.brookings.edu/wp-content/uploads/2019/09/DollarInGlobalFinance.final_.9.20.pdf" TargetMode="External"/><Relationship Id="rId10" Type="http://schemas.openxmlformats.org/officeDocument/2006/relationships/hyperlink" Target="https://sites.hks.harvard.edu/fs/jfrankel/PlazaAccord-PIIE2016.pdf" TargetMode="External"/><Relationship Id="rId19" Type="http://schemas.openxmlformats.org/officeDocument/2006/relationships/hyperlink" Target="http://www.hks.harvard.edu/fs/jfrankel/RESCURR$.FA5.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effrey-frankel.com/2013/11/26/the-latest-on-the-dollars-international-currency-status/" TargetMode="External"/><Relationship Id="rId14" Type="http://schemas.openxmlformats.org/officeDocument/2006/relationships/hyperlink" Target="http://ksghome.harvard.edu/~jfrankel/CA$eures05may2+schsuez.doc" TargetMode="External"/><Relationship Id="rId22" Type="http://schemas.openxmlformats.org/officeDocument/2006/relationships/hyperlink" Target="http://ideas.repec.org/s/ris/integr.html" TargetMode="External"/><Relationship Id="rId27" Type="http://schemas.openxmlformats.org/officeDocument/2006/relationships/hyperlink" Target="http://www.imf.org/external/np/sta/cofer/eng/index.htm" TargetMode="External"/><Relationship Id="rId30" Type="http://schemas.openxmlformats.org/officeDocument/2006/relationships/hyperlink" Target="http://www.iie.com/eclips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106D-3DF2-4D44-9C20-DDEC6BB3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Frankel, Jeffrey A.</cp:lastModifiedBy>
  <cp:revision>2</cp:revision>
  <cp:lastPrinted>2019-10-14T23:33:00Z</cp:lastPrinted>
  <dcterms:created xsi:type="dcterms:W3CDTF">2019-10-15T15:26:00Z</dcterms:created>
  <dcterms:modified xsi:type="dcterms:W3CDTF">2019-10-15T15:26:00Z</dcterms:modified>
</cp:coreProperties>
</file>