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B1" w:rsidRDefault="00E50125" w:rsidP="00A242B1">
      <w:r w:rsidRPr="00E50125">
        <w:rPr>
          <w:sz w:val="32"/>
          <w:szCs w:val="32"/>
        </w:rPr>
        <w:t xml:space="preserve">Recent Research on International Macro-prudential </w:t>
      </w:r>
      <w:r w:rsidR="008507D2">
        <w:rPr>
          <w:sz w:val="32"/>
          <w:szCs w:val="32"/>
        </w:rPr>
        <w:t>P</w:t>
      </w:r>
      <w:r w:rsidRPr="00E50125">
        <w:rPr>
          <w:sz w:val="32"/>
          <w:szCs w:val="32"/>
        </w:rPr>
        <w:t>olicy in the IFM program</w:t>
      </w:r>
      <w:r>
        <w:t xml:space="preserve"> </w:t>
      </w:r>
      <w:r w:rsidR="00E9776C">
        <w:br/>
      </w:r>
      <w:r w:rsidRPr="002944B4">
        <w:rPr>
          <w:sz w:val="28"/>
          <w:szCs w:val="28"/>
        </w:rPr>
        <w:t>Jeffrey Frankel, Director, IFM program,</w:t>
      </w:r>
      <w:r w:rsidR="00BB3618" w:rsidRPr="002944B4">
        <w:rPr>
          <w:sz w:val="28"/>
          <w:szCs w:val="28"/>
        </w:rPr>
        <w:t xml:space="preserve"> </w:t>
      </w:r>
      <w:r w:rsidRPr="002944B4">
        <w:rPr>
          <w:sz w:val="28"/>
          <w:szCs w:val="28"/>
        </w:rPr>
        <w:t>NBER</w:t>
      </w:r>
      <w:r w:rsidR="00100298">
        <w:t xml:space="preserve">   </w:t>
      </w:r>
      <w:r w:rsidR="002944B4">
        <w:br/>
      </w:r>
      <w:r w:rsidR="005B68EA">
        <w:br/>
      </w:r>
      <w:r w:rsidR="00C5105A">
        <w:t xml:space="preserve">excerpt  on exchange rate regimes      </w:t>
      </w:r>
      <w:r w:rsidR="00A242B1">
        <w:t xml:space="preserve">+ </w:t>
      </w:r>
      <w:r w:rsidR="0051076C">
        <w:t>3/2</w:t>
      </w:r>
      <w:r w:rsidR="00545B7B">
        <w:t>6</w:t>
      </w:r>
      <w:r w:rsidR="0051076C">
        <w:t>/2015</w:t>
      </w:r>
    </w:p>
    <w:p w:rsidR="005908BC" w:rsidRPr="001468D1" w:rsidRDefault="00DE56F5" w:rsidP="001468D1">
      <w:pPr>
        <w:rPr>
          <w:rFonts w:cs="Tahoma"/>
          <w:bCs/>
          <w:color w:val="000000" w:themeColor="text1"/>
          <w:sz w:val="24"/>
          <w:szCs w:val="24"/>
        </w:rPr>
      </w:pPr>
      <w:r w:rsidRPr="001468D1">
        <w:rPr>
          <w:rFonts w:cs="Tahoma"/>
          <w:b/>
          <w:bCs/>
          <w:color w:val="000000" w:themeColor="text1"/>
          <w:sz w:val="24"/>
          <w:szCs w:val="24"/>
        </w:rPr>
        <w:br/>
      </w:r>
    </w:p>
    <w:p w:rsidR="00D61BEB" w:rsidRPr="008507D2" w:rsidRDefault="00C5105A" w:rsidP="00D61BEB">
      <w:pPr>
        <w:pStyle w:val="ListParagraph"/>
        <w:ind w:left="0" w:firstLine="450"/>
        <w:rPr>
          <w:b/>
          <w:sz w:val="24"/>
          <w:szCs w:val="24"/>
        </w:rPr>
      </w:pPr>
      <w:r>
        <w:rPr>
          <w:rFonts w:cs="Tahoma"/>
          <w:bCs/>
          <w:color w:val="000000"/>
          <w:sz w:val="24"/>
          <w:szCs w:val="24"/>
        </w:rPr>
        <w:t xml:space="preserve">The </w:t>
      </w:r>
      <w:r w:rsidR="00D61BEB" w:rsidRPr="008507D2">
        <w:rPr>
          <w:rFonts w:cs="Tahoma"/>
          <w:bCs/>
          <w:color w:val="000000"/>
          <w:sz w:val="24"/>
          <w:szCs w:val="24"/>
        </w:rPr>
        <w:t>set of policies for managing a capital boom include</w:t>
      </w:r>
      <w:r>
        <w:rPr>
          <w:rFonts w:cs="Tahoma"/>
          <w:bCs/>
          <w:color w:val="000000"/>
          <w:sz w:val="24"/>
          <w:szCs w:val="24"/>
        </w:rPr>
        <w:t>, among other options (</w:t>
      </w:r>
      <w:r w:rsidR="00D61BEB" w:rsidRPr="008507D2">
        <w:rPr>
          <w:rFonts w:cs="Tahoma"/>
          <w:bCs/>
          <w:color w:val="000000"/>
          <w:sz w:val="24"/>
          <w:szCs w:val="24"/>
        </w:rPr>
        <w:t xml:space="preserve">Capital Flow Management </w:t>
      </w:r>
      <w:r w:rsidR="0019065E" w:rsidRPr="008507D2">
        <w:rPr>
          <w:rFonts w:cs="Tahoma"/>
          <w:bCs/>
          <w:color w:val="000000"/>
          <w:sz w:val="24"/>
          <w:szCs w:val="24"/>
        </w:rPr>
        <w:t>p</w:t>
      </w:r>
      <w:r w:rsidR="00D61BEB" w:rsidRPr="008507D2">
        <w:rPr>
          <w:rFonts w:cs="Tahoma"/>
          <w:bCs/>
          <w:color w:val="000000"/>
          <w:sz w:val="24"/>
          <w:szCs w:val="24"/>
        </w:rPr>
        <w:t>olicies</w:t>
      </w:r>
      <w:proofErr w:type="gramStart"/>
      <w:r>
        <w:rPr>
          <w:rFonts w:cs="Tahoma"/>
          <w:bCs/>
          <w:color w:val="000000"/>
          <w:sz w:val="24"/>
          <w:szCs w:val="24"/>
        </w:rPr>
        <w:t xml:space="preserve">) </w:t>
      </w:r>
      <w:r w:rsidR="00D61BEB" w:rsidRPr="008507D2">
        <w:rPr>
          <w:rFonts w:cs="Tahoma"/>
          <w:bCs/>
          <w:color w:val="000000"/>
          <w:sz w:val="24"/>
          <w:szCs w:val="24"/>
        </w:rPr>
        <w:t xml:space="preserve"> but</w:t>
      </w:r>
      <w:proofErr w:type="gramEnd"/>
      <w:r w:rsidR="00D61BEB" w:rsidRPr="008507D2">
        <w:rPr>
          <w:rFonts w:cs="Tahoma"/>
          <w:bCs/>
          <w:color w:val="000000"/>
          <w:sz w:val="24"/>
          <w:szCs w:val="24"/>
        </w:rPr>
        <w:t xml:space="preserve"> also conventional </w:t>
      </w:r>
      <w:r w:rsidR="00B61D9D">
        <w:rPr>
          <w:rFonts w:cs="Tahoma"/>
          <w:bCs/>
          <w:color w:val="000000"/>
          <w:sz w:val="24"/>
          <w:szCs w:val="24"/>
        </w:rPr>
        <w:t xml:space="preserve">counter-cyclical </w:t>
      </w:r>
      <w:r w:rsidR="00D61BEB" w:rsidRPr="008507D2">
        <w:rPr>
          <w:rFonts w:cs="Tahoma"/>
          <w:bCs/>
          <w:color w:val="000000"/>
          <w:sz w:val="24"/>
          <w:szCs w:val="24"/>
        </w:rPr>
        <w:t>macroeconomic policies such as tightening monetary polic</w:t>
      </w:r>
      <w:r>
        <w:rPr>
          <w:rFonts w:cs="Tahoma"/>
          <w:bCs/>
          <w:color w:val="000000"/>
          <w:sz w:val="24"/>
          <w:szCs w:val="24"/>
        </w:rPr>
        <w:t xml:space="preserve">y and </w:t>
      </w:r>
      <w:r w:rsidR="00D61BEB" w:rsidRPr="008507D2">
        <w:rPr>
          <w:rFonts w:cs="Tahoma"/>
          <w:bCs/>
          <w:color w:val="000000"/>
          <w:sz w:val="24"/>
          <w:szCs w:val="24"/>
        </w:rPr>
        <w:t xml:space="preserve"> allowing the currency to appreciate.</w:t>
      </w:r>
      <w:r w:rsidR="00D61BEB" w:rsidRPr="008507D2">
        <w:rPr>
          <w:rStyle w:val="EndnoteReference"/>
          <w:rFonts w:cs="Tahoma"/>
          <w:bCs/>
          <w:color w:val="000000"/>
          <w:sz w:val="24"/>
          <w:szCs w:val="24"/>
        </w:rPr>
        <w:endnoteReference w:id="1"/>
      </w:r>
      <w:r w:rsidR="00921894" w:rsidRPr="008507D2">
        <w:rPr>
          <w:rFonts w:cs="Tahoma"/>
          <w:bCs/>
          <w:color w:val="000000"/>
          <w:sz w:val="24"/>
          <w:szCs w:val="24"/>
        </w:rPr>
        <w:t xml:space="preserve">  </w:t>
      </w:r>
      <w:r>
        <w:rPr>
          <w:rFonts w:cs="Tahoma"/>
          <w:bCs/>
          <w:color w:val="000000"/>
          <w:sz w:val="24"/>
          <w:szCs w:val="24"/>
        </w:rPr>
        <w:br/>
      </w:r>
    </w:p>
    <w:p w:rsidR="007C3630" w:rsidRPr="008507D2" w:rsidRDefault="002D19E1" w:rsidP="00DF4BE2">
      <w:pPr>
        <w:pStyle w:val="ListParagraph"/>
        <w:numPr>
          <w:ilvl w:val="0"/>
          <w:numId w:val="9"/>
        </w:numPr>
        <w:rPr>
          <w:b/>
          <w:sz w:val="24"/>
          <w:szCs w:val="24"/>
        </w:rPr>
      </w:pPr>
      <w:r w:rsidRPr="008507D2">
        <w:rPr>
          <w:b/>
          <w:sz w:val="24"/>
          <w:szCs w:val="24"/>
        </w:rPr>
        <w:t>Revisions in the</w:t>
      </w:r>
      <w:r w:rsidR="003E4552" w:rsidRPr="008507D2">
        <w:rPr>
          <w:b/>
          <w:sz w:val="24"/>
          <w:szCs w:val="24"/>
        </w:rPr>
        <w:t xml:space="preserve"> </w:t>
      </w:r>
      <w:r w:rsidR="00362657" w:rsidRPr="008507D2">
        <w:rPr>
          <w:b/>
          <w:sz w:val="24"/>
          <w:szCs w:val="24"/>
        </w:rPr>
        <w:t>trilemma</w:t>
      </w:r>
      <w:r w:rsidR="00560A9D" w:rsidRPr="008507D2">
        <w:rPr>
          <w:b/>
          <w:sz w:val="24"/>
          <w:szCs w:val="24"/>
        </w:rPr>
        <w:t>, global liquidity conditions, and international coordination</w:t>
      </w:r>
    </w:p>
    <w:p w:rsidR="00A43586" w:rsidRPr="008507D2" w:rsidRDefault="00DF0EFD" w:rsidP="00DD0230">
      <w:pPr>
        <w:spacing w:before="240" w:line="240" w:lineRule="auto"/>
        <w:ind w:firstLine="450"/>
        <w:rPr>
          <w:sz w:val="24"/>
          <w:szCs w:val="24"/>
        </w:rPr>
      </w:pPr>
      <w:r w:rsidRPr="008507D2">
        <w:rPr>
          <w:sz w:val="24"/>
          <w:szCs w:val="24"/>
        </w:rPr>
        <w:t>A long-standing principle i</w:t>
      </w:r>
      <w:r w:rsidR="00662AB5">
        <w:rPr>
          <w:sz w:val="24"/>
          <w:szCs w:val="24"/>
        </w:rPr>
        <w:t>n international macroeconomics (</w:t>
      </w:r>
      <w:r w:rsidRPr="008507D2">
        <w:rPr>
          <w:sz w:val="24"/>
          <w:szCs w:val="24"/>
        </w:rPr>
        <w:t>often associated with Robert Mundell</w:t>
      </w:r>
      <w:r w:rsidR="00662AB5">
        <w:rPr>
          <w:sz w:val="24"/>
          <w:szCs w:val="24"/>
        </w:rPr>
        <w:t>)</w:t>
      </w:r>
      <w:r w:rsidRPr="008507D2">
        <w:rPr>
          <w:sz w:val="24"/>
          <w:szCs w:val="24"/>
        </w:rPr>
        <w:t xml:space="preserve"> goes by the name of “the Impossible Trinity.”  Also called the “trilemma,” the proposition states that even though a country might wish to have a fixed exchange rate, highly integrated financial markets, and the ability to set its own monetary policy, it cannot have all three of these</w:t>
      </w:r>
      <w:r w:rsidR="00DD0230" w:rsidRPr="008507D2">
        <w:rPr>
          <w:sz w:val="24"/>
          <w:szCs w:val="24"/>
        </w:rPr>
        <w:t xml:space="preserve"> things.  The logic is simple.  If there are no differences between the domestic currency and foreign currencies and no barriers to the cross-border movement of capital, then the domestic interest rate is tied to the world interest rate.   The domestic country loses the ability to set its own interest rate.  </w:t>
      </w:r>
    </w:p>
    <w:p w:rsidR="00DF0EFD" w:rsidRPr="008507D2" w:rsidRDefault="00DD0230" w:rsidP="00DD0230">
      <w:pPr>
        <w:spacing w:before="240" w:line="240" w:lineRule="auto"/>
        <w:ind w:firstLine="450"/>
        <w:rPr>
          <w:sz w:val="24"/>
          <w:szCs w:val="24"/>
        </w:rPr>
      </w:pPr>
      <w:r w:rsidRPr="008507D2">
        <w:rPr>
          <w:sz w:val="24"/>
          <w:szCs w:val="24"/>
        </w:rPr>
        <w:t xml:space="preserve">This principle helps explain the travails of the euro-zone:   member countries have found it difficult to live with central bank policies that are no longer tailored to their own </w:t>
      </w:r>
      <w:proofErr w:type="gramStart"/>
      <w:r w:rsidRPr="008507D2">
        <w:rPr>
          <w:sz w:val="24"/>
          <w:szCs w:val="24"/>
        </w:rPr>
        <w:t xml:space="preserve">economic </w:t>
      </w:r>
      <w:r w:rsidR="00A43586" w:rsidRPr="008507D2">
        <w:rPr>
          <w:sz w:val="24"/>
          <w:szCs w:val="24"/>
        </w:rPr>
        <w:t xml:space="preserve"> </w:t>
      </w:r>
      <w:r w:rsidRPr="008507D2">
        <w:rPr>
          <w:sz w:val="24"/>
          <w:szCs w:val="24"/>
        </w:rPr>
        <w:t>circumstances</w:t>
      </w:r>
      <w:proofErr w:type="gramEnd"/>
      <w:r w:rsidRPr="008507D2">
        <w:rPr>
          <w:sz w:val="24"/>
          <w:szCs w:val="24"/>
        </w:rPr>
        <w:t>.</w:t>
      </w:r>
      <w:r w:rsidR="00A43586" w:rsidRPr="008507D2">
        <w:rPr>
          <w:sz w:val="24"/>
          <w:szCs w:val="24"/>
        </w:rPr>
        <w:t xml:space="preserve">  It also helps explain past crises </w:t>
      </w:r>
      <w:r w:rsidR="002D19E1" w:rsidRPr="008507D2">
        <w:rPr>
          <w:sz w:val="24"/>
          <w:szCs w:val="24"/>
        </w:rPr>
        <w:t xml:space="preserve">such as </w:t>
      </w:r>
      <w:r w:rsidR="00A43586" w:rsidRPr="008507D2">
        <w:rPr>
          <w:sz w:val="24"/>
          <w:szCs w:val="24"/>
        </w:rPr>
        <w:t xml:space="preserve">currency </w:t>
      </w:r>
      <w:r w:rsidR="00193677" w:rsidRPr="008507D2">
        <w:rPr>
          <w:sz w:val="24"/>
          <w:szCs w:val="24"/>
        </w:rPr>
        <w:t>crashes in</w:t>
      </w:r>
      <w:r w:rsidR="00A43586" w:rsidRPr="008507D2">
        <w:rPr>
          <w:sz w:val="24"/>
          <w:szCs w:val="24"/>
        </w:rPr>
        <w:t xml:space="preserve"> Emerging Markets.  When the Federal Reserve raised interest rates, it would force Mexico, for example, to choose between an unwanted tightening of its own monetary conditions and an unwanted abandonment of the peso’s peg to the dollar.  This area of research is of particular interest at a time when </w:t>
      </w:r>
      <w:r w:rsidR="00C5105A">
        <w:rPr>
          <w:sz w:val="24"/>
          <w:szCs w:val="24"/>
        </w:rPr>
        <w:t xml:space="preserve">the </w:t>
      </w:r>
      <w:r w:rsidR="002D19E1" w:rsidRPr="008507D2">
        <w:rPr>
          <w:sz w:val="24"/>
          <w:szCs w:val="24"/>
        </w:rPr>
        <w:t>Fed</w:t>
      </w:r>
      <w:r w:rsidR="00A43586" w:rsidRPr="008507D2">
        <w:rPr>
          <w:sz w:val="24"/>
          <w:szCs w:val="24"/>
        </w:rPr>
        <w:t xml:space="preserve"> </w:t>
      </w:r>
      <w:r w:rsidR="00C5105A">
        <w:rPr>
          <w:sz w:val="24"/>
          <w:szCs w:val="24"/>
        </w:rPr>
        <w:t>is expected to continue to pursue a series of</w:t>
      </w:r>
      <w:r w:rsidR="002D19E1" w:rsidRPr="008507D2">
        <w:rPr>
          <w:sz w:val="24"/>
          <w:szCs w:val="24"/>
        </w:rPr>
        <w:t xml:space="preserve"> increase</w:t>
      </w:r>
      <w:r w:rsidR="00C5105A">
        <w:rPr>
          <w:sz w:val="24"/>
          <w:szCs w:val="24"/>
        </w:rPr>
        <w:t>s</w:t>
      </w:r>
      <w:r w:rsidR="002D19E1" w:rsidRPr="008507D2">
        <w:rPr>
          <w:sz w:val="24"/>
          <w:szCs w:val="24"/>
        </w:rPr>
        <w:t xml:space="preserve"> in US </w:t>
      </w:r>
      <w:r w:rsidR="00A43586" w:rsidRPr="008507D2">
        <w:rPr>
          <w:sz w:val="24"/>
          <w:szCs w:val="24"/>
        </w:rPr>
        <w:t>interest rates</w:t>
      </w:r>
      <w:r w:rsidR="00C5105A">
        <w:rPr>
          <w:sz w:val="24"/>
          <w:szCs w:val="24"/>
        </w:rPr>
        <w:t xml:space="preserve">, which </w:t>
      </w:r>
      <w:r w:rsidR="002D19E1" w:rsidRPr="008507D2">
        <w:rPr>
          <w:sz w:val="24"/>
          <w:szCs w:val="24"/>
        </w:rPr>
        <w:t xml:space="preserve">might once again reverse the flow of finance to emerging countries and trigger new crises. </w:t>
      </w:r>
    </w:p>
    <w:p w:rsidR="00BD6A80" w:rsidRPr="008507D2" w:rsidRDefault="002D19E1" w:rsidP="007D5000">
      <w:pPr>
        <w:spacing w:before="240" w:line="240" w:lineRule="auto"/>
        <w:ind w:firstLine="450"/>
        <w:rPr>
          <w:sz w:val="24"/>
          <w:szCs w:val="24"/>
        </w:rPr>
      </w:pPr>
      <w:r w:rsidRPr="008507D2">
        <w:rPr>
          <w:sz w:val="24"/>
          <w:szCs w:val="24"/>
        </w:rPr>
        <w:t xml:space="preserve">Research questions abound.   Does the trilemma mean that emerging markets should turn back the clock on capital controls?    Does it mean that the movement toward floating exchange rates is the answer?   </w:t>
      </w:r>
      <w:r w:rsidR="008266DF" w:rsidRPr="008507D2">
        <w:rPr>
          <w:sz w:val="24"/>
          <w:szCs w:val="24"/>
        </w:rPr>
        <w:t xml:space="preserve">Are </w:t>
      </w:r>
      <w:r w:rsidR="007D5000" w:rsidRPr="008507D2">
        <w:rPr>
          <w:sz w:val="24"/>
          <w:szCs w:val="24"/>
        </w:rPr>
        <w:t xml:space="preserve">intermediate regimes such as managed floating more workable than the </w:t>
      </w:r>
      <w:r w:rsidR="00193677" w:rsidRPr="008507D2">
        <w:rPr>
          <w:sz w:val="24"/>
          <w:szCs w:val="24"/>
        </w:rPr>
        <w:t xml:space="preserve">corner </w:t>
      </w:r>
      <w:r w:rsidR="00EC4D5E" w:rsidRPr="008507D2">
        <w:rPr>
          <w:sz w:val="24"/>
          <w:szCs w:val="24"/>
        </w:rPr>
        <w:t>choices?</w:t>
      </w:r>
      <w:r w:rsidR="008266DF" w:rsidRPr="008507D2">
        <w:rPr>
          <w:rStyle w:val="EndnoteReference"/>
          <w:sz w:val="24"/>
          <w:szCs w:val="24"/>
        </w:rPr>
        <w:endnoteReference w:id="2"/>
      </w:r>
      <w:r w:rsidR="008266DF" w:rsidRPr="008507D2">
        <w:rPr>
          <w:sz w:val="24"/>
          <w:szCs w:val="24"/>
        </w:rPr>
        <w:t xml:space="preserve">  </w:t>
      </w:r>
      <w:r w:rsidRPr="008507D2">
        <w:rPr>
          <w:sz w:val="24"/>
          <w:szCs w:val="24"/>
        </w:rPr>
        <w:t xml:space="preserve">Do floating rates in fact insulate countries from foreign interest rates as advertised?   </w:t>
      </w:r>
    </w:p>
    <w:p w:rsidR="00921894" w:rsidRPr="008507D2" w:rsidRDefault="00921894" w:rsidP="001468D1">
      <w:pPr>
        <w:spacing w:before="240" w:line="240" w:lineRule="auto"/>
        <w:rPr>
          <w:rFonts w:cs="Arial"/>
          <w:b/>
          <w:sz w:val="24"/>
          <w:szCs w:val="24"/>
        </w:rPr>
      </w:pPr>
      <w:r w:rsidRPr="008507D2">
        <w:rPr>
          <w:rFonts w:cs="Arial"/>
          <w:b/>
          <w:sz w:val="24"/>
          <w:szCs w:val="24"/>
        </w:rPr>
        <w:t>(4a)</w:t>
      </w:r>
      <w:r w:rsidR="00812646" w:rsidRPr="008507D2">
        <w:rPr>
          <w:rFonts w:cs="Arial"/>
          <w:b/>
          <w:sz w:val="24"/>
          <w:szCs w:val="24"/>
        </w:rPr>
        <w:t xml:space="preserve"> Do floating rates really insulate?</w:t>
      </w:r>
    </w:p>
    <w:p w:rsidR="00BD6A80" w:rsidRPr="008507D2" w:rsidRDefault="00BD6A80" w:rsidP="009D6993">
      <w:pPr>
        <w:spacing w:before="240" w:line="240" w:lineRule="auto"/>
        <w:ind w:firstLine="450"/>
        <w:rPr>
          <w:sz w:val="24"/>
          <w:szCs w:val="24"/>
        </w:rPr>
      </w:pPr>
      <w:r w:rsidRPr="008507D2">
        <w:rPr>
          <w:rFonts w:cs="Arial"/>
          <w:sz w:val="24"/>
          <w:szCs w:val="24"/>
        </w:rPr>
        <w:t xml:space="preserve">In some theoretical models, capital market imperfections may prevent floating rates from </w:t>
      </w:r>
      <w:r w:rsidRPr="008507D2">
        <w:rPr>
          <w:rFonts w:eastAsia="Times New Roman" w:cs="Tahoma"/>
          <w:sz w:val="24"/>
          <w:szCs w:val="24"/>
        </w:rPr>
        <w:t xml:space="preserve">performing the shock absorption role claimed in traditional macroeconomic analysis.  </w:t>
      </w:r>
      <w:r w:rsidR="000918D5" w:rsidRPr="008507D2">
        <w:rPr>
          <w:rFonts w:eastAsia="Times New Roman" w:cs="Tahoma"/>
          <w:sz w:val="24"/>
          <w:szCs w:val="24"/>
        </w:rPr>
        <w:t>Some</w:t>
      </w:r>
      <w:r w:rsidR="002E4A31">
        <w:rPr>
          <w:rFonts w:eastAsia="Times New Roman" w:cs="Tahoma"/>
          <w:sz w:val="24"/>
          <w:szCs w:val="24"/>
        </w:rPr>
        <w:t>, such as Emanue</w:t>
      </w:r>
      <w:r w:rsidR="00662AB5">
        <w:rPr>
          <w:rFonts w:eastAsia="Times New Roman" w:cs="Tahoma"/>
          <w:sz w:val="24"/>
          <w:szCs w:val="24"/>
        </w:rPr>
        <w:t>l Farhi and Ivan Werning,</w:t>
      </w:r>
      <w:r w:rsidR="000918D5" w:rsidRPr="008507D2">
        <w:rPr>
          <w:rFonts w:eastAsia="Times New Roman" w:cs="Tahoma"/>
          <w:sz w:val="24"/>
          <w:szCs w:val="24"/>
        </w:rPr>
        <w:t xml:space="preserve"> find that i</w:t>
      </w:r>
      <w:r w:rsidRPr="008507D2">
        <w:rPr>
          <w:rFonts w:eastAsia="Times New Roman" w:cs="Tahoma"/>
          <w:sz w:val="24"/>
          <w:szCs w:val="24"/>
        </w:rPr>
        <w:t>n such circumstances taxation of capital flows ca</w:t>
      </w:r>
      <w:r w:rsidR="00662AB5">
        <w:rPr>
          <w:rFonts w:eastAsia="Times New Roman" w:cs="Tahoma"/>
          <w:sz w:val="24"/>
          <w:szCs w:val="24"/>
        </w:rPr>
        <w:t>n be welfare-improving</w:t>
      </w:r>
      <w:r w:rsidRPr="008507D2">
        <w:rPr>
          <w:rFonts w:eastAsia="Times New Roman" w:cs="Tahoma"/>
          <w:sz w:val="24"/>
          <w:szCs w:val="24"/>
        </w:rPr>
        <w:t>.</w:t>
      </w:r>
      <w:r w:rsidRPr="008507D2">
        <w:rPr>
          <w:rStyle w:val="EndnoteReference"/>
          <w:rFonts w:eastAsia="Times New Roman" w:cs="Tahoma"/>
          <w:sz w:val="24"/>
          <w:szCs w:val="24"/>
        </w:rPr>
        <w:endnoteReference w:id="3"/>
      </w:r>
      <w:r w:rsidR="00E14E22" w:rsidRPr="008507D2">
        <w:rPr>
          <w:rFonts w:eastAsia="Times New Roman" w:cs="Tahoma"/>
          <w:sz w:val="24"/>
          <w:szCs w:val="24"/>
        </w:rPr>
        <w:t xml:space="preserve">  Others find that </w:t>
      </w:r>
      <w:r w:rsidR="000918D5" w:rsidRPr="008507D2">
        <w:rPr>
          <w:rFonts w:eastAsia="Times New Roman" w:cs="Tahoma"/>
          <w:sz w:val="24"/>
          <w:szCs w:val="24"/>
        </w:rPr>
        <w:t xml:space="preserve">capital controls </w:t>
      </w:r>
      <w:r w:rsidR="00E14E22" w:rsidRPr="008507D2">
        <w:rPr>
          <w:rFonts w:eastAsia="Times New Roman" w:cs="Tahoma"/>
          <w:sz w:val="24"/>
          <w:szCs w:val="24"/>
        </w:rPr>
        <w:t>are of limited help</w:t>
      </w:r>
      <w:r w:rsidR="000918D5" w:rsidRPr="008507D2">
        <w:rPr>
          <w:rFonts w:eastAsia="Times New Roman" w:cs="Tahoma"/>
          <w:sz w:val="24"/>
          <w:szCs w:val="24"/>
        </w:rPr>
        <w:t>.</w:t>
      </w:r>
      <w:r w:rsidR="000918D5" w:rsidRPr="008507D2">
        <w:rPr>
          <w:rStyle w:val="EndnoteReference"/>
          <w:rFonts w:eastAsia="Times New Roman" w:cs="Tahoma"/>
          <w:sz w:val="24"/>
          <w:szCs w:val="24"/>
        </w:rPr>
        <w:endnoteReference w:id="4"/>
      </w:r>
    </w:p>
    <w:p w:rsidR="009D6993" w:rsidRPr="008507D2" w:rsidRDefault="00812646" w:rsidP="00812646">
      <w:pPr>
        <w:spacing w:before="100" w:beforeAutospacing="1" w:after="100" w:afterAutospacing="1"/>
        <w:rPr>
          <w:b/>
          <w:sz w:val="24"/>
          <w:szCs w:val="24"/>
        </w:rPr>
      </w:pPr>
      <w:r w:rsidRPr="008507D2">
        <w:rPr>
          <w:b/>
          <w:sz w:val="24"/>
          <w:szCs w:val="24"/>
        </w:rPr>
        <w:t xml:space="preserve">(4b) US financial conditions drive global liquidity and </w:t>
      </w:r>
      <w:r w:rsidR="009D6993" w:rsidRPr="008507D2">
        <w:rPr>
          <w:b/>
          <w:sz w:val="24"/>
          <w:szCs w:val="24"/>
        </w:rPr>
        <w:t xml:space="preserve">the </w:t>
      </w:r>
      <w:r w:rsidR="001468D1">
        <w:rPr>
          <w:b/>
          <w:sz w:val="24"/>
          <w:szCs w:val="24"/>
        </w:rPr>
        <w:t>world</w:t>
      </w:r>
      <w:r w:rsidR="009D6993" w:rsidRPr="008507D2">
        <w:rPr>
          <w:b/>
          <w:sz w:val="24"/>
          <w:szCs w:val="24"/>
        </w:rPr>
        <w:t xml:space="preserve"> capital flow cycle</w:t>
      </w:r>
    </w:p>
    <w:p w:rsidR="008507D2" w:rsidRPr="008507D2" w:rsidRDefault="009D6993" w:rsidP="008507D2">
      <w:pPr>
        <w:autoSpaceDE w:val="0"/>
        <w:autoSpaceDN w:val="0"/>
        <w:adjustRightInd w:val="0"/>
        <w:spacing w:after="0" w:line="240" w:lineRule="auto"/>
        <w:ind w:firstLine="720"/>
        <w:rPr>
          <w:rFonts w:cs="CMR10"/>
          <w:sz w:val="24"/>
          <w:szCs w:val="24"/>
        </w:rPr>
      </w:pPr>
      <w:r w:rsidRPr="008507D2">
        <w:rPr>
          <w:rFonts w:cs="CMR10"/>
          <w:sz w:val="24"/>
          <w:szCs w:val="24"/>
        </w:rPr>
        <w:lastRenderedPageBreak/>
        <w:t>Helene Rey finds that one global factor explains an important part of the variance of a large cross section of returns of risky assets around the world. This time-varying global factor can be interpreted as the perceived importance of risk, as reflected in a measure such as the VIX.</w:t>
      </w:r>
      <w:r w:rsidR="00701DF0" w:rsidRPr="008507D2">
        <w:rPr>
          <w:rStyle w:val="EndnoteReference"/>
          <w:rFonts w:cs="CMR10"/>
          <w:sz w:val="24"/>
          <w:szCs w:val="24"/>
        </w:rPr>
        <w:endnoteReference w:id="5"/>
      </w:r>
      <w:r w:rsidRPr="008507D2">
        <w:rPr>
          <w:rFonts w:cs="CMR10"/>
          <w:sz w:val="24"/>
          <w:szCs w:val="24"/>
        </w:rPr>
        <w:t xml:space="preserve">  US monetary policy is, in turn, a driver of this global factor</w:t>
      </w:r>
      <w:r w:rsidR="00ED1EFB">
        <w:rPr>
          <w:rFonts w:cs="CMR10"/>
          <w:sz w:val="24"/>
          <w:szCs w:val="24"/>
        </w:rPr>
        <w:t xml:space="preserve"> </w:t>
      </w:r>
      <w:r w:rsidR="00DD406D" w:rsidRPr="00ED1EFB">
        <w:rPr>
          <w:sz w:val="24"/>
          <w:szCs w:val="24"/>
        </w:rPr>
        <w:t>and of international credit flows and leverage</w:t>
      </w:r>
      <w:r w:rsidRPr="00ED1EFB">
        <w:rPr>
          <w:rFonts w:cs="CMR10"/>
          <w:sz w:val="24"/>
          <w:szCs w:val="24"/>
        </w:rPr>
        <w:t>.</w:t>
      </w:r>
      <w:r w:rsidRPr="00ED1EFB">
        <w:rPr>
          <w:rStyle w:val="EndnoteReference"/>
          <w:rFonts w:cs="CMR10"/>
          <w:sz w:val="24"/>
          <w:szCs w:val="24"/>
        </w:rPr>
        <w:endnoteReference w:id="6"/>
      </w:r>
      <w:r w:rsidRPr="008507D2">
        <w:rPr>
          <w:rFonts w:cs="CMR10"/>
          <w:sz w:val="24"/>
          <w:szCs w:val="24"/>
        </w:rPr>
        <w:t xml:space="preserve">  </w:t>
      </w:r>
      <w:r w:rsidR="00943503">
        <w:rPr>
          <w:rFonts w:cs="CMR10"/>
          <w:sz w:val="24"/>
          <w:szCs w:val="24"/>
        </w:rPr>
        <w:t xml:space="preserve">As an example of “reach for yield,” the carry trade </w:t>
      </w:r>
      <w:r w:rsidR="008432DA" w:rsidRPr="008507D2">
        <w:rPr>
          <w:rFonts w:cs="CMR10"/>
          <w:sz w:val="24"/>
          <w:szCs w:val="24"/>
        </w:rPr>
        <w:t>entail</w:t>
      </w:r>
      <w:r w:rsidR="0023014A" w:rsidRPr="008507D2">
        <w:rPr>
          <w:rFonts w:cs="CMR10"/>
          <w:sz w:val="24"/>
          <w:szCs w:val="24"/>
        </w:rPr>
        <w:t xml:space="preserve">s short-term capital flows from </w:t>
      </w:r>
      <w:r w:rsidR="00605672">
        <w:rPr>
          <w:rFonts w:cs="CMR10"/>
          <w:sz w:val="24"/>
          <w:szCs w:val="24"/>
        </w:rPr>
        <w:t>low interest rate countries such as</w:t>
      </w:r>
      <w:r w:rsidR="0023014A" w:rsidRPr="008507D2">
        <w:rPr>
          <w:rFonts w:cs="CMR10"/>
          <w:sz w:val="24"/>
          <w:szCs w:val="24"/>
        </w:rPr>
        <w:t xml:space="preserve"> the US to high interest rate countries </w:t>
      </w:r>
      <w:r w:rsidR="00605672">
        <w:rPr>
          <w:rFonts w:cs="CMR10"/>
          <w:sz w:val="24"/>
          <w:szCs w:val="24"/>
        </w:rPr>
        <w:t>such as</w:t>
      </w:r>
      <w:r w:rsidR="0023014A" w:rsidRPr="008507D2">
        <w:rPr>
          <w:rFonts w:cs="CMR10"/>
          <w:sz w:val="24"/>
          <w:szCs w:val="24"/>
        </w:rPr>
        <w:t xml:space="preserve"> EMs.</w:t>
      </w:r>
      <w:r w:rsidR="0023014A" w:rsidRPr="008507D2">
        <w:rPr>
          <w:rStyle w:val="EndnoteReference"/>
          <w:rFonts w:cs="CMR10"/>
          <w:sz w:val="24"/>
          <w:szCs w:val="24"/>
        </w:rPr>
        <w:endnoteReference w:id="7"/>
      </w:r>
      <w:r w:rsidR="0023014A" w:rsidRPr="008507D2">
        <w:rPr>
          <w:rFonts w:cs="CMR10"/>
          <w:sz w:val="24"/>
          <w:szCs w:val="24"/>
        </w:rPr>
        <w:t xml:space="preserve"> </w:t>
      </w:r>
    </w:p>
    <w:p w:rsidR="00F23F1A" w:rsidRPr="00C5105A" w:rsidRDefault="002B4875" w:rsidP="00C5105A">
      <w:pPr>
        <w:autoSpaceDE w:val="0"/>
        <w:autoSpaceDN w:val="0"/>
        <w:adjustRightInd w:val="0"/>
        <w:spacing w:after="0" w:line="240" w:lineRule="auto"/>
        <w:ind w:firstLine="720"/>
        <w:rPr>
          <w:rFonts w:cs="CMR10"/>
          <w:sz w:val="24"/>
          <w:szCs w:val="24"/>
        </w:rPr>
      </w:pPr>
      <w:r>
        <w:rPr>
          <w:rFonts w:cs="CMR10"/>
          <w:sz w:val="24"/>
          <w:szCs w:val="24"/>
        </w:rPr>
        <w:t>Traditional textbook theory under the trilemma</w:t>
      </w:r>
      <w:r w:rsidR="008432DA" w:rsidRPr="008507D2">
        <w:rPr>
          <w:rFonts w:cs="CMR10"/>
          <w:sz w:val="24"/>
          <w:szCs w:val="24"/>
        </w:rPr>
        <w:t xml:space="preserve"> says that </w:t>
      </w:r>
      <w:r w:rsidR="008432DA" w:rsidRPr="008507D2">
        <w:rPr>
          <w:bCs/>
          <w:color w:val="200020"/>
          <w:sz w:val="24"/>
          <w:szCs w:val="24"/>
        </w:rPr>
        <w:t>fl</w:t>
      </w:r>
      <w:r w:rsidR="009D6993" w:rsidRPr="008507D2">
        <w:rPr>
          <w:rFonts w:cs="CMR10"/>
          <w:sz w:val="24"/>
          <w:szCs w:val="24"/>
        </w:rPr>
        <w:t xml:space="preserve">oating exchange rates </w:t>
      </w:r>
      <w:r w:rsidR="008432DA" w:rsidRPr="008507D2">
        <w:rPr>
          <w:rFonts w:cs="CMR10"/>
          <w:sz w:val="24"/>
          <w:szCs w:val="24"/>
        </w:rPr>
        <w:t xml:space="preserve">help insulate </w:t>
      </w:r>
      <w:r w:rsidR="009D6993" w:rsidRPr="008507D2">
        <w:rPr>
          <w:rFonts w:cs="CMR10"/>
          <w:sz w:val="24"/>
          <w:szCs w:val="24"/>
        </w:rPr>
        <w:t xml:space="preserve">small countries against </w:t>
      </w:r>
      <w:r w:rsidR="00F30573" w:rsidRPr="008507D2">
        <w:rPr>
          <w:rFonts w:cs="CMR10"/>
          <w:sz w:val="24"/>
          <w:szCs w:val="24"/>
        </w:rPr>
        <w:t xml:space="preserve">global financial factors such as </w:t>
      </w:r>
      <w:r w:rsidR="00BC7AB9" w:rsidRPr="008507D2">
        <w:rPr>
          <w:rFonts w:cs="CMR10"/>
          <w:sz w:val="24"/>
          <w:szCs w:val="24"/>
        </w:rPr>
        <w:t>US monetary conditions,</w:t>
      </w:r>
      <w:r w:rsidR="00BC7AB9" w:rsidRPr="008507D2">
        <w:rPr>
          <w:bCs/>
          <w:color w:val="200020"/>
          <w:sz w:val="24"/>
          <w:szCs w:val="24"/>
        </w:rPr>
        <w:t xml:space="preserve"> each country choosing the monetary policy that suits its own economic conditions.</w:t>
      </w:r>
      <w:r w:rsidR="008432DA" w:rsidRPr="008507D2">
        <w:rPr>
          <w:rFonts w:cs="CMR10"/>
          <w:sz w:val="24"/>
          <w:szCs w:val="24"/>
        </w:rPr>
        <w:t xml:space="preserve">   But transmission of liquidity and </w:t>
      </w:r>
      <w:r w:rsidR="00BC7AB9" w:rsidRPr="008507D2">
        <w:rPr>
          <w:rFonts w:cs="CMR10"/>
          <w:sz w:val="24"/>
          <w:szCs w:val="24"/>
        </w:rPr>
        <w:t>risk effects may invalidate this insulation</w:t>
      </w:r>
      <w:r w:rsidR="00130F58" w:rsidRPr="008507D2">
        <w:rPr>
          <w:rFonts w:cs="CMR10"/>
          <w:sz w:val="24"/>
          <w:szCs w:val="24"/>
        </w:rPr>
        <w:t xml:space="preserve"> proposition.</w:t>
      </w:r>
      <w:r w:rsidR="00DD406D">
        <w:rPr>
          <w:rStyle w:val="EndnoteReference"/>
          <w:rFonts w:cs="CMR10"/>
          <w:sz w:val="24"/>
          <w:szCs w:val="24"/>
        </w:rPr>
        <w:endnoteReference w:id="8"/>
      </w:r>
      <w:r w:rsidR="00130F58" w:rsidRPr="008507D2">
        <w:rPr>
          <w:rFonts w:cs="CMR10"/>
          <w:sz w:val="24"/>
          <w:szCs w:val="24"/>
        </w:rPr>
        <w:t xml:space="preserve">  </w:t>
      </w:r>
      <w:r w:rsidR="00C5105A">
        <w:rPr>
          <w:rFonts w:cs="CMR10"/>
          <w:sz w:val="24"/>
          <w:szCs w:val="24"/>
        </w:rPr>
        <w:t>Some say that the power to set independent monetary policy was compromised when interest rates hit the zero lower bound.</w:t>
      </w:r>
      <w:r w:rsidR="00C5105A" w:rsidRPr="00C5105A">
        <w:rPr>
          <w:rStyle w:val="EndnoteReference"/>
          <w:bCs/>
          <w:color w:val="200020"/>
          <w:sz w:val="24"/>
          <w:szCs w:val="24"/>
        </w:rPr>
        <w:t xml:space="preserve"> </w:t>
      </w:r>
      <w:r w:rsidR="00C5105A" w:rsidRPr="008507D2">
        <w:rPr>
          <w:rStyle w:val="EndnoteReference"/>
          <w:bCs/>
          <w:color w:val="200020"/>
          <w:sz w:val="24"/>
          <w:szCs w:val="24"/>
        </w:rPr>
        <w:endnoteReference w:id="9"/>
      </w:r>
      <w:r w:rsidR="00C5105A" w:rsidRPr="008507D2">
        <w:rPr>
          <w:bCs/>
          <w:color w:val="200020"/>
          <w:sz w:val="24"/>
          <w:szCs w:val="24"/>
        </w:rPr>
        <w:t xml:space="preserve">  </w:t>
      </w:r>
      <w:r w:rsidR="00C5105A">
        <w:rPr>
          <w:rFonts w:cs="CMR10"/>
          <w:sz w:val="24"/>
          <w:szCs w:val="24"/>
        </w:rPr>
        <w:t xml:space="preserve">  </w:t>
      </w:r>
      <w:r w:rsidR="00130F58" w:rsidRPr="008507D2">
        <w:rPr>
          <w:rFonts w:cs="CMR10"/>
          <w:sz w:val="24"/>
          <w:szCs w:val="24"/>
        </w:rPr>
        <w:t>A</w:t>
      </w:r>
      <w:r w:rsidR="009D6993" w:rsidRPr="008507D2">
        <w:rPr>
          <w:rFonts w:cs="CMR10"/>
          <w:sz w:val="24"/>
          <w:szCs w:val="24"/>
        </w:rPr>
        <w:t xml:space="preserve">fter all, </w:t>
      </w:r>
      <w:r w:rsidR="00BC7AB9" w:rsidRPr="008507D2">
        <w:rPr>
          <w:rFonts w:cs="CMR10"/>
          <w:sz w:val="24"/>
          <w:szCs w:val="24"/>
        </w:rPr>
        <w:t>many</w:t>
      </w:r>
      <w:r w:rsidR="009D6993" w:rsidRPr="008507D2">
        <w:rPr>
          <w:rFonts w:cs="CMR10"/>
          <w:sz w:val="24"/>
          <w:szCs w:val="24"/>
        </w:rPr>
        <w:t xml:space="preserve"> countries with floating exchange rates </w:t>
      </w:r>
      <w:r w:rsidR="00BC7AB9" w:rsidRPr="008507D2">
        <w:rPr>
          <w:rFonts w:cs="CMR10"/>
          <w:sz w:val="24"/>
          <w:szCs w:val="24"/>
        </w:rPr>
        <w:t xml:space="preserve">suffered </w:t>
      </w:r>
      <w:r w:rsidR="009D6993" w:rsidRPr="008507D2">
        <w:rPr>
          <w:rFonts w:cs="CMR10"/>
          <w:sz w:val="24"/>
          <w:szCs w:val="24"/>
        </w:rPr>
        <w:t>effects of the US-originated Global Financial Crisis in 2008-09</w:t>
      </w:r>
      <w:r w:rsidR="008432DA" w:rsidRPr="008507D2">
        <w:rPr>
          <w:rFonts w:cs="CMR10"/>
          <w:sz w:val="24"/>
          <w:szCs w:val="24"/>
        </w:rPr>
        <w:t xml:space="preserve">.  </w:t>
      </w:r>
      <w:r w:rsidR="003035C4" w:rsidRPr="008507D2">
        <w:rPr>
          <w:rFonts w:cs="CMR10"/>
          <w:sz w:val="24"/>
          <w:szCs w:val="24"/>
        </w:rPr>
        <w:t xml:space="preserve">The issue is very relevant in </w:t>
      </w:r>
      <w:r w:rsidR="00130F58" w:rsidRPr="008507D2">
        <w:rPr>
          <w:rFonts w:cs="CMR10"/>
          <w:sz w:val="24"/>
          <w:szCs w:val="24"/>
        </w:rPr>
        <w:t>201</w:t>
      </w:r>
      <w:r w:rsidR="00C5105A">
        <w:rPr>
          <w:rFonts w:cs="CMR10"/>
          <w:sz w:val="24"/>
          <w:szCs w:val="24"/>
        </w:rPr>
        <w:t>7</w:t>
      </w:r>
      <w:r w:rsidR="003035C4" w:rsidRPr="008507D2">
        <w:rPr>
          <w:rFonts w:cs="CMR10"/>
          <w:sz w:val="24"/>
          <w:szCs w:val="24"/>
        </w:rPr>
        <w:t xml:space="preserve">, with fears that </w:t>
      </w:r>
      <w:r w:rsidR="00872372" w:rsidRPr="008507D2">
        <w:rPr>
          <w:rFonts w:cs="CMR10"/>
          <w:sz w:val="24"/>
          <w:szCs w:val="24"/>
        </w:rPr>
        <w:t xml:space="preserve">coming increases in US interest rates might trigger EM crises as </w:t>
      </w:r>
      <w:r w:rsidR="00F30573" w:rsidRPr="008507D2">
        <w:rPr>
          <w:rFonts w:cs="CMR10"/>
          <w:sz w:val="24"/>
          <w:szCs w:val="24"/>
        </w:rPr>
        <w:t xml:space="preserve">sometimes </w:t>
      </w:r>
      <w:r w:rsidR="00872372" w:rsidRPr="008507D2">
        <w:rPr>
          <w:rFonts w:cs="CMR10"/>
          <w:sz w:val="24"/>
          <w:szCs w:val="24"/>
        </w:rPr>
        <w:t>in the past.</w:t>
      </w:r>
    </w:p>
    <w:tbl>
      <w:tblPr>
        <w:tblW w:w="0" w:type="auto"/>
        <w:tblCellSpacing w:w="0" w:type="dxa"/>
        <w:tblCellMar>
          <w:left w:w="0" w:type="dxa"/>
          <w:right w:w="0" w:type="dxa"/>
        </w:tblCellMar>
        <w:tblLook w:val="04A0" w:firstRow="1" w:lastRow="0" w:firstColumn="1" w:lastColumn="0" w:noHBand="0" w:noVBand="1"/>
      </w:tblPr>
      <w:tblGrid>
        <w:gridCol w:w="6"/>
      </w:tblGrid>
      <w:tr w:rsidR="001955A9" w:rsidRPr="008507D2" w:rsidTr="00894D6F">
        <w:trPr>
          <w:tblCellSpacing w:w="0" w:type="dxa"/>
        </w:trPr>
        <w:tc>
          <w:tcPr>
            <w:tcW w:w="0" w:type="auto"/>
            <w:hideMark/>
          </w:tcPr>
          <w:p w:rsidR="001955A9" w:rsidRPr="008507D2" w:rsidRDefault="001955A9" w:rsidP="00A5637B">
            <w:pPr>
              <w:spacing w:after="150" w:line="240" w:lineRule="auto"/>
              <w:rPr>
                <w:rFonts w:ascii="Tahoma" w:eastAsia="Times New Roman" w:hAnsi="Tahoma" w:cs="Tahoma"/>
                <w:color w:val="304050"/>
                <w:sz w:val="24"/>
                <w:szCs w:val="24"/>
              </w:rPr>
            </w:pPr>
          </w:p>
        </w:tc>
      </w:tr>
      <w:tr w:rsidR="00897B54" w:rsidRPr="008507D2" w:rsidTr="00894D6F">
        <w:trPr>
          <w:tblCellSpacing w:w="0" w:type="dxa"/>
        </w:trPr>
        <w:tc>
          <w:tcPr>
            <w:tcW w:w="0" w:type="auto"/>
            <w:hideMark/>
          </w:tcPr>
          <w:p w:rsidR="00AA779E" w:rsidRDefault="00AA779E" w:rsidP="00897B54">
            <w:pPr>
              <w:spacing w:after="150" w:line="240" w:lineRule="auto"/>
              <w:rPr>
                <w:rFonts w:ascii="Tahoma" w:eastAsia="Times New Roman" w:hAnsi="Tahoma" w:cs="Tahoma"/>
                <w:color w:val="304050"/>
                <w:sz w:val="24"/>
                <w:szCs w:val="24"/>
              </w:rPr>
            </w:pPr>
          </w:p>
          <w:p w:rsidR="008507D2" w:rsidRPr="008507D2" w:rsidRDefault="008507D2" w:rsidP="00897B54">
            <w:pPr>
              <w:spacing w:after="150" w:line="240" w:lineRule="auto"/>
              <w:rPr>
                <w:rFonts w:ascii="Tahoma" w:eastAsia="Times New Roman" w:hAnsi="Tahoma" w:cs="Tahoma"/>
                <w:color w:val="304050"/>
                <w:sz w:val="24"/>
                <w:szCs w:val="24"/>
              </w:rPr>
            </w:pPr>
          </w:p>
        </w:tc>
      </w:tr>
    </w:tbl>
    <w:p w:rsidR="00897B54" w:rsidRPr="008507D2" w:rsidRDefault="00AB1F17" w:rsidP="00AE2DE2">
      <w:pPr>
        <w:rPr>
          <w:sz w:val="24"/>
          <w:szCs w:val="24"/>
        </w:rPr>
      </w:pPr>
      <w:r w:rsidRPr="008507D2">
        <w:rPr>
          <w:b/>
          <w:sz w:val="24"/>
          <w:szCs w:val="24"/>
        </w:rPr>
        <w:t>Reference endnotes</w:t>
      </w:r>
    </w:p>
    <w:sectPr w:rsidR="00897B54" w:rsidRPr="008507D2" w:rsidSect="00CC4DD0">
      <w:endnotePr>
        <w:numFmt w:val="decimal"/>
      </w:endnotePr>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43C" w:rsidRDefault="00A2143C" w:rsidP="007D1423">
      <w:pPr>
        <w:spacing w:after="0" w:line="240" w:lineRule="auto"/>
      </w:pPr>
      <w:r>
        <w:separator/>
      </w:r>
    </w:p>
  </w:endnote>
  <w:endnote w:type="continuationSeparator" w:id="0">
    <w:p w:rsidR="00A2143C" w:rsidRDefault="00A2143C" w:rsidP="007D1423">
      <w:pPr>
        <w:spacing w:after="0" w:line="240" w:lineRule="auto"/>
      </w:pPr>
      <w:r>
        <w:continuationSeparator/>
      </w:r>
    </w:p>
  </w:endnote>
  <w:endnote w:id="1">
    <w:p w:rsidR="00F6749C" w:rsidRPr="007A274A" w:rsidRDefault="00F6749C" w:rsidP="009412F3">
      <w:pPr>
        <w:pStyle w:val="Heading1"/>
        <w:spacing w:before="0" w:beforeAutospacing="0" w:after="150" w:afterAutospacing="0"/>
        <w:rPr>
          <w:rFonts w:asciiTheme="minorHAnsi" w:hAnsiTheme="minorHAnsi"/>
          <w:b w:val="0"/>
          <w:bCs w:val="0"/>
          <w:sz w:val="24"/>
          <w:szCs w:val="24"/>
        </w:rPr>
      </w:pPr>
      <w:r w:rsidRPr="007A274A">
        <w:rPr>
          <w:rStyle w:val="EndnoteReference"/>
          <w:rFonts w:asciiTheme="minorHAnsi" w:hAnsiTheme="minorHAnsi"/>
          <w:b w:val="0"/>
          <w:sz w:val="24"/>
          <w:szCs w:val="24"/>
        </w:rPr>
        <w:endnoteRef/>
      </w:r>
      <w:r w:rsidRPr="007A274A">
        <w:rPr>
          <w:rFonts w:asciiTheme="minorHAnsi" w:hAnsiTheme="minorHAnsi"/>
          <w:b w:val="0"/>
          <w:sz w:val="24"/>
          <w:szCs w:val="24"/>
        </w:rPr>
        <w:t xml:space="preserve"> Two papers at the</w:t>
      </w:r>
      <w:hyperlink r:id="rId1" w:history="1">
        <w:r w:rsidRPr="007A274A">
          <w:rPr>
            <w:rStyle w:val="Hyperlink"/>
            <w:rFonts w:asciiTheme="minorHAnsi" w:hAnsiTheme="minorHAnsi" w:cs="Arial"/>
            <w:b w:val="0"/>
            <w:iCs/>
            <w:color w:val="auto"/>
            <w:sz w:val="24"/>
            <w:szCs w:val="24"/>
          </w:rPr>
          <w:t xml:space="preserve"> 2014 Istanbul conference</w:t>
        </w:r>
      </w:hyperlink>
      <w:r w:rsidRPr="007A274A">
        <w:rPr>
          <w:rFonts w:asciiTheme="minorHAnsi" w:hAnsiTheme="minorHAnsi" w:cs="Arial"/>
          <w:b w:val="0"/>
          <w:iCs/>
          <w:sz w:val="24"/>
          <w:szCs w:val="24"/>
        </w:rPr>
        <w:t xml:space="preserve"> </w:t>
      </w:r>
      <w:r w:rsidRPr="007A274A">
        <w:rPr>
          <w:rFonts w:asciiTheme="minorHAnsi" w:hAnsiTheme="minorHAnsi"/>
          <w:b w:val="0"/>
          <w:bCs w:val="0"/>
          <w:sz w:val="24"/>
          <w:szCs w:val="24"/>
        </w:rPr>
        <w:t>organized by S. Kalemli-Ozcan considered the menu of possible responses:</w:t>
      </w:r>
      <w:r w:rsidRPr="007A274A">
        <w:rPr>
          <w:rFonts w:asciiTheme="minorHAnsi" w:hAnsiTheme="minorHAnsi"/>
          <w:b w:val="0"/>
          <w:sz w:val="24"/>
          <w:szCs w:val="24"/>
        </w:rPr>
        <w:t xml:space="preserve"> </w:t>
      </w:r>
      <w:proofErr w:type="spellStart"/>
      <w:r w:rsidRPr="007A274A">
        <w:rPr>
          <w:rFonts w:asciiTheme="minorHAnsi" w:hAnsiTheme="minorHAnsi" w:cs="Arial"/>
          <w:b w:val="0"/>
          <w:sz w:val="24"/>
          <w:szCs w:val="24"/>
        </w:rPr>
        <w:t>K.Forbes</w:t>
      </w:r>
      <w:proofErr w:type="spellEnd"/>
      <w:r w:rsidRPr="007A274A">
        <w:rPr>
          <w:rFonts w:asciiTheme="minorHAnsi" w:hAnsiTheme="minorHAnsi" w:cs="Arial"/>
          <w:b w:val="0"/>
          <w:sz w:val="24"/>
          <w:szCs w:val="24"/>
        </w:rPr>
        <w:t xml:space="preserve">, M.W. Klein, </w:t>
      </w:r>
      <w:r w:rsidRPr="005D123B">
        <w:rPr>
          <w:rFonts w:asciiTheme="minorHAnsi" w:hAnsiTheme="minorHAnsi" w:cs="Arial"/>
          <w:b w:val="0"/>
          <w:sz w:val="24"/>
          <w:szCs w:val="24"/>
        </w:rPr>
        <w:t>“</w:t>
      </w:r>
      <w:hyperlink r:id="rId2" w:history="1">
        <w:r w:rsidRPr="005D123B">
          <w:rPr>
            <w:rStyle w:val="Hyperlink"/>
            <w:rFonts w:asciiTheme="minorHAnsi" w:hAnsiTheme="minorHAnsi" w:cs="Arial"/>
            <w:b w:val="0"/>
            <w:iCs/>
            <w:color w:val="auto"/>
            <w:sz w:val="24"/>
            <w:szCs w:val="24"/>
          </w:rPr>
          <w:t>Shifting from a Salsa to a Waltz: The Consequences of Policy Responses During Global Booms</w:t>
        </w:r>
      </w:hyperlink>
      <w:r w:rsidRPr="005D123B">
        <w:rPr>
          <w:rStyle w:val="Hyperlink"/>
          <w:rFonts w:asciiTheme="minorHAnsi" w:hAnsiTheme="minorHAnsi" w:cs="Arial"/>
          <w:b w:val="0"/>
          <w:iCs/>
          <w:color w:val="auto"/>
          <w:sz w:val="24"/>
          <w:szCs w:val="24"/>
        </w:rPr>
        <w:t>”</w:t>
      </w:r>
      <w:r w:rsidRPr="005D123B">
        <w:rPr>
          <w:rFonts w:asciiTheme="minorHAnsi" w:hAnsiTheme="minorHAnsi" w:cs="Arial"/>
          <w:b w:val="0"/>
          <w:iCs/>
          <w:sz w:val="24"/>
          <w:szCs w:val="24"/>
        </w:rPr>
        <w:t>, June 2014,</w:t>
      </w:r>
      <w:r w:rsidRPr="007A274A">
        <w:rPr>
          <w:rFonts w:asciiTheme="minorHAnsi" w:hAnsiTheme="minorHAnsi" w:cs="Arial"/>
          <w:b w:val="0"/>
          <w:i/>
          <w:iCs/>
          <w:sz w:val="24"/>
          <w:szCs w:val="24"/>
        </w:rPr>
        <w:t xml:space="preserve"> </w:t>
      </w:r>
      <w:r w:rsidRPr="007A274A">
        <w:rPr>
          <w:rFonts w:asciiTheme="minorHAnsi" w:hAnsiTheme="minorHAnsi" w:cs="Arial"/>
          <w:b w:val="0"/>
          <w:sz w:val="24"/>
          <w:szCs w:val="24"/>
          <w:lang w:eastAsia="en-US"/>
        </w:rPr>
        <w:t>and O. Blanchard, J. Ostry,</w:t>
      </w:r>
      <w:r>
        <w:rPr>
          <w:rFonts w:asciiTheme="minorHAnsi" w:hAnsiTheme="minorHAnsi" w:cs="Arial"/>
          <w:b w:val="0"/>
          <w:sz w:val="24"/>
          <w:szCs w:val="24"/>
          <w:lang w:eastAsia="en-US"/>
        </w:rPr>
        <w:t xml:space="preserve"> </w:t>
      </w:r>
      <w:r w:rsidRPr="007A274A">
        <w:rPr>
          <w:rFonts w:asciiTheme="minorHAnsi" w:hAnsiTheme="minorHAnsi" w:cs="Arial"/>
          <w:b w:val="0"/>
          <w:sz w:val="24"/>
          <w:szCs w:val="24"/>
          <w:lang w:eastAsia="en-US"/>
        </w:rPr>
        <w:t>A.R. Ghosh and M. Chamon, “Managing Capital Flows: How to Combine Capital Controls, Macro Prudential Tools, FX Intervention, and the Policy Rate.”</w:t>
      </w:r>
      <w:r w:rsidRPr="007A274A">
        <w:rPr>
          <w:rFonts w:asciiTheme="minorHAnsi" w:hAnsiTheme="minorHAnsi" w:cs="Arial"/>
          <w:b w:val="0"/>
          <w:i/>
          <w:sz w:val="24"/>
          <w:szCs w:val="24"/>
          <w:lang w:eastAsia="en-US"/>
        </w:rPr>
        <w:t xml:space="preserve">  </w:t>
      </w:r>
      <w:r w:rsidRPr="007A274A">
        <w:rPr>
          <w:rFonts w:asciiTheme="minorHAnsi" w:hAnsiTheme="minorHAnsi" w:cs="Arial"/>
          <w:b w:val="0"/>
          <w:sz w:val="24"/>
          <w:szCs w:val="24"/>
          <w:lang w:eastAsia="en-US"/>
        </w:rPr>
        <w:t xml:space="preserve">Other research looks at how the menu of options was deployed after crises hit, in </w:t>
      </w:r>
      <w:r w:rsidRPr="007A274A">
        <w:rPr>
          <w:rFonts w:asciiTheme="minorHAnsi" w:hAnsiTheme="minorHAnsi" w:cs="Tahoma"/>
          <w:b w:val="0"/>
          <w:sz w:val="24"/>
          <w:szCs w:val="24"/>
        </w:rPr>
        <w:t xml:space="preserve">1997-98 and 2009-09: </w:t>
      </w:r>
      <w:r w:rsidRPr="00041435">
        <w:rPr>
          <w:rFonts w:asciiTheme="minorHAnsi" w:hAnsiTheme="minorHAnsi"/>
          <w:b w:val="0"/>
          <w:bCs w:val="0"/>
          <w:sz w:val="24"/>
          <w:szCs w:val="24"/>
        </w:rPr>
        <w:t>K</w:t>
      </w:r>
      <w:r>
        <w:rPr>
          <w:rFonts w:asciiTheme="minorHAnsi" w:hAnsiTheme="minorHAnsi"/>
          <w:b w:val="0"/>
          <w:bCs w:val="0"/>
          <w:sz w:val="24"/>
          <w:szCs w:val="24"/>
        </w:rPr>
        <w:t>.</w:t>
      </w:r>
      <w:r w:rsidRPr="00041435">
        <w:rPr>
          <w:rFonts w:asciiTheme="minorHAnsi" w:hAnsiTheme="minorHAnsi"/>
          <w:b w:val="0"/>
          <w:bCs w:val="0"/>
          <w:sz w:val="24"/>
          <w:szCs w:val="24"/>
        </w:rPr>
        <w:t xml:space="preserve"> Forbes</w:t>
      </w:r>
      <w:r w:rsidRPr="007A274A">
        <w:rPr>
          <w:rFonts w:asciiTheme="minorHAnsi" w:hAnsiTheme="minorHAnsi"/>
          <w:b w:val="0"/>
          <w:bCs w:val="0"/>
          <w:sz w:val="24"/>
          <w:szCs w:val="24"/>
        </w:rPr>
        <w:t>,</w:t>
      </w:r>
      <w:r w:rsidRPr="007A274A">
        <w:rPr>
          <w:rStyle w:val="apple-converted-space"/>
          <w:rFonts w:asciiTheme="minorHAnsi" w:hAnsiTheme="minorHAnsi"/>
          <w:b w:val="0"/>
          <w:bCs w:val="0"/>
          <w:sz w:val="24"/>
          <w:szCs w:val="24"/>
        </w:rPr>
        <w:t> </w:t>
      </w:r>
      <w:proofErr w:type="spellStart"/>
      <w:r w:rsidRPr="00041435">
        <w:rPr>
          <w:rFonts w:asciiTheme="minorHAnsi" w:hAnsiTheme="minorHAnsi"/>
          <w:b w:val="0"/>
          <w:bCs w:val="0"/>
          <w:sz w:val="24"/>
          <w:szCs w:val="24"/>
        </w:rPr>
        <w:t>M</w:t>
      </w:r>
      <w:r>
        <w:rPr>
          <w:rFonts w:asciiTheme="minorHAnsi" w:hAnsiTheme="minorHAnsi"/>
          <w:b w:val="0"/>
          <w:bCs w:val="0"/>
          <w:sz w:val="24"/>
          <w:szCs w:val="24"/>
        </w:rPr>
        <w:t>.</w:t>
      </w:r>
      <w:r w:rsidRPr="00041435">
        <w:rPr>
          <w:rFonts w:asciiTheme="minorHAnsi" w:hAnsiTheme="minorHAnsi"/>
          <w:b w:val="0"/>
          <w:bCs w:val="0"/>
          <w:sz w:val="24"/>
          <w:szCs w:val="24"/>
        </w:rPr>
        <w:t>Klein</w:t>
      </w:r>
      <w:proofErr w:type="spellEnd"/>
      <w:r w:rsidRPr="007A274A">
        <w:rPr>
          <w:rFonts w:asciiTheme="minorHAnsi" w:hAnsiTheme="minorHAnsi"/>
          <w:b w:val="0"/>
          <w:bCs w:val="0"/>
          <w:sz w:val="24"/>
          <w:szCs w:val="24"/>
        </w:rPr>
        <w:t xml:space="preserve">, “Pick Your Poison: The Choices and Consequences of Policy Responses to Crises,” </w:t>
      </w:r>
      <w:hyperlink r:id="rId3" w:history="1">
        <w:r w:rsidRPr="007A274A">
          <w:rPr>
            <w:rStyle w:val="Hyperlink"/>
            <w:rFonts w:asciiTheme="minorHAnsi" w:hAnsiTheme="minorHAnsi" w:cs="Tahoma"/>
            <w:b w:val="0"/>
            <w:bCs w:val="0"/>
            <w:sz w:val="24"/>
            <w:szCs w:val="24"/>
          </w:rPr>
          <w:t>NBER Working Paper No. 20987</w:t>
        </w:r>
        <w:r w:rsidRPr="007A274A">
          <w:rPr>
            <w:rStyle w:val="Hyperlink"/>
            <w:rFonts w:asciiTheme="minorHAnsi" w:hAnsiTheme="minorHAnsi" w:cs="Tahoma"/>
            <w:sz w:val="24"/>
            <w:szCs w:val="24"/>
          </w:rPr>
          <w:t>,</w:t>
        </w:r>
      </w:hyperlink>
      <w:r w:rsidRPr="007A274A">
        <w:rPr>
          <w:rFonts w:asciiTheme="minorHAnsi" w:hAnsiTheme="minorHAnsi" w:cs="Tahoma"/>
          <w:sz w:val="24"/>
          <w:szCs w:val="24"/>
        </w:rPr>
        <w:t xml:space="preserve"> </w:t>
      </w:r>
      <w:r w:rsidRPr="007A274A">
        <w:rPr>
          <w:rFonts w:asciiTheme="minorHAnsi" w:hAnsiTheme="minorHAnsi" w:cs="Tahoma"/>
          <w:b w:val="0"/>
          <w:bCs w:val="0"/>
          <w:sz w:val="24"/>
          <w:szCs w:val="24"/>
        </w:rPr>
        <w:t>February 2015.</w:t>
      </w:r>
      <w:r w:rsidRPr="007A274A">
        <w:rPr>
          <w:rFonts w:asciiTheme="minorHAnsi" w:hAnsiTheme="minorHAnsi" w:cs="Arial"/>
          <w:sz w:val="24"/>
          <w:szCs w:val="24"/>
          <w:lang w:eastAsia="en-US"/>
        </w:rPr>
        <w:t xml:space="preserve"> </w:t>
      </w:r>
    </w:p>
  </w:endnote>
  <w:endnote w:id="2">
    <w:p w:rsidR="00F6749C" w:rsidRPr="007A274A" w:rsidRDefault="00F6749C" w:rsidP="00E503E2">
      <w:pPr>
        <w:spacing w:line="240" w:lineRule="auto"/>
        <w:rPr>
          <w:sz w:val="24"/>
          <w:szCs w:val="24"/>
          <w:shd w:val="clear" w:color="auto" w:fill="FFFFFF"/>
        </w:rPr>
      </w:pPr>
      <w:r w:rsidRPr="007A274A">
        <w:rPr>
          <w:rStyle w:val="EndnoteReference"/>
          <w:sz w:val="24"/>
          <w:szCs w:val="24"/>
        </w:rPr>
        <w:endnoteRef/>
      </w:r>
      <w:r w:rsidRPr="007A274A">
        <w:rPr>
          <w:sz w:val="24"/>
          <w:szCs w:val="24"/>
        </w:rPr>
        <w:t xml:space="preserve"> Developing countries apparently are converging on an intermediate choice of partial exchange rate flexibility, partial financial openness and partial monetary policy independence. J.</w:t>
      </w:r>
      <w:r>
        <w:rPr>
          <w:rFonts w:cs="Tahoma"/>
          <w:sz w:val="24"/>
          <w:szCs w:val="24"/>
        </w:rPr>
        <w:t xml:space="preserve"> Aizenman and</w:t>
      </w:r>
      <w:r w:rsidRPr="007A274A">
        <w:rPr>
          <w:rFonts w:cs="Tahoma"/>
          <w:sz w:val="24"/>
          <w:szCs w:val="24"/>
        </w:rPr>
        <w:t xml:space="preserve"> </w:t>
      </w:r>
      <w:proofErr w:type="spellStart"/>
      <w:r w:rsidRPr="007A274A">
        <w:rPr>
          <w:rFonts w:cs="Tahoma"/>
          <w:sz w:val="24"/>
          <w:szCs w:val="24"/>
        </w:rPr>
        <w:t>H.Ito</w:t>
      </w:r>
      <w:proofErr w:type="spellEnd"/>
      <w:r w:rsidRPr="007A274A">
        <w:rPr>
          <w:rFonts w:cs="Tahoma"/>
          <w:sz w:val="24"/>
          <w:szCs w:val="24"/>
        </w:rPr>
        <w:t xml:space="preserve">, </w:t>
      </w:r>
      <w:r w:rsidRPr="001F389C">
        <w:rPr>
          <w:rFonts w:cs="Tahoma"/>
          <w:sz w:val="24"/>
          <w:szCs w:val="24"/>
        </w:rPr>
        <w:t>“</w:t>
      </w:r>
      <w:hyperlink r:id="rId4" w:history="1">
        <w:r w:rsidRPr="001F389C">
          <w:rPr>
            <w:rStyle w:val="Hyperlink"/>
            <w:rFonts w:cs="Tahoma"/>
            <w:bCs/>
            <w:color w:val="0070C0"/>
            <w:sz w:val="24"/>
            <w:szCs w:val="24"/>
          </w:rPr>
          <w:t>Living with the Trilemma Constraint: Relative Trilemma Policy Divergence, Crises, and Output Losses for Developing Countries</w:t>
        </w:r>
      </w:hyperlink>
      <w:r w:rsidRPr="007A274A">
        <w:rPr>
          <w:rFonts w:cs="Tahoma"/>
          <w:sz w:val="24"/>
          <w:szCs w:val="24"/>
        </w:rPr>
        <w:t xml:space="preserve">,” NBER WP 19448, 2014, </w:t>
      </w:r>
      <w:hyperlink r:id="rId5" w:history="1">
        <w:r w:rsidRPr="007A274A">
          <w:rPr>
            <w:rStyle w:val="Hyperlink"/>
            <w:rFonts w:cs="Tahoma"/>
            <w:i/>
            <w:iCs/>
            <w:color w:val="auto"/>
            <w:sz w:val="24"/>
            <w:szCs w:val="24"/>
            <w:u w:val="none"/>
          </w:rPr>
          <w:t>and in</w:t>
        </w:r>
      </w:hyperlink>
      <w:r w:rsidRPr="007A274A">
        <w:rPr>
          <w:rFonts w:cs="Tahoma"/>
          <w:i/>
          <w:iCs/>
          <w:sz w:val="24"/>
          <w:szCs w:val="24"/>
        </w:rPr>
        <w:t xml:space="preserve"> Journal of International Money and Finance,</w:t>
      </w:r>
      <w:r w:rsidRPr="007A274A">
        <w:rPr>
          <w:rFonts w:cs="Tahoma"/>
          <w:sz w:val="24"/>
          <w:szCs w:val="24"/>
        </w:rPr>
        <w:t xml:space="preserve"> 49(PA), pp. 28-51.  </w:t>
      </w:r>
      <w:r w:rsidRPr="007A274A">
        <w:rPr>
          <w:sz w:val="24"/>
          <w:szCs w:val="24"/>
        </w:rPr>
        <w:t>J.</w:t>
      </w:r>
      <w:r>
        <w:rPr>
          <w:rFonts w:cs="Tahoma"/>
          <w:sz w:val="24"/>
          <w:szCs w:val="24"/>
        </w:rPr>
        <w:t xml:space="preserve"> Aizenman and</w:t>
      </w:r>
      <w:r w:rsidRPr="007A274A">
        <w:rPr>
          <w:rFonts w:cs="Tahoma"/>
          <w:sz w:val="24"/>
          <w:szCs w:val="24"/>
        </w:rPr>
        <w:t xml:space="preserve"> </w:t>
      </w:r>
      <w:proofErr w:type="spellStart"/>
      <w:r w:rsidRPr="007A274A">
        <w:rPr>
          <w:rFonts w:cs="Tahoma"/>
          <w:sz w:val="24"/>
          <w:szCs w:val="24"/>
        </w:rPr>
        <w:t>H.Ito</w:t>
      </w:r>
      <w:proofErr w:type="spellEnd"/>
      <w:r w:rsidRPr="007A274A">
        <w:rPr>
          <w:rFonts w:cs="Tahoma"/>
          <w:sz w:val="24"/>
          <w:szCs w:val="24"/>
        </w:rPr>
        <w:t>, “</w:t>
      </w:r>
      <w:r w:rsidRPr="001F389C">
        <w:rPr>
          <w:rFonts w:cs="Tahoma"/>
          <w:bCs/>
          <w:sz w:val="24"/>
          <w:szCs w:val="24"/>
        </w:rPr>
        <w:t>Trilemma Policy Convergence Patterns and Output Volatility</w:t>
      </w:r>
      <w:r w:rsidRPr="001F389C">
        <w:rPr>
          <w:rStyle w:val="Hyperlink"/>
          <w:rFonts w:cs="Tahoma"/>
          <w:bCs/>
          <w:color w:val="auto"/>
          <w:sz w:val="24"/>
          <w:szCs w:val="24"/>
          <w:u w:val="none"/>
        </w:rPr>
        <w:t>,”</w:t>
      </w:r>
      <w:r w:rsidRPr="001F389C">
        <w:rPr>
          <w:rFonts w:cs="Tahoma"/>
          <w:b/>
          <w:bCs/>
          <w:sz w:val="24"/>
          <w:szCs w:val="24"/>
        </w:rPr>
        <w:t xml:space="preserve"> </w:t>
      </w:r>
      <w:hyperlink r:id="rId6" w:history="1">
        <w:r w:rsidRPr="007A274A">
          <w:rPr>
            <w:rStyle w:val="Hyperlink"/>
            <w:rFonts w:cs="Tahoma"/>
            <w:sz w:val="24"/>
            <w:szCs w:val="24"/>
          </w:rPr>
          <w:t>NBER Working Paper No. 17806</w:t>
        </w:r>
      </w:hyperlink>
      <w:r w:rsidRPr="007A274A">
        <w:rPr>
          <w:rFonts w:cs="Tahoma"/>
          <w:sz w:val="24"/>
          <w:szCs w:val="24"/>
        </w:rPr>
        <w:t xml:space="preserve">, </w:t>
      </w:r>
      <w:hyperlink r:id="rId7" w:history="1">
        <w:r w:rsidRPr="007A274A">
          <w:rPr>
            <w:rStyle w:val="Hyperlink"/>
            <w:rFonts w:cs="Tahoma"/>
            <w:color w:val="auto"/>
            <w:sz w:val="24"/>
            <w:szCs w:val="24"/>
            <w:u w:val="none"/>
          </w:rPr>
          <w:t>and in</w:t>
        </w:r>
      </w:hyperlink>
      <w:r w:rsidRPr="007A274A">
        <w:rPr>
          <w:rFonts w:cs="Tahoma"/>
          <w:sz w:val="24"/>
          <w:szCs w:val="24"/>
        </w:rPr>
        <w:t xml:space="preserve"> </w:t>
      </w:r>
      <w:r w:rsidRPr="007A274A">
        <w:rPr>
          <w:rFonts w:cs="Tahoma"/>
          <w:iCs/>
          <w:sz w:val="24"/>
          <w:szCs w:val="24"/>
        </w:rPr>
        <w:t>North American Journal of Economics and Finance,</w:t>
      </w:r>
      <w:r w:rsidRPr="007A274A">
        <w:rPr>
          <w:rFonts w:cs="Tahoma"/>
          <w:sz w:val="24"/>
          <w:szCs w:val="24"/>
        </w:rPr>
        <w:t xml:space="preserve"> 23(3), 2012, pp. 269-285.</w:t>
      </w:r>
      <w:r>
        <w:rPr>
          <w:sz w:val="24"/>
          <w:szCs w:val="24"/>
          <w:shd w:val="clear" w:color="auto" w:fill="FFFFFF"/>
        </w:rPr>
        <w:t xml:space="preserve">  J.</w:t>
      </w:r>
      <w:r w:rsidRPr="007A274A">
        <w:rPr>
          <w:sz w:val="24"/>
          <w:szCs w:val="24"/>
          <w:shd w:val="clear" w:color="auto" w:fill="FFFFFF"/>
        </w:rPr>
        <w:t xml:space="preserve"> </w:t>
      </w:r>
      <w:r>
        <w:rPr>
          <w:rFonts w:cs="Tahoma"/>
          <w:sz w:val="24"/>
          <w:szCs w:val="24"/>
        </w:rPr>
        <w:t xml:space="preserve">Aizenman, M. Chinn, and </w:t>
      </w:r>
      <w:proofErr w:type="spellStart"/>
      <w:r>
        <w:rPr>
          <w:rFonts w:cs="Tahoma"/>
          <w:sz w:val="24"/>
          <w:szCs w:val="24"/>
        </w:rPr>
        <w:t>H.Ito</w:t>
      </w:r>
      <w:proofErr w:type="spellEnd"/>
      <w:r w:rsidRPr="007A274A">
        <w:rPr>
          <w:rFonts w:cs="Tahoma"/>
          <w:sz w:val="24"/>
          <w:szCs w:val="24"/>
        </w:rPr>
        <w:t>, 2011. "</w:t>
      </w:r>
      <w:hyperlink r:id="rId8" w:history="1">
        <w:r w:rsidRPr="001F389C">
          <w:rPr>
            <w:rStyle w:val="Hyperlink"/>
            <w:rFonts w:cs="Tahoma"/>
            <w:color w:val="0070C0"/>
            <w:sz w:val="24"/>
            <w:szCs w:val="24"/>
          </w:rPr>
          <w:t>Surfing the waves of globalization: Asia and financial globalization in the context of the trilemma,</w:t>
        </w:r>
      </w:hyperlink>
      <w:r w:rsidRPr="007A274A">
        <w:rPr>
          <w:rFonts w:cs="Tahoma"/>
          <w:sz w:val="24"/>
          <w:szCs w:val="24"/>
        </w:rPr>
        <w:t xml:space="preserve">" </w:t>
      </w:r>
      <w:hyperlink r:id="rId9" w:history="1">
        <w:r w:rsidRPr="007A274A">
          <w:rPr>
            <w:rStyle w:val="Hyperlink"/>
            <w:rFonts w:cs="Tahoma"/>
            <w:bCs/>
            <w:sz w:val="24"/>
            <w:szCs w:val="24"/>
          </w:rPr>
          <w:t>NBER Working Paper No. 15876</w:t>
        </w:r>
      </w:hyperlink>
      <w:r w:rsidRPr="007A274A">
        <w:rPr>
          <w:rFonts w:cs="Tahoma"/>
          <w:sz w:val="24"/>
          <w:szCs w:val="24"/>
        </w:rPr>
        <w:t xml:space="preserve">, April </w:t>
      </w:r>
      <w:r w:rsidRPr="007A274A">
        <w:rPr>
          <w:rFonts w:cs="Tahoma"/>
          <w:bCs/>
          <w:sz w:val="24"/>
          <w:szCs w:val="24"/>
        </w:rPr>
        <w:t xml:space="preserve">2010, </w:t>
      </w:r>
      <w:r w:rsidRPr="007A274A">
        <w:rPr>
          <w:rFonts w:cs="Tahoma"/>
          <w:sz w:val="24"/>
          <w:szCs w:val="24"/>
        </w:rPr>
        <w:t xml:space="preserve">and in </w:t>
      </w:r>
      <w:r w:rsidRPr="007A274A">
        <w:rPr>
          <w:rFonts w:cs="Tahoma"/>
          <w:iCs/>
          <w:sz w:val="24"/>
          <w:szCs w:val="24"/>
        </w:rPr>
        <w:t xml:space="preserve">Journal of the Japanese and International Economies, </w:t>
      </w:r>
      <w:r w:rsidRPr="007A274A">
        <w:rPr>
          <w:rFonts w:cs="Tahoma"/>
          <w:sz w:val="24"/>
          <w:szCs w:val="24"/>
        </w:rPr>
        <w:t xml:space="preserve">25(3), pp. 290-320.  </w:t>
      </w:r>
      <w:r w:rsidRPr="007A274A">
        <w:rPr>
          <w:rFonts w:cs="Arial"/>
          <w:sz w:val="24"/>
          <w:szCs w:val="24"/>
          <w:shd w:val="clear" w:color="auto" w:fill="FAFAFA"/>
        </w:rPr>
        <w:t>Also M. Klein and J. Shambaugh, “Rounding the Corners of the Policy Trilemma: Sources of Monetary Policy Autonomy</w:t>
      </w:r>
      <w:r>
        <w:rPr>
          <w:rFonts w:cs="Arial"/>
          <w:sz w:val="24"/>
          <w:szCs w:val="24"/>
          <w:shd w:val="clear" w:color="auto" w:fill="FAFAFA"/>
        </w:rPr>
        <w:t>,”</w:t>
      </w:r>
      <w:r w:rsidRPr="007A274A">
        <w:rPr>
          <w:rFonts w:cs="Arial"/>
          <w:sz w:val="24"/>
          <w:szCs w:val="24"/>
          <w:shd w:val="clear" w:color="auto" w:fill="FAFAFA"/>
        </w:rPr>
        <w:t xml:space="preserve"> </w:t>
      </w:r>
      <w:hyperlink r:id="rId10" w:history="1">
        <w:r w:rsidRPr="007A274A">
          <w:rPr>
            <w:rStyle w:val="Hyperlink"/>
            <w:rFonts w:cs="Arial"/>
            <w:sz w:val="24"/>
            <w:szCs w:val="24"/>
            <w:shd w:val="clear" w:color="auto" w:fill="FAFAFA"/>
          </w:rPr>
          <w:t>NBER Working Paper No. 19461</w:t>
        </w:r>
      </w:hyperlink>
      <w:r w:rsidRPr="007A274A">
        <w:rPr>
          <w:rFonts w:cs="Arial"/>
          <w:sz w:val="24"/>
          <w:szCs w:val="24"/>
          <w:shd w:val="clear" w:color="auto" w:fill="FAFAFA"/>
        </w:rPr>
        <w:t xml:space="preserve">, September 2013. </w:t>
      </w:r>
    </w:p>
  </w:endnote>
  <w:endnote w:id="3">
    <w:p w:rsidR="00F6749C" w:rsidRPr="007A274A" w:rsidRDefault="00F6749C" w:rsidP="00EA59F0">
      <w:pPr>
        <w:tabs>
          <w:tab w:val="left" w:pos="720"/>
          <w:tab w:val="left" w:pos="1440"/>
        </w:tabs>
        <w:spacing w:before="100" w:beforeAutospacing="1" w:after="100" w:afterAutospacing="1"/>
        <w:rPr>
          <w:rFonts w:eastAsia="Times New Roman" w:cs="Tahoma"/>
          <w:sz w:val="24"/>
          <w:szCs w:val="24"/>
        </w:rPr>
      </w:pPr>
      <w:r w:rsidRPr="007A274A">
        <w:rPr>
          <w:rStyle w:val="EndnoteReference"/>
          <w:sz w:val="24"/>
          <w:szCs w:val="24"/>
        </w:rPr>
        <w:endnoteRef/>
      </w:r>
      <w:r w:rsidRPr="007A274A">
        <w:rPr>
          <w:sz w:val="24"/>
          <w:szCs w:val="24"/>
        </w:rPr>
        <w:t xml:space="preserve"> </w:t>
      </w:r>
      <w:r w:rsidRPr="007A274A">
        <w:rPr>
          <w:rFonts w:cs="Arial"/>
          <w:sz w:val="24"/>
          <w:szCs w:val="24"/>
        </w:rPr>
        <w:t>E. Farhi, and I. Werning, “</w:t>
      </w:r>
      <w:hyperlink r:id="rId11" w:history="1">
        <w:r w:rsidRPr="007A274A">
          <w:rPr>
            <w:rStyle w:val="Hyperlink"/>
            <w:rFonts w:cs="Arial"/>
            <w:iCs/>
            <w:color w:val="auto"/>
            <w:sz w:val="24"/>
            <w:szCs w:val="24"/>
          </w:rPr>
          <w:t>Dilemma not Trilemma? Capital Controls and Exchange Rates with Volatile Capital Flows,”</w:t>
        </w:r>
        <w:r w:rsidRPr="007A274A">
          <w:rPr>
            <w:rStyle w:val="Hyperlink"/>
            <w:rFonts w:cs="Arial"/>
            <w:i/>
            <w:iCs/>
            <w:color w:val="auto"/>
            <w:sz w:val="24"/>
            <w:szCs w:val="24"/>
          </w:rPr>
          <w:t xml:space="preserve"> </w:t>
        </w:r>
      </w:hyperlink>
      <w:r w:rsidRPr="007A274A">
        <w:rPr>
          <w:sz w:val="24"/>
          <w:szCs w:val="24"/>
        </w:rPr>
        <w:t xml:space="preserve"> </w:t>
      </w:r>
      <w:hyperlink r:id="rId12" w:history="1">
        <w:r w:rsidRPr="00041435">
          <w:rPr>
            <w:rStyle w:val="Hyperlink"/>
            <w:rFonts w:cs="Arial"/>
            <w:iCs/>
            <w:color w:val="auto"/>
            <w:sz w:val="24"/>
            <w:szCs w:val="24"/>
          </w:rPr>
          <w:t>2014 Istanbul conference</w:t>
        </w:r>
      </w:hyperlink>
      <w:r w:rsidRPr="007A274A">
        <w:rPr>
          <w:rFonts w:cs="Arial"/>
          <w:b/>
          <w:iCs/>
          <w:sz w:val="24"/>
          <w:szCs w:val="24"/>
        </w:rPr>
        <w:t xml:space="preserve"> </w:t>
      </w:r>
      <w:r w:rsidRPr="007A274A">
        <w:rPr>
          <w:bCs/>
          <w:sz w:val="24"/>
          <w:szCs w:val="24"/>
        </w:rPr>
        <w:t xml:space="preserve">organized by S. Kalemli-Ozcan.  And </w:t>
      </w:r>
      <w:r w:rsidRPr="007A274A">
        <w:rPr>
          <w:rFonts w:eastAsia="Times New Roman" w:cs="Tahoma"/>
          <w:sz w:val="24"/>
          <w:szCs w:val="24"/>
        </w:rPr>
        <w:t>X</w:t>
      </w:r>
      <w:r w:rsidR="00943503">
        <w:rPr>
          <w:rFonts w:eastAsia="Times New Roman" w:cs="Tahoma"/>
          <w:sz w:val="24"/>
          <w:szCs w:val="24"/>
        </w:rPr>
        <w:t>.</w:t>
      </w:r>
      <w:r w:rsidRPr="007A274A">
        <w:rPr>
          <w:rFonts w:eastAsia="Times New Roman" w:cs="Tahoma"/>
          <w:sz w:val="24"/>
          <w:szCs w:val="24"/>
        </w:rPr>
        <w:t xml:space="preserve"> Gabaix and M</w:t>
      </w:r>
      <w:r w:rsidR="00943503">
        <w:rPr>
          <w:rFonts w:eastAsia="Times New Roman" w:cs="Tahoma"/>
          <w:sz w:val="24"/>
          <w:szCs w:val="24"/>
        </w:rPr>
        <w:t>.</w:t>
      </w:r>
      <w:r w:rsidRPr="007A274A">
        <w:rPr>
          <w:rFonts w:eastAsia="Times New Roman" w:cs="Tahoma"/>
          <w:sz w:val="24"/>
          <w:szCs w:val="24"/>
        </w:rPr>
        <w:t xml:space="preserve"> Maggiori, </w:t>
      </w:r>
      <w:r w:rsidRPr="00041435">
        <w:rPr>
          <w:rFonts w:eastAsia="Times New Roman" w:cs="Tahoma"/>
          <w:sz w:val="24"/>
          <w:szCs w:val="24"/>
        </w:rPr>
        <w:t>“</w:t>
      </w:r>
      <w:hyperlink r:id="rId13" w:history="1">
        <w:r w:rsidRPr="00041435">
          <w:rPr>
            <w:rFonts w:eastAsia="Times New Roman" w:cs="Tahoma"/>
            <w:bCs/>
            <w:sz w:val="24"/>
            <w:szCs w:val="24"/>
          </w:rPr>
          <w:t>International</w:t>
        </w:r>
        <w:r w:rsidRPr="00041435">
          <w:rPr>
            <w:rFonts w:eastAsia="Times New Roman" w:cs="Tahoma"/>
            <w:sz w:val="24"/>
            <w:szCs w:val="24"/>
          </w:rPr>
          <w:t> Liquidity and Exchange Rate Dynamics</w:t>
        </w:r>
      </w:hyperlink>
      <w:r w:rsidRPr="007A274A">
        <w:rPr>
          <w:rFonts w:eastAsia="Times New Roman" w:cs="Tahoma"/>
          <w:sz w:val="24"/>
          <w:szCs w:val="24"/>
        </w:rPr>
        <w:t xml:space="preserve">” </w:t>
      </w:r>
      <w:hyperlink r:id="rId14" w:history="1">
        <w:r w:rsidRPr="007A274A">
          <w:rPr>
            <w:rStyle w:val="Hyperlink"/>
            <w:rFonts w:eastAsia="Times New Roman" w:cs="Tahoma"/>
            <w:sz w:val="24"/>
            <w:szCs w:val="24"/>
          </w:rPr>
          <w:t>NBER Working Paper No. 19854</w:t>
        </w:r>
      </w:hyperlink>
      <w:r w:rsidRPr="007A274A">
        <w:rPr>
          <w:rFonts w:eastAsia="Times New Roman" w:cs="Tahoma"/>
          <w:sz w:val="24"/>
          <w:szCs w:val="24"/>
        </w:rPr>
        <w:t>, January 2014.</w:t>
      </w:r>
    </w:p>
  </w:endnote>
  <w:endnote w:id="4">
    <w:p w:rsidR="00F6749C" w:rsidRPr="007A274A" w:rsidRDefault="00F6749C" w:rsidP="00EA59F0">
      <w:pPr>
        <w:pStyle w:val="Heading1"/>
        <w:spacing w:before="0" w:beforeAutospacing="0" w:after="150" w:afterAutospacing="0"/>
        <w:rPr>
          <w:rFonts w:asciiTheme="minorHAnsi" w:hAnsiTheme="minorHAnsi" w:cs="Tahoma"/>
          <w:b w:val="0"/>
          <w:sz w:val="24"/>
          <w:szCs w:val="24"/>
        </w:rPr>
      </w:pPr>
      <w:r w:rsidRPr="007A274A">
        <w:rPr>
          <w:rStyle w:val="EndnoteReference"/>
          <w:rFonts w:asciiTheme="minorHAnsi" w:hAnsiTheme="minorHAnsi"/>
          <w:b w:val="0"/>
          <w:sz w:val="24"/>
          <w:szCs w:val="24"/>
        </w:rPr>
        <w:endnoteRef/>
      </w:r>
      <w:r w:rsidRPr="007A274A">
        <w:rPr>
          <w:rFonts w:asciiTheme="minorHAnsi" w:hAnsiTheme="minorHAnsi"/>
          <w:b w:val="0"/>
          <w:sz w:val="24"/>
          <w:szCs w:val="24"/>
        </w:rPr>
        <w:t xml:space="preserve"> </w:t>
      </w:r>
      <w:hyperlink r:id="rId15" w:history="1">
        <w:r w:rsidRPr="007A274A">
          <w:rPr>
            <w:rStyle w:val="Hyperlink"/>
            <w:rFonts w:asciiTheme="minorHAnsi" w:hAnsiTheme="minorHAnsi"/>
            <w:b w:val="0"/>
            <w:bCs w:val="0"/>
            <w:color w:val="auto"/>
            <w:sz w:val="24"/>
            <w:szCs w:val="24"/>
            <w:u w:val="none"/>
          </w:rPr>
          <w:t xml:space="preserve">G. </w:t>
        </w:r>
        <w:proofErr w:type="spellStart"/>
        <w:r w:rsidRPr="007A274A">
          <w:rPr>
            <w:rStyle w:val="Hyperlink"/>
            <w:rFonts w:asciiTheme="minorHAnsi" w:hAnsiTheme="minorHAnsi"/>
            <w:b w:val="0"/>
            <w:bCs w:val="0"/>
            <w:color w:val="auto"/>
            <w:sz w:val="24"/>
            <w:szCs w:val="24"/>
            <w:u w:val="none"/>
          </w:rPr>
          <w:t>Pasricha</w:t>
        </w:r>
        <w:proofErr w:type="spellEnd"/>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w:t>
      </w:r>
      <w:hyperlink r:id="rId16" w:history="1">
        <w:r w:rsidRPr="007A274A">
          <w:rPr>
            <w:rStyle w:val="Hyperlink"/>
            <w:rFonts w:asciiTheme="minorHAnsi" w:hAnsiTheme="minorHAnsi"/>
            <w:b w:val="0"/>
            <w:bCs w:val="0"/>
            <w:color w:val="auto"/>
            <w:sz w:val="24"/>
            <w:szCs w:val="24"/>
            <w:u w:val="none"/>
          </w:rPr>
          <w:t xml:space="preserve">M. </w:t>
        </w:r>
        <w:proofErr w:type="spellStart"/>
        <w:r w:rsidRPr="007A274A">
          <w:rPr>
            <w:rStyle w:val="Hyperlink"/>
            <w:rFonts w:asciiTheme="minorHAnsi" w:hAnsiTheme="minorHAnsi"/>
            <w:b w:val="0"/>
            <w:bCs w:val="0"/>
            <w:color w:val="auto"/>
            <w:sz w:val="24"/>
            <w:szCs w:val="24"/>
            <w:u w:val="none"/>
          </w:rPr>
          <w:t>Falagiarda</w:t>
        </w:r>
        <w:proofErr w:type="spellEnd"/>
      </w:hyperlink>
      <w:r w:rsidRPr="007A274A">
        <w:rPr>
          <w:rFonts w:asciiTheme="minorHAnsi" w:hAnsiTheme="minorHAnsi"/>
          <w:b w:val="0"/>
          <w:bCs w:val="0"/>
          <w:sz w:val="24"/>
          <w:szCs w:val="24"/>
        </w:rPr>
        <w:t>,</w:t>
      </w:r>
      <w:r w:rsidRPr="007A274A">
        <w:rPr>
          <w:rStyle w:val="apple-converted-space"/>
          <w:rFonts w:asciiTheme="minorHAnsi" w:eastAsiaTheme="majorEastAsia" w:hAnsiTheme="minorHAnsi"/>
          <w:b w:val="0"/>
          <w:bCs w:val="0"/>
          <w:sz w:val="24"/>
          <w:szCs w:val="24"/>
        </w:rPr>
        <w:t> </w:t>
      </w:r>
      <w:hyperlink r:id="rId17" w:history="1">
        <w:r w:rsidRPr="007A274A">
          <w:rPr>
            <w:rStyle w:val="Hyperlink"/>
            <w:rFonts w:asciiTheme="minorHAnsi" w:hAnsiTheme="minorHAnsi"/>
            <w:b w:val="0"/>
            <w:bCs w:val="0"/>
            <w:color w:val="auto"/>
            <w:sz w:val="24"/>
            <w:szCs w:val="24"/>
            <w:u w:val="none"/>
          </w:rPr>
          <w:t xml:space="preserve">M. </w:t>
        </w:r>
        <w:proofErr w:type="spellStart"/>
        <w:r w:rsidRPr="007A274A">
          <w:rPr>
            <w:rStyle w:val="Hyperlink"/>
            <w:rFonts w:asciiTheme="minorHAnsi" w:hAnsiTheme="minorHAnsi"/>
            <w:b w:val="0"/>
            <w:bCs w:val="0"/>
            <w:color w:val="auto"/>
            <w:sz w:val="24"/>
            <w:szCs w:val="24"/>
            <w:u w:val="none"/>
          </w:rPr>
          <w:t>Bijsterbosch</w:t>
        </w:r>
        <w:proofErr w:type="spellEnd"/>
      </w:hyperlink>
      <w:r w:rsidRPr="007A274A">
        <w:rPr>
          <w:rFonts w:asciiTheme="minorHAnsi" w:hAnsiTheme="minorHAnsi"/>
          <w:b w:val="0"/>
          <w:bCs w:val="0"/>
          <w:sz w:val="24"/>
          <w:szCs w:val="24"/>
        </w:rPr>
        <w:t xml:space="preserve"> and </w:t>
      </w:r>
      <w:hyperlink r:id="rId18" w:history="1">
        <w:r w:rsidRPr="007A274A">
          <w:rPr>
            <w:rStyle w:val="Hyperlink"/>
            <w:rFonts w:asciiTheme="minorHAnsi" w:hAnsiTheme="minorHAnsi"/>
            <w:b w:val="0"/>
            <w:bCs w:val="0"/>
            <w:color w:val="auto"/>
            <w:sz w:val="24"/>
            <w:szCs w:val="24"/>
            <w:u w:val="none"/>
          </w:rPr>
          <w:t>J</w:t>
        </w:r>
        <w:r w:rsidR="00DF7818">
          <w:rPr>
            <w:rStyle w:val="Hyperlink"/>
            <w:rFonts w:asciiTheme="minorHAnsi" w:hAnsiTheme="minorHAnsi"/>
            <w:b w:val="0"/>
            <w:bCs w:val="0"/>
            <w:color w:val="auto"/>
            <w:sz w:val="24"/>
            <w:szCs w:val="24"/>
            <w:u w:val="none"/>
          </w:rPr>
          <w:t>.</w:t>
        </w:r>
        <w:r w:rsidRPr="007A274A">
          <w:rPr>
            <w:rStyle w:val="Hyperlink"/>
            <w:rFonts w:asciiTheme="minorHAnsi" w:hAnsiTheme="minorHAnsi"/>
            <w:b w:val="0"/>
            <w:bCs w:val="0"/>
            <w:color w:val="auto"/>
            <w:sz w:val="24"/>
            <w:szCs w:val="24"/>
            <w:u w:val="none"/>
          </w:rPr>
          <w:t xml:space="preserve"> Aizenman</w:t>
        </w:r>
      </w:hyperlink>
      <w:r w:rsidRPr="007A274A">
        <w:rPr>
          <w:rFonts w:asciiTheme="minorHAnsi" w:hAnsiTheme="minorHAnsi"/>
          <w:b w:val="0"/>
          <w:bCs w:val="0"/>
          <w:sz w:val="24"/>
          <w:szCs w:val="24"/>
        </w:rPr>
        <w:t xml:space="preserve">, </w:t>
      </w:r>
      <w:r w:rsidRPr="007A274A">
        <w:rPr>
          <w:rFonts w:asciiTheme="minorHAnsi" w:hAnsiTheme="minorHAnsi"/>
          <w:b w:val="0"/>
          <w:sz w:val="24"/>
          <w:szCs w:val="24"/>
        </w:rPr>
        <w:t>"</w:t>
      </w:r>
      <w:r w:rsidRPr="007A274A">
        <w:rPr>
          <w:rFonts w:asciiTheme="minorHAnsi" w:hAnsiTheme="minorHAnsi"/>
          <w:b w:val="0"/>
          <w:bCs w:val="0"/>
          <w:sz w:val="24"/>
          <w:szCs w:val="24"/>
        </w:rPr>
        <w:t xml:space="preserve">Domestic and Multilateral Effects of Capital Controls in Emerging Markets,” </w:t>
      </w:r>
      <w:hyperlink r:id="rId19" w:history="1">
        <w:r w:rsidRPr="007A274A">
          <w:rPr>
            <w:rStyle w:val="Hyperlink"/>
            <w:rFonts w:asciiTheme="minorHAnsi" w:hAnsiTheme="minorHAnsi" w:cs="Tahoma"/>
            <w:b w:val="0"/>
            <w:bCs w:val="0"/>
            <w:sz w:val="24"/>
            <w:szCs w:val="24"/>
          </w:rPr>
          <w:t>NBER Working Paper No. 20822</w:t>
        </w:r>
      </w:hyperlink>
      <w:r w:rsidRPr="007A274A">
        <w:rPr>
          <w:rFonts w:asciiTheme="minorHAnsi" w:hAnsiTheme="minorHAnsi" w:cs="Tahoma"/>
          <w:b w:val="0"/>
          <w:bCs w:val="0"/>
          <w:sz w:val="24"/>
          <w:szCs w:val="24"/>
        </w:rPr>
        <w:t>, January 2015.</w:t>
      </w:r>
      <w:r w:rsidRPr="007A274A">
        <w:rPr>
          <w:rFonts w:asciiTheme="minorHAnsi" w:hAnsiTheme="minorHAnsi" w:cs="Tahoma"/>
          <w:b w:val="0"/>
          <w:sz w:val="24"/>
          <w:szCs w:val="24"/>
        </w:rPr>
        <w:t xml:space="preserve"> </w:t>
      </w:r>
    </w:p>
  </w:endnote>
  <w:endnote w:id="5">
    <w:p w:rsidR="00F6749C" w:rsidRPr="0098217F" w:rsidRDefault="00F6749C" w:rsidP="0098217F">
      <w:pPr>
        <w:spacing w:line="240" w:lineRule="auto"/>
        <w:rPr>
          <w:rFonts w:eastAsiaTheme="minorHAnsi" w:cs="Tahoma"/>
          <w:sz w:val="24"/>
          <w:szCs w:val="24"/>
        </w:rPr>
      </w:pPr>
      <w:r w:rsidRPr="007A274A">
        <w:rPr>
          <w:rStyle w:val="EndnoteReference"/>
          <w:sz w:val="24"/>
          <w:szCs w:val="24"/>
        </w:rPr>
        <w:endnoteRef/>
      </w:r>
      <w:r w:rsidRPr="007A274A">
        <w:rPr>
          <w:sz w:val="24"/>
          <w:szCs w:val="24"/>
        </w:rPr>
        <w:t xml:space="preserve"> </w:t>
      </w:r>
      <w:hyperlink r:id="rId20" w:history="1">
        <w:r w:rsidRPr="007A274A">
          <w:rPr>
            <w:rStyle w:val="Hyperlink"/>
            <w:rFonts w:eastAsia="Times New Roman"/>
            <w:bCs/>
            <w:color w:val="auto"/>
            <w:sz w:val="24"/>
            <w:szCs w:val="24"/>
          </w:rPr>
          <w:t>K. Forbes</w:t>
        </w:r>
      </w:hyperlink>
      <w:r w:rsidRPr="007A274A">
        <w:rPr>
          <w:sz w:val="24"/>
          <w:szCs w:val="24"/>
        </w:rPr>
        <w:t xml:space="preserve"> and</w:t>
      </w:r>
      <w:r w:rsidRPr="007A274A">
        <w:rPr>
          <w:rStyle w:val="apple-converted-space"/>
          <w:rFonts w:eastAsia="Times New Roman"/>
          <w:bCs/>
          <w:sz w:val="24"/>
          <w:szCs w:val="24"/>
        </w:rPr>
        <w:t> </w:t>
      </w:r>
      <w:hyperlink r:id="rId21" w:history="1">
        <w:r w:rsidRPr="007A274A">
          <w:rPr>
            <w:rStyle w:val="Hyperlink"/>
            <w:rFonts w:eastAsia="Times New Roman"/>
            <w:bCs/>
            <w:color w:val="auto"/>
            <w:sz w:val="24"/>
            <w:szCs w:val="24"/>
          </w:rPr>
          <w:t>F. Warnock</w:t>
        </w:r>
      </w:hyperlink>
      <w:r w:rsidRPr="007A274A">
        <w:rPr>
          <w:sz w:val="24"/>
          <w:szCs w:val="24"/>
        </w:rPr>
        <w:t xml:space="preserve">, </w:t>
      </w:r>
      <w:r w:rsidRPr="007A274A">
        <w:rPr>
          <w:rFonts w:eastAsia="Times New Roman"/>
          <w:bCs/>
          <w:sz w:val="24"/>
          <w:szCs w:val="24"/>
        </w:rPr>
        <w:t xml:space="preserve">“Capital Flow Waves: Surges, Stops, Flight, and Retrenchment,” </w:t>
      </w:r>
      <w:hyperlink r:id="rId22" w:history="1">
        <w:r w:rsidRPr="007A274A">
          <w:rPr>
            <w:rStyle w:val="Hyperlink"/>
            <w:rFonts w:cs="Tahoma"/>
            <w:bCs/>
            <w:sz w:val="24"/>
            <w:szCs w:val="24"/>
          </w:rPr>
          <w:t>NBER Working Paper No. 17351</w:t>
        </w:r>
      </w:hyperlink>
      <w:r w:rsidRPr="007A274A">
        <w:rPr>
          <w:rFonts w:cs="Tahoma"/>
          <w:bCs/>
          <w:sz w:val="24"/>
          <w:szCs w:val="24"/>
        </w:rPr>
        <w:t>, August 2011</w:t>
      </w:r>
      <w:r w:rsidRPr="007A274A">
        <w:rPr>
          <w:rFonts w:cs="Tahoma"/>
          <w:sz w:val="24"/>
          <w:szCs w:val="24"/>
        </w:rPr>
        <w:t xml:space="preserve">, </w:t>
      </w:r>
      <w:hyperlink r:id="rId23" w:history="1">
        <w:r w:rsidRPr="007A274A">
          <w:rPr>
            <w:rStyle w:val="Hyperlink"/>
            <w:rFonts w:cs="Tahoma"/>
            <w:color w:val="auto"/>
            <w:sz w:val="24"/>
            <w:szCs w:val="24"/>
          </w:rPr>
          <w:t>and in</w:t>
        </w:r>
      </w:hyperlink>
      <w:r w:rsidRPr="007A274A">
        <w:rPr>
          <w:rFonts w:cs="Tahoma"/>
          <w:sz w:val="24"/>
          <w:szCs w:val="24"/>
        </w:rPr>
        <w:t xml:space="preserve"> </w:t>
      </w:r>
      <w:hyperlink r:id="rId24" w:history="1">
        <w:r w:rsidRPr="007A274A">
          <w:rPr>
            <w:rStyle w:val="Hyperlink"/>
            <w:rFonts w:cs="Tahoma"/>
            <w:color w:val="auto"/>
            <w:sz w:val="24"/>
            <w:szCs w:val="24"/>
          </w:rPr>
          <w:t>Global Financial Crisis conference</w:t>
        </w:r>
      </w:hyperlink>
      <w:r w:rsidRPr="007A274A">
        <w:rPr>
          <w:rFonts w:cs="Tahoma"/>
          <w:sz w:val="24"/>
          <w:szCs w:val="24"/>
        </w:rPr>
        <w:t xml:space="preserve">, </w:t>
      </w:r>
      <w:hyperlink r:id="rId25" w:history="1">
        <w:r w:rsidRPr="007A274A">
          <w:rPr>
            <w:rStyle w:val="Hyperlink"/>
            <w:rFonts w:cs="Tahoma"/>
            <w:color w:val="auto"/>
            <w:sz w:val="24"/>
            <w:szCs w:val="24"/>
          </w:rPr>
          <w:t>Special issue</w:t>
        </w:r>
      </w:hyperlink>
      <w:r w:rsidRPr="007A274A">
        <w:rPr>
          <w:rFonts w:cs="Tahoma"/>
          <w:sz w:val="24"/>
          <w:szCs w:val="24"/>
        </w:rPr>
        <w:t xml:space="preserve">, </w:t>
      </w:r>
      <w:r w:rsidRPr="007A274A">
        <w:rPr>
          <w:rFonts w:cs="Tahoma"/>
          <w:iCs/>
          <w:sz w:val="24"/>
          <w:szCs w:val="24"/>
        </w:rPr>
        <w:t>Journal of International Economics,</w:t>
      </w:r>
      <w:r w:rsidRPr="007A274A">
        <w:rPr>
          <w:rFonts w:cs="Tahoma"/>
          <w:sz w:val="24"/>
          <w:szCs w:val="24"/>
        </w:rPr>
        <w:t xml:space="preserve"> 88(2), 2012, pp. 235-251.</w:t>
      </w:r>
      <w:r w:rsidRPr="007A274A">
        <w:rPr>
          <w:rFonts w:cs="Tahoma"/>
          <w:b/>
          <w:sz w:val="24"/>
          <w:szCs w:val="24"/>
        </w:rPr>
        <w:t xml:space="preserve"> </w:t>
      </w:r>
    </w:p>
  </w:endnote>
  <w:endnote w:id="6">
    <w:p w:rsidR="00F6749C" w:rsidRPr="000501F0" w:rsidRDefault="00F6749C" w:rsidP="00286B1B">
      <w:pPr>
        <w:spacing w:after="0" w:line="240" w:lineRule="auto"/>
        <w:rPr>
          <w:b/>
          <w:sz w:val="18"/>
          <w:szCs w:val="18"/>
        </w:rPr>
      </w:pPr>
      <w:r w:rsidRPr="007A274A">
        <w:rPr>
          <w:rStyle w:val="EndnoteReference"/>
          <w:sz w:val="24"/>
          <w:szCs w:val="24"/>
        </w:rPr>
        <w:endnoteRef/>
      </w:r>
      <w:r w:rsidRPr="007A274A">
        <w:rPr>
          <w:sz w:val="24"/>
          <w:szCs w:val="24"/>
        </w:rPr>
        <w:t xml:space="preserve"> </w:t>
      </w:r>
      <w:r w:rsidRPr="007A274A">
        <w:rPr>
          <w:rFonts w:cs="Arial"/>
          <w:sz w:val="24"/>
          <w:szCs w:val="24"/>
          <w:lang w:eastAsia="en-US"/>
        </w:rPr>
        <w:t>S. </w:t>
      </w:r>
      <w:proofErr w:type="spellStart"/>
      <w:r w:rsidRPr="007A274A">
        <w:rPr>
          <w:rFonts w:cs="Arial"/>
          <w:sz w:val="24"/>
          <w:szCs w:val="24"/>
          <w:lang w:eastAsia="en-US"/>
        </w:rPr>
        <w:t>Agrippino</w:t>
      </w:r>
      <w:proofErr w:type="spellEnd"/>
      <w:r w:rsidRPr="007A274A">
        <w:rPr>
          <w:rFonts w:cs="Arial"/>
          <w:sz w:val="24"/>
          <w:szCs w:val="24"/>
          <w:lang w:eastAsia="en-US"/>
        </w:rPr>
        <w:t xml:space="preserve"> and H.</w:t>
      </w:r>
      <w:r w:rsidR="00DF7818">
        <w:rPr>
          <w:rFonts w:cs="Arial"/>
          <w:sz w:val="24"/>
          <w:szCs w:val="24"/>
          <w:lang w:eastAsia="en-US"/>
        </w:rPr>
        <w:t xml:space="preserve"> </w:t>
      </w:r>
      <w:r>
        <w:rPr>
          <w:rFonts w:cs="Arial"/>
          <w:sz w:val="24"/>
          <w:szCs w:val="24"/>
          <w:lang w:eastAsia="en-US"/>
        </w:rPr>
        <w:t xml:space="preserve">Rey, </w:t>
      </w:r>
      <w:proofErr w:type="gramStart"/>
      <w:r w:rsidRPr="000501F0">
        <w:rPr>
          <w:rFonts w:cs="Arial"/>
          <w:i/>
          <w:iCs/>
          <w:color w:val="0070C0"/>
          <w:sz w:val="24"/>
          <w:szCs w:val="24"/>
        </w:rPr>
        <w:t xml:space="preserve">“ </w:t>
      </w:r>
      <w:proofErr w:type="gramEnd"/>
      <w:r w:rsidRPr="000501F0">
        <w:rPr>
          <w:color w:val="0070C0"/>
          <w:sz w:val="24"/>
          <w:szCs w:val="24"/>
        </w:rPr>
        <w:fldChar w:fldCharType="begin"/>
      </w:r>
      <w:r w:rsidRPr="000501F0">
        <w:rPr>
          <w:color w:val="0070C0"/>
          <w:sz w:val="24"/>
          <w:szCs w:val="24"/>
        </w:rPr>
        <w:instrText>HYPERLINK "http://users.nber.org/~confer/2014/SI2014/IFM/Rey_Miranda_Agrippino.pdf"</w:instrText>
      </w:r>
      <w:r w:rsidRPr="000501F0">
        <w:rPr>
          <w:color w:val="0070C0"/>
          <w:sz w:val="24"/>
          <w:szCs w:val="24"/>
        </w:rPr>
        <w:fldChar w:fldCharType="separate"/>
      </w:r>
      <w:r w:rsidRPr="000501F0">
        <w:rPr>
          <w:rStyle w:val="Hyperlink"/>
          <w:rFonts w:cs="Arial"/>
          <w:iCs/>
          <w:color w:val="0070C0"/>
          <w:sz w:val="24"/>
          <w:szCs w:val="24"/>
        </w:rPr>
        <w:t xml:space="preserve">World Asset Markets and the Global </w:t>
      </w:r>
      <w:r>
        <w:rPr>
          <w:rStyle w:val="Hyperlink"/>
          <w:rFonts w:cs="Arial"/>
          <w:iCs/>
          <w:color w:val="0070C0"/>
          <w:sz w:val="24"/>
          <w:szCs w:val="24"/>
        </w:rPr>
        <w:t>Financial Cycle</w:t>
      </w:r>
      <w:r w:rsidRPr="000501F0">
        <w:rPr>
          <w:color w:val="0070C0"/>
          <w:sz w:val="24"/>
          <w:szCs w:val="24"/>
        </w:rPr>
        <w:fldChar w:fldCharType="end"/>
      </w:r>
      <w:r w:rsidRPr="007F6658">
        <w:rPr>
          <w:rStyle w:val="Hyperlink"/>
          <w:rFonts w:cs="Arial"/>
          <w:iCs/>
          <w:color w:val="auto"/>
          <w:sz w:val="24"/>
          <w:szCs w:val="24"/>
          <w:u w:val="none"/>
        </w:rPr>
        <w:t>,”</w:t>
      </w:r>
      <w:r w:rsidRPr="007A274A">
        <w:rPr>
          <w:rFonts w:eastAsiaTheme="minorHAnsi"/>
          <w:sz w:val="24"/>
          <w:szCs w:val="24"/>
          <w:lang w:eastAsia="en-US"/>
        </w:rPr>
        <w:t xml:space="preserve"> NBER Summer Institute. June 2014</w:t>
      </w:r>
      <w:r>
        <w:rPr>
          <w:rFonts w:eastAsiaTheme="minorHAnsi"/>
          <w:sz w:val="24"/>
          <w:szCs w:val="24"/>
          <w:lang w:eastAsia="en-US"/>
        </w:rPr>
        <w:t>.</w:t>
      </w:r>
      <w:r w:rsidR="007F6658">
        <w:rPr>
          <w:rFonts w:eastAsiaTheme="minorHAnsi"/>
          <w:sz w:val="24"/>
          <w:szCs w:val="24"/>
          <w:lang w:eastAsia="en-US"/>
        </w:rPr>
        <w:br/>
      </w:r>
    </w:p>
  </w:endnote>
  <w:endnote w:id="7">
    <w:p w:rsidR="00F6749C" w:rsidRPr="007A274A" w:rsidRDefault="00F6749C" w:rsidP="000501F0">
      <w:pPr>
        <w:spacing w:after="150" w:line="240" w:lineRule="auto"/>
        <w:outlineLvl w:val="0"/>
        <w:rPr>
          <w:rFonts w:eastAsia="Times New Roman" w:cs="Times New Roman"/>
          <w:kern w:val="36"/>
          <w:sz w:val="24"/>
          <w:szCs w:val="24"/>
        </w:rPr>
      </w:pPr>
      <w:r w:rsidRPr="007A274A">
        <w:rPr>
          <w:rStyle w:val="EndnoteReference"/>
          <w:sz w:val="24"/>
          <w:szCs w:val="24"/>
        </w:rPr>
        <w:endnoteRef/>
      </w:r>
      <w:r w:rsidRPr="007A274A">
        <w:rPr>
          <w:sz w:val="24"/>
          <w:szCs w:val="24"/>
        </w:rPr>
        <w:t xml:space="preserve"> </w:t>
      </w:r>
      <w:hyperlink r:id="rId26" w:history="1">
        <w:r w:rsidRPr="007A274A">
          <w:rPr>
            <w:rFonts w:eastAsia="Times New Roman" w:cs="Times New Roman"/>
            <w:sz w:val="24"/>
            <w:szCs w:val="24"/>
          </w:rPr>
          <w:t>K. Daniel</w:t>
        </w:r>
      </w:hyperlink>
      <w:r w:rsidRPr="007A274A">
        <w:rPr>
          <w:rFonts w:eastAsia="Times New Roman" w:cs="Times New Roman"/>
          <w:sz w:val="24"/>
          <w:szCs w:val="24"/>
        </w:rPr>
        <w:t>, </w:t>
      </w:r>
      <w:proofErr w:type="spellStart"/>
      <w:r>
        <w:fldChar w:fldCharType="begin"/>
      </w:r>
      <w:r>
        <w:instrText xml:space="preserve"> HYPERLINK "http://www.nber.org/people/robert_hodrick" </w:instrText>
      </w:r>
      <w:r>
        <w:fldChar w:fldCharType="separate"/>
      </w:r>
      <w:r w:rsidR="00DF7818">
        <w:rPr>
          <w:rFonts w:eastAsia="Times New Roman" w:cs="Times New Roman"/>
          <w:sz w:val="24"/>
          <w:szCs w:val="24"/>
        </w:rPr>
        <w:t>R.</w:t>
      </w:r>
      <w:r w:rsidRPr="007A274A">
        <w:rPr>
          <w:rFonts w:eastAsia="Times New Roman" w:cs="Times New Roman"/>
          <w:sz w:val="24"/>
          <w:szCs w:val="24"/>
        </w:rPr>
        <w:t>Hodrick</w:t>
      </w:r>
      <w:proofErr w:type="spellEnd"/>
      <w:r>
        <w:rPr>
          <w:rFonts w:eastAsia="Times New Roman" w:cs="Times New Roman"/>
          <w:sz w:val="24"/>
          <w:szCs w:val="24"/>
        </w:rPr>
        <w:fldChar w:fldCharType="end"/>
      </w:r>
      <w:r w:rsidRPr="007A274A">
        <w:rPr>
          <w:rFonts w:eastAsia="Times New Roman" w:cs="Times New Roman"/>
          <w:sz w:val="24"/>
          <w:szCs w:val="24"/>
        </w:rPr>
        <w:t>, </w:t>
      </w:r>
      <w:hyperlink r:id="rId27" w:history="1">
        <w:r w:rsidRPr="007A274A">
          <w:rPr>
            <w:rFonts w:eastAsia="Times New Roman" w:cs="Times New Roman"/>
            <w:sz w:val="24"/>
            <w:szCs w:val="24"/>
          </w:rPr>
          <w:t>Z. Lu</w:t>
        </w:r>
      </w:hyperlink>
      <w:r w:rsidRPr="007A274A">
        <w:rPr>
          <w:rFonts w:eastAsia="Times New Roman" w:cs="Times New Roman"/>
          <w:sz w:val="24"/>
          <w:szCs w:val="24"/>
        </w:rPr>
        <w:t>, “</w:t>
      </w:r>
      <w:r w:rsidRPr="007A274A">
        <w:rPr>
          <w:rFonts w:eastAsia="Times New Roman" w:cs="Times New Roman"/>
          <w:kern w:val="36"/>
          <w:sz w:val="24"/>
          <w:szCs w:val="24"/>
        </w:rPr>
        <w:t xml:space="preserve">The Carry Trade: Risks and Drawdowns," </w:t>
      </w:r>
      <w:hyperlink r:id="rId28" w:history="1">
        <w:r w:rsidRPr="007A274A">
          <w:rPr>
            <w:rStyle w:val="Hyperlink"/>
            <w:rFonts w:eastAsia="Times New Roman" w:cs="Tahoma"/>
            <w:bCs/>
            <w:sz w:val="24"/>
            <w:szCs w:val="24"/>
          </w:rPr>
          <w:t>NBER Working Paper No. 20433</w:t>
        </w:r>
      </w:hyperlink>
      <w:r w:rsidRPr="007A274A">
        <w:rPr>
          <w:rFonts w:eastAsia="Times New Roman" w:cs="Tahoma"/>
          <w:bCs/>
          <w:sz w:val="24"/>
          <w:szCs w:val="24"/>
        </w:rPr>
        <w:t>, August 2014.</w:t>
      </w:r>
      <w:r>
        <w:rPr>
          <w:rFonts w:eastAsia="Times New Roman" w:cs="Tahoma"/>
          <w:bCs/>
          <w:sz w:val="24"/>
          <w:szCs w:val="24"/>
        </w:rPr>
        <w:t xml:space="preserve">  </w:t>
      </w:r>
    </w:p>
  </w:endnote>
  <w:endnote w:id="8">
    <w:p w:rsidR="00DD406D" w:rsidRPr="00DD406D" w:rsidRDefault="00DD406D" w:rsidP="00DD406D">
      <w:pPr>
        <w:pStyle w:val="PlainText"/>
        <w:rPr>
          <w:sz w:val="24"/>
          <w:szCs w:val="24"/>
        </w:rPr>
      </w:pPr>
      <w:r w:rsidRPr="00DD406D">
        <w:rPr>
          <w:rStyle w:val="EndnoteReference"/>
          <w:sz w:val="24"/>
          <w:szCs w:val="24"/>
        </w:rPr>
        <w:endnoteRef/>
      </w:r>
      <w:r w:rsidRPr="00DD406D">
        <w:rPr>
          <w:sz w:val="24"/>
          <w:szCs w:val="24"/>
        </w:rPr>
        <w:t xml:space="preserve">  H. </w:t>
      </w:r>
      <w:r w:rsidRPr="00DD406D">
        <w:rPr>
          <w:sz w:val="24"/>
          <w:szCs w:val="24"/>
        </w:rPr>
        <w:t>Rey, “Dilemma not Trilemma: The Global Financial Cycle and Monetary Policy Independence</w:t>
      </w:r>
      <w:r>
        <w:rPr>
          <w:sz w:val="24"/>
          <w:szCs w:val="24"/>
        </w:rPr>
        <w:t>,</w:t>
      </w:r>
      <w:r w:rsidRPr="00DD406D">
        <w:rPr>
          <w:sz w:val="24"/>
          <w:szCs w:val="24"/>
        </w:rPr>
        <w:t>”</w:t>
      </w:r>
      <w:r>
        <w:rPr>
          <w:sz w:val="24"/>
          <w:szCs w:val="24"/>
        </w:rPr>
        <w:t xml:space="preserve"> NBER </w:t>
      </w:r>
      <w:r>
        <w:rPr>
          <w:sz w:val="24"/>
          <w:szCs w:val="24"/>
        </w:rPr>
        <w:t>WP</w:t>
      </w:r>
      <w:bookmarkStart w:id="0" w:name="_GoBack"/>
      <w:bookmarkEnd w:id="0"/>
      <w:r>
        <w:rPr>
          <w:sz w:val="24"/>
          <w:szCs w:val="24"/>
        </w:rPr>
        <w:t xml:space="preserve">, 2015; and in </w:t>
      </w:r>
      <w:r>
        <w:rPr>
          <w:rFonts w:ascii="Arial" w:hAnsi="Arial" w:cs="Arial"/>
          <w:i/>
          <w:iCs/>
          <w:color w:val="222222"/>
          <w:sz w:val="20"/>
          <w:szCs w:val="20"/>
          <w:shd w:val="clear" w:color="auto" w:fill="FFFFFF"/>
        </w:rPr>
        <w:t>Jackson Hole Economic Symposium 2013</w:t>
      </w:r>
      <w:r>
        <w:rPr>
          <w:rFonts w:ascii="Arial" w:hAnsi="Arial" w:cs="Arial"/>
          <w:color w:val="222222"/>
          <w:sz w:val="20"/>
          <w:szCs w:val="20"/>
          <w:shd w:val="clear" w:color="auto" w:fill="FFFFFF"/>
        </w:rPr>
        <w:t xml:space="preserve"> (Federal Reserve Bank of Kansas City).</w:t>
      </w:r>
      <w:r w:rsidRPr="00DD406D">
        <w:rPr>
          <w:sz w:val="24"/>
          <w:szCs w:val="24"/>
        </w:rPr>
        <w:br/>
      </w:r>
    </w:p>
  </w:endnote>
  <w:endnote w:id="9">
    <w:p w:rsidR="00C5105A" w:rsidRPr="007A274A" w:rsidRDefault="00C5105A" w:rsidP="00C5105A">
      <w:pPr>
        <w:pStyle w:val="EndnoteText"/>
        <w:rPr>
          <w:sz w:val="24"/>
          <w:szCs w:val="24"/>
        </w:rPr>
      </w:pPr>
      <w:r w:rsidRPr="007A274A">
        <w:rPr>
          <w:rStyle w:val="EndnoteReference"/>
          <w:sz w:val="24"/>
          <w:szCs w:val="24"/>
        </w:rPr>
        <w:endnoteRef/>
      </w:r>
      <w:r w:rsidRPr="007A274A">
        <w:rPr>
          <w:sz w:val="24"/>
          <w:szCs w:val="24"/>
        </w:rPr>
        <w:t xml:space="preserve">  </w:t>
      </w:r>
      <w:r w:rsidRPr="007A274A">
        <w:rPr>
          <w:rFonts w:cstheme="majorBidi"/>
          <w:sz w:val="24"/>
          <w:szCs w:val="24"/>
        </w:rPr>
        <w:t xml:space="preserve">M. </w:t>
      </w:r>
      <w:r w:rsidRPr="007A274A">
        <w:rPr>
          <w:rFonts w:eastAsia="Times New Roman" w:cstheme="majorBidi"/>
          <w:sz w:val="24"/>
          <w:szCs w:val="24"/>
        </w:rPr>
        <w:t xml:space="preserve">Devereux and J. </w:t>
      </w:r>
      <w:proofErr w:type="spellStart"/>
      <w:r w:rsidRPr="007A274A">
        <w:rPr>
          <w:rFonts w:eastAsia="Times New Roman" w:cstheme="majorBidi"/>
          <w:sz w:val="24"/>
          <w:szCs w:val="24"/>
        </w:rPr>
        <w:t>Yetman</w:t>
      </w:r>
      <w:proofErr w:type="spellEnd"/>
      <w:r w:rsidRPr="007A274A">
        <w:rPr>
          <w:rFonts w:eastAsia="Times New Roman" w:cstheme="majorBidi"/>
          <w:sz w:val="24"/>
          <w:szCs w:val="24"/>
        </w:rPr>
        <w:t>, “</w:t>
      </w:r>
      <w:hyperlink r:id="rId29" w:history="1">
        <w:r w:rsidRPr="007A274A">
          <w:rPr>
            <w:rFonts w:eastAsia="Times New Roman" w:cstheme="majorBidi"/>
            <w:sz w:val="24"/>
            <w:szCs w:val="24"/>
          </w:rPr>
          <w:t>Capital Controls, Global Liquidity Traps and the </w:t>
        </w:r>
        <w:r w:rsidRPr="000501F0">
          <w:rPr>
            <w:rFonts w:eastAsia="Times New Roman" w:cstheme="majorBidi"/>
            <w:bCs/>
            <w:sz w:val="24"/>
            <w:szCs w:val="24"/>
          </w:rPr>
          <w:t>International</w:t>
        </w:r>
        <w:r w:rsidRPr="000501F0">
          <w:rPr>
            <w:rFonts w:eastAsia="Times New Roman" w:cstheme="majorBidi"/>
            <w:sz w:val="24"/>
            <w:szCs w:val="24"/>
          </w:rPr>
          <w:t> </w:t>
        </w:r>
        <w:r w:rsidRPr="007A274A">
          <w:rPr>
            <w:rFonts w:eastAsia="Times New Roman" w:cstheme="majorBidi"/>
            <w:sz w:val="24"/>
            <w:szCs w:val="24"/>
          </w:rPr>
          <w:t>Policy Trilemma</w:t>
        </w:r>
      </w:hyperlink>
      <w:r w:rsidRPr="007A274A">
        <w:rPr>
          <w:rFonts w:eastAsia="Times New Roman" w:cstheme="majorBidi"/>
          <w:sz w:val="24"/>
          <w:szCs w:val="24"/>
        </w:rPr>
        <w:t>,</w:t>
      </w:r>
      <w:proofErr w:type="gramStart"/>
      <w:r w:rsidRPr="007A274A">
        <w:rPr>
          <w:rFonts w:eastAsia="Times New Roman" w:cstheme="majorBidi"/>
          <w:sz w:val="24"/>
          <w:szCs w:val="24"/>
        </w:rPr>
        <w:t>”  NBER</w:t>
      </w:r>
      <w:proofErr w:type="gramEnd"/>
      <w:r w:rsidRPr="007A274A">
        <w:rPr>
          <w:rFonts w:eastAsia="Times New Roman" w:cstheme="majorBidi"/>
          <w:sz w:val="24"/>
          <w:szCs w:val="24"/>
        </w:rPr>
        <w:t xml:space="preserve"> Working Paper No. 19091, May 2013</w:t>
      </w:r>
      <w:r>
        <w:rPr>
          <w:rFonts w:eastAsia="Times New Roman" w:cstheme="majorBidi"/>
          <w:sz w:val="24"/>
          <w:szCs w:val="24"/>
        </w:rPr>
        <w:t>.</w:t>
      </w:r>
      <w:r w:rsidRPr="007A274A">
        <w:rPr>
          <w:rFonts w:eastAsia="Times New Roman" w:cstheme="majorBidi"/>
          <w:sz w:val="24"/>
          <w:szCs w:val="24"/>
        </w:rPr>
        <w:t xml:space="preserve">  </w:t>
      </w:r>
      <w:r w:rsidRPr="007A274A">
        <w:rPr>
          <w:rFonts w:eastAsia="Times New Roman" w:cs="Tahoma"/>
          <w:sz w:val="24"/>
          <w:szCs w:val="24"/>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43C" w:rsidRDefault="00A2143C" w:rsidP="007D1423">
      <w:pPr>
        <w:spacing w:after="0" w:line="240" w:lineRule="auto"/>
      </w:pPr>
      <w:r>
        <w:separator/>
      </w:r>
    </w:p>
  </w:footnote>
  <w:footnote w:type="continuationSeparator" w:id="0">
    <w:p w:rsidR="00A2143C" w:rsidRDefault="00A2143C" w:rsidP="007D1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319F"/>
    <w:multiLevelType w:val="hybridMultilevel"/>
    <w:tmpl w:val="6CD81688"/>
    <w:lvl w:ilvl="0" w:tplc="3324373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9186AF7"/>
    <w:multiLevelType w:val="multilevel"/>
    <w:tmpl w:val="BBD0B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084FD4"/>
    <w:multiLevelType w:val="hybridMultilevel"/>
    <w:tmpl w:val="6CD81688"/>
    <w:lvl w:ilvl="0" w:tplc="332437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15FE0"/>
    <w:multiLevelType w:val="hybridMultilevel"/>
    <w:tmpl w:val="988E2938"/>
    <w:lvl w:ilvl="0" w:tplc="6DB2CCE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95F4E"/>
    <w:multiLevelType w:val="hybridMultilevel"/>
    <w:tmpl w:val="6CD81688"/>
    <w:lvl w:ilvl="0" w:tplc="332437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440D2"/>
    <w:multiLevelType w:val="multilevel"/>
    <w:tmpl w:val="17DA6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B1335B"/>
    <w:multiLevelType w:val="multilevel"/>
    <w:tmpl w:val="AF2E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9346F"/>
    <w:multiLevelType w:val="hybridMultilevel"/>
    <w:tmpl w:val="820EFA06"/>
    <w:lvl w:ilvl="0" w:tplc="9878B864">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8AA684D"/>
    <w:multiLevelType w:val="multilevel"/>
    <w:tmpl w:val="3482C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972D2C"/>
    <w:multiLevelType w:val="hybridMultilevel"/>
    <w:tmpl w:val="22FC8C38"/>
    <w:lvl w:ilvl="0" w:tplc="771E4492">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DF63622"/>
    <w:multiLevelType w:val="hybridMultilevel"/>
    <w:tmpl w:val="89FE7024"/>
    <w:lvl w:ilvl="0" w:tplc="C5526C3A">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5"/>
  </w:num>
  <w:num w:numId="3">
    <w:abstractNumId w:val="0"/>
  </w:num>
  <w:num w:numId="4">
    <w:abstractNumId w:val="4"/>
  </w:num>
  <w:num w:numId="5">
    <w:abstractNumId w:val="3"/>
  </w:num>
  <w:num w:numId="6">
    <w:abstractNumId w:val="9"/>
  </w:num>
  <w:num w:numId="7">
    <w:abstractNumId w:val="1"/>
  </w:num>
  <w:num w:numId="8">
    <w:abstractNumId w:val="11"/>
  </w:num>
  <w:num w:numId="9">
    <w:abstractNumId w:val="10"/>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C86BB7"/>
    <w:rsid w:val="00004339"/>
    <w:rsid w:val="000056E0"/>
    <w:rsid w:val="00013D7D"/>
    <w:rsid w:val="00015CEA"/>
    <w:rsid w:val="00020CA0"/>
    <w:rsid w:val="00021339"/>
    <w:rsid w:val="00021D8A"/>
    <w:rsid w:val="000268B9"/>
    <w:rsid w:val="00032F5B"/>
    <w:rsid w:val="0003466D"/>
    <w:rsid w:val="00037882"/>
    <w:rsid w:val="000402A5"/>
    <w:rsid w:val="00041435"/>
    <w:rsid w:val="00045E31"/>
    <w:rsid w:val="000501F0"/>
    <w:rsid w:val="00072325"/>
    <w:rsid w:val="0008040B"/>
    <w:rsid w:val="000865C0"/>
    <w:rsid w:val="000918D5"/>
    <w:rsid w:val="000958D8"/>
    <w:rsid w:val="00095F95"/>
    <w:rsid w:val="000D731B"/>
    <w:rsid w:val="000E1DFC"/>
    <w:rsid w:val="000E2A19"/>
    <w:rsid w:val="00100298"/>
    <w:rsid w:val="00102644"/>
    <w:rsid w:val="001148F5"/>
    <w:rsid w:val="0013049E"/>
    <w:rsid w:val="00130F58"/>
    <w:rsid w:val="00131085"/>
    <w:rsid w:val="0013188D"/>
    <w:rsid w:val="0013513B"/>
    <w:rsid w:val="001468D1"/>
    <w:rsid w:val="001533DE"/>
    <w:rsid w:val="001548C6"/>
    <w:rsid w:val="001676EE"/>
    <w:rsid w:val="00180F4C"/>
    <w:rsid w:val="001834E5"/>
    <w:rsid w:val="0018452D"/>
    <w:rsid w:val="0019065E"/>
    <w:rsid w:val="00193677"/>
    <w:rsid w:val="001955A9"/>
    <w:rsid w:val="001A30D9"/>
    <w:rsid w:val="001D461B"/>
    <w:rsid w:val="001D5A9B"/>
    <w:rsid w:val="001E0EF5"/>
    <w:rsid w:val="001E57E5"/>
    <w:rsid w:val="001E736E"/>
    <w:rsid w:val="001F389C"/>
    <w:rsid w:val="00206D8D"/>
    <w:rsid w:val="00215EA4"/>
    <w:rsid w:val="0021616D"/>
    <w:rsid w:val="00216D93"/>
    <w:rsid w:val="0022744B"/>
    <w:rsid w:val="0023014A"/>
    <w:rsid w:val="0023242C"/>
    <w:rsid w:val="00232CBD"/>
    <w:rsid w:val="002339E6"/>
    <w:rsid w:val="00235ABC"/>
    <w:rsid w:val="002404E0"/>
    <w:rsid w:val="002454DD"/>
    <w:rsid w:val="0025340E"/>
    <w:rsid w:val="00257D5B"/>
    <w:rsid w:val="002608E2"/>
    <w:rsid w:val="00263BC9"/>
    <w:rsid w:val="0026594C"/>
    <w:rsid w:val="0027292E"/>
    <w:rsid w:val="00272C96"/>
    <w:rsid w:val="0027553F"/>
    <w:rsid w:val="00286B1B"/>
    <w:rsid w:val="002944B4"/>
    <w:rsid w:val="002A4CA0"/>
    <w:rsid w:val="002A6A28"/>
    <w:rsid w:val="002B0FB7"/>
    <w:rsid w:val="002B12F8"/>
    <w:rsid w:val="002B1E1C"/>
    <w:rsid w:val="002B4875"/>
    <w:rsid w:val="002C1B1D"/>
    <w:rsid w:val="002C5FA8"/>
    <w:rsid w:val="002C61DB"/>
    <w:rsid w:val="002D19E1"/>
    <w:rsid w:val="002E1FE7"/>
    <w:rsid w:val="002E4A31"/>
    <w:rsid w:val="002E5798"/>
    <w:rsid w:val="002F642F"/>
    <w:rsid w:val="002F66E9"/>
    <w:rsid w:val="002F6977"/>
    <w:rsid w:val="002F6B2E"/>
    <w:rsid w:val="003035C4"/>
    <w:rsid w:val="00313487"/>
    <w:rsid w:val="00317FAF"/>
    <w:rsid w:val="00322B54"/>
    <w:rsid w:val="00336EA3"/>
    <w:rsid w:val="00341969"/>
    <w:rsid w:val="003611F5"/>
    <w:rsid w:val="00362657"/>
    <w:rsid w:val="003636E8"/>
    <w:rsid w:val="00363988"/>
    <w:rsid w:val="00363AAF"/>
    <w:rsid w:val="003650E8"/>
    <w:rsid w:val="00365F2F"/>
    <w:rsid w:val="003850D7"/>
    <w:rsid w:val="00390B44"/>
    <w:rsid w:val="00392D4D"/>
    <w:rsid w:val="003B6665"/>
    <w:rsid w:val="003C1CF6"/>
    <w:rsid w:val="003C45F8"/>
    <w:rsid w:val="003C547A"/>
    <w:rsid w:val="003D1146"/>
    <w:rsid w:val="003D5B00"/>
    <w:rsid w:val="003E0330"/>
    <w:rsid w:val="003E4552"/>
    <w:rsid w:val="003E47EE"/>
    <w:rsid w:val="003F16E7"/>
    <w:rsid w:val="003F6504"/>
    <w:rsid w:val="004005E9"/>
    <w:rsid w:val="00401B42"/>
    <w:rsid w:val="00405CE7"/>
    <w:rsid w:val="0042618E"/>
    <w:rsid w:val="004302F7"/>
    <w:rsid w:val="00430519"/>
    <w:rsid w:val="00431E37"/>
    <w:rsid w:val="00457657"/>
    <w:rsid w:val="004712F5"/>
    <w:rsid w:val="004925BA"/>
    <w:rsid w:val="004939F8"/>
    <w:rsid w:val="00493E77"/>
    <w:rsid w:val="00497B36"/>
    <w:rsid w:val="004A0719"/>
    <w:rsid w:val="004A3861"/>
    <w:rsid w:val="004A654B"/>
    <w:rsid w:val="004B1B58"/>
    <w:rsid w:val="004B5E12"/>
    <w:rsid w:val="004C454E"/>
    <w:rsid w:val="004E0610"/>
    <w:rsid w:val="004E151D"/>
    <w:rsid w:val="004E20E8"/>
    <w:rsid w:val="004E3AC0"/>
    <w:rsid w:val="004E3D34"/>
    <w:rsid w:val="004E6AE0"/>
    <w:rsid w:val="004F30CC"/>
    <w:rsid w:val="004F6100"/>
    <w:rsid w:val="004F6ADE"/>
    <w:rsid w:val="004F7BC2"/>
    <w:rsid w:val="004F7F1C"/>
    <w:rsid w:val="00502AC1"/>
    <w:rsid w:val="0051076C"/>
    <w:rsid w:val="00510BB9"/>
    <w:rsid w:val="00511C0D"/>
    <w:rsid w:val="0051391B"/>
    <w:rsid w:val="005253E5"/>
    <w:rsid w:val="005301B4"/>
    <w:rsid w:val="00541289"/>
    <w:rsid w:val="00545B7B"/>
    <w:rsid w:val="00551370"/>
    <w:rsid w:val="0055236C"/>
    <w:rsid w:val="00554DCC"/>
    <w:rsid w:val="00560A9D"/>
    <w:rsid w:val="0056174F"/>
    <w:rsid w:val="00564880"/>
    <w:rsid w:val="0056562F"/>
    <w:rsid w:val="005908BC"/>
    <w:rsid w:val="005A0247"/>
    <w:rsid w:val="005B1FD2"/>
    <w:rsid w:val="005B581D"/>
    <w:rsid w:val="005B68EA"/>
    <w:rsid w:val="005C0237"/>
    <w:rsid w:val="005C02AA"/>
    <w:rsid w:val="005C27AA"/>
    <w:rsid w:val="005C5CF6"/>
    <w:rsid w:val="005C6038"/>
    <w:rsid w:val="005D0F66"/>
    <w:rsid w:val="005D123B"/>
    <w:rsid w:val="005E19C0"/>
    <w:rsid w:val="005E5039"/>
    <w:rsid w:val="005E57FE"/>
    <w:rsid w:val="005F1C6D"/>
    <w:rsid w:val="005F66F8"/>
    <w:rsid w:val="00605672"/>
    <w:rsid w:val="006057A3"/>
    <w:rsid w:val="0061347B"/>
    <w:rsid w:val="00615A0C"/>
    <w:rsid w:val="00621E16"/>
    <w:rsid w:val="00624F9A"/>
    <w:rsid w:val="00625D32"/>
    <w:rsid w:val="0063738B"/>
    <w:rsid w:val="00643271"/>
    <w:rsid w:val="006573CB"/>
    <w:rsid w:val="00662AB5"/>
    <w:rsid w:val="00665E51"/>
    <w:rsid w:val="00665FAC"/>
    <w:rsid w:val="006715A9"/>
    <w:rsid w:val="006746C4"/>
    <w:rsid w:val="00683DA3"/>
    <w:rsid w:val="0068509A"/>
    <w:rsid w:val="006912B6"/>
    <w:rsid w:val="00692675"/>
    <w:rsid w:val="006A338A"/>
    <w:rsid w:val="006A546E"/>
    <w:rsid w:val="006A58F5"/>
    <w:rsid w:val="006B2A87"/>
    <w:rsid w:val="006B436A"/>
    <w:rsid w:val="006D0A89"/>
    <w:rsid w:val="006D4BE9"/>
    <w:rsid w:val="006D54E1"/>
    <w:rsid w:val="006D5B97"/>
    <w:rsid w:val="006E1FE2"/>
    <w:rsid w:val="006F080A"/>
    <w:rsid w:val="00701DF0"/>
    <w:rsid w:val="0070357A"/>
    <w:rsid w:val="0071203D"/>
    <w:rsid w:val="0071245E"/>
    <w:rsid w:val="00721766"/>
    <w:rsid w:val="0073282A"/>
    <w:rsid w:val="00732B03"/>
    <w:rsid w:val="007533B2"/>
    <w:rsid w:val="00753A22"/>
    <w:rsid w:val="007641CE"/>
    <w:rsid w:val="007647BC"/>
    <w:rsid w:val="00765079"/>
    <w:rsid w:val="0077447D"/>
    <w:rsid w:val="007A274A"/>
    <w:rsid w:val="007A2751"/>
    <w:rsid w:val="007A2CE5"/>
    <w:rsid w:val="007B5961"/>
    <w:rsid w:val="007B5BCB"/>
    <w:rsid w:val="007C3630"/>
    <w:rsid w:val="007C54BF"/>
    <w:rsid w:val="007D020F"/>
    <w:rsid w:val="007D1423"/>
    <w:rsid w:val="007D37CB"/>
    <w:rsid w:val="007D499F"/>
    <w:rsid w:val="007D5000"/>
    <w:rsid w:val="007D5A2A"/>
    <w:rsid w:val="007E22A5"/>
    <w:rsid w:val="007E6303"/>
    <w:rsid w:val="007F1F13"/>
    <w:rsid w:val="007F6658"/>
    <w:rsid w:val="007F7AC4"/>
    <w:rsid w:val="00800B26"/>
    <w:rsid w:val="00801954"/>
    <w:rsid w:val="00812646"/>
    <w:rsid w:val="00813038"/>
    <w:rsid w:val="00814119"/>
    <w:rsid w:val="008156B3"/>
    <w:rsid w:val="008266DF"/>
    <w:rsid w:val="00832047"/>
    <w:rsid w:val="008432DA"/>
    <w:rsid w:val="008507D2"/>
    <w:rsid w:val="00863369"/>
    <w:rsid w:val="00872372"/>
    <w:rsid w:val="00883FB8"/>
    <w:rsid w:val="008857F6"/>
    <w:rsid w:val="0088705D"/>
    <w:rsid w:val="00890B28"/>
    <w:rsid w:val="00894D6F"/>
    <w:rsid w:val="00895930"/>
    <w:rsid w:val="00897B54"/>
    <w:rsid w:val="008A1505"/>
    <w:rsid w:val="008A2B22"/>
    <w:rsid w:val="008A5B31"/>
    <w:rsid w:val="008B299D"/>
    <w:rsid w:val="008B4BBA"/>
    <w:rsid w:val="008B4F5A"/>
    <w:rsid w:val="008D1637"/>
    <w:rsid w:val="008E076C"/>
    <w:rsid w:val="008F6238"/>
    <w:rsid w:val="009033C5"/>
    <w:rsid w:val="00912283"/>
    <w:rsid w:val="009166D7"/>
    <w:rsid w:val="00916F5E"/>
    <w:rsid w:val="009209B7"/>
    <w:rsid w:val="00920DE0"/>
    <w:rsid w:val="00921894"/>
    <w:rsid w:val="00923B91"/>
    <w:rsid w:val="00924493"/>
    <w:rsid w:val="00926503"/>
    <w:rsid w:val="00934280"/>
    <w:rsid w:val="00936059"/>
    <w:rsid w:val="009412F3"/>
    <w:rsid w:val="00943503"/>
    <w:rsid w:val="00943636"/>
    <w:rsid w:val="00944C5D"/>
    <w:rsid w:val="00956D20"/>
    <w:rsid w:val="00963674"/>
    <w:rsid w:val="00967CBD"/>
    <w:rsid w:val="0098217F"/>
    <w:rsid w:val="00987791"/>
    <w:rsid w:val="00991DAA"/>
    <w:rsid w:val="00992D31"/>
    <w:rsid w:val="009A1219"/>
    <w:rsid w:val="009A33C4"/>
    <w:rsid w:val="009A567C"/>
    <w:rsid w:val="009A6DB5"/>
    <w:rsid w:val="009B237B"/>
    <w:rsid w:val="009C6269"/>
    <w:rsid w:val="009D6993"/>
    <w:rsid w:val="009E4256"/>
    <w:rsid w:val="009E5261"/>
    <w:rsid w:val="009E5B8F"/>
    <w:rsid w:val="009F31E1"/>
    <w:rsid w:val="00A00E19"/>
    <w:rsid w:val="00A06231"/>
    <w:rsid w:val="00A06D54"/>
    <w:rsid w:val="00A102D6"/>
    <w:rsid w:val="00A1681C"/>
    <w:rsid w:val="00A2143C"/>
    <w:rsid w:val="00A242B1"/>
    <w:rsid w:val="00A25A93"/>
    <w:rsid w:val="00A25E0C"/>
    <w:rsid w:val="00A27028"/>
    <w:rsid w:val="00A27F93"/>
    <w:rsid w:val="00A30380"/>
    <w:rsid w:val="00A43586"/>
    <w:rsid w:val="00A450C0"/>
    <w:rsid w:val="00A47108"/>
    <w:rsid w:val="00A55824"/>
    <w:rsid w:val="00A5637B"/>
    <w:rsid w:val="00A81EEA"/>
    <w:rsid w:val="00A87544"/>
    <w:rsid w:val="00AA0D9D"/>
    <w:rsid w:val="00AA58F6"/>
    <w:rsid w:val="00AA779E"/>
    <w:rsid w:val="00AB1F17"/>
    <w:rsid w:val="00AB2F54"/>
    <w:rsid w:val="00AD2048"/>
    <w:rsid w:val="00AD3CFA"/>
    <w:rsid w:val="00AD55CE"/>
    <w:rsid w:val="00AE260A"/>
    <w:rsid w:val="00AE2DE2"/>
    <w:rsid w:val="00AF78AE"/>
    <w:rsid w:val="00B00AA2"/>
    <w:rsid w:val="00B13C97"/>
    <w:rsid w:val="00B20139"/>
    <w:rsid w:val="00B2024A"/>
    <w:rsid w:val="00B20A4A"/>
    <w:rsid w:val="00B233BC"/>
    <w:rsid w:val="00B23D1D"/>
    <w:rsid w:val="00B3429A"/>
    <w:rsid w:val="00B3605F"/>
    <w:rsid w:val="00B40CAD"/>
    <w:rsid w:val="00B41377"/>
    <w:rsid w:val="00B44448"/>
    <w:rsid w:val="00B44EB5"/>
    <w:rsid w:val="00B45ABE"/>
    <w:rsid w:val="00B50C42"/>
    <w:rsid w:val="00B51848"/>
    <w:rsid w:val="00B546E0"/>
    <w:rsid w:val="00B557C1"/>
    <w:rsid w:val="00B60EF5"/>
    <w:rsid w:val="00B61D9D"/>
    <w:rsid w:val="00B65BAE"/>
    <w:rsid w:val="00B700DF"/>
    <w:rsid w:val="00B76550"/>
    <w:rsid w:val="00B84D70"/>
    <w:rsid w:val="00B84DAA"/>
    <w:rsid w:val="00B9004D"/>
    <w:rsid w:val="00B95222"/>
    <w:rsid w:val="00B97C9E"/>
    <w:rsid w:val="00BA1E6D"/>
    <w:rsid w:val="00BA4582"/>
    <w:rsid w:val="00BA7538"/>
    <w:rsid w:val="00BB16BC"/>
    <w:rsid w:val="00BB3618"/>
    <w:rsid w:val="00BB3A8A"/>
    <w:rsid w:val="00BB4874"/>
    <w:rsid w:val="00BB5C37"/>
    <w:rsid w:val="00BC3C7A"/>
    <w:rsid w:val="00BC7AB9"/>
    <w:rsid w:val="00BD6A80"/>
    <w:rsid w:val="00C03945"/>
    <w:rsid w:val="00C175B0"/>
    <w:rsid w:val="00C2587F"/>
    <w:rsid w:val="00C441AD"/>
    <w:rsid w:val="00C44EC7"/>
    <w:rsid w:val="00C5098B"/>
    <w:rsid w:val="00C5105A"/>
    <w:rsid w:val="00C54DA9"/>
    <w:rsid w:val="00C66A22"/>
    <w:rsid w:val="00C66B2F"/>
    <w:rsid w:val="00C80BCF"/>
    <w:rsid w:val="00C86BB7"/>
    <w:rsid w:val="00C92C31"/>
    <w:rsid w:val="00CA2B78"/>
    <w:rsid w:val="00CB38A6"/>
    <w:rsid w:val="00CC4DD0"/>
    <w:rsid w:val="00CD2842"/>
    <w:rsid w:val="00CE3359"/>
    <w:rsid w:val="00D05263"/>
    <w:rsid w:val="00D05F78"/>
    <w:rsid w:val="00D34179"/>
    <w:rsid w:val="00D46CEA"/>
    <w:rsid w:val="00D61BEB"/>
    <w:rsid w:val="00D675C1"/>
    <w:rsid w:val="00D76D4D"/>
    <w:rsid w:val="00D77AD4"/>
    <w:rsid w:val="00D809A6"/>
    <w:rsid w:val="00D87B5F"/>
    <w:rsid w:val="00DA4F0D"/>
    <w:rsid w:val="00DA5C8E"/>
    <w:rsid w:val="00DA688E"/>
    <w:rsid w:val="00DB0934"/>
    <w:rsid w:val="00DC0D04"/>
    <w:rsid w:val="00DD0230"/>
    <w:rsid w:val="00DD0B79"/>
    <w:rsid w:val="00DD1799"/>
    <w:rsid w:val="00DD3579"/>
    <w:rsid w:val="00DD406D"/>
    <w:rsid w:val="00DD71BE"/>
    <w:rsid w:val="00DE20B6"/>
    <w:rsid w:val="00DE56F5"/>
    <w:rsid w:val="00DF0EFD"/>
    <w:rsid w:val="00DF4BE2"/>
    <w:rsid w:val="00DF7818"/>
    <w:rsid w:val="00E01288"/>
    <w:rsid w:val="00E037F8"/>
    <w:rsid w:val="00E03CAB"/>
    <w:rsid w:val="00E13030"/>
    <w:rsid w:val="00E14E22"/>
    <w:rsid w:val="00E3262B"/>
    <w:rsid w:val="00E32CCA"/>
    <w:rsid w:val="00E345A6"/>
    <w:rsid w:val="00E50125"/>
    <w:rsid w:val="00E503E2"/>
    <w:rsid w:val="00E5074D"/>
    <w:rsid w:val="00E53EF0"/>
    <w:rsid w:val="00E70DE4"/>
    <w:rsid w:val="00E84D25"/>
    <w:rsid w:val="00E9195A"/>
    <w:rsid w:val="00E9776C"/>
    <w:rsid w:val="00EA59F0"/>
    <w:rsid w:val="00EB4DCE"/>
    <w:rsid w:val="00EB55DB"/>
    <w:rsid w:val="00EB61C9"/>
    <w:rsid w:val="00EC4D5E"/>
    <w:rsid w:val="00ED0B10"/>
    <w:rsid w:val="00ED1EFB"/>
    <w:rsid w:val="00ED4555"/>
    <w:rsid w:val="00EF000E"/>
    <w:rsid w:val="00EF1046"/>
    <w:rsid w:val="00EF4BFB"/>
    <w:rsid w:val="00EF73F5"/>
    <w:rsid w:val="00F012BF"/>
    <w:rsid w:val="00F018DD"/>
    <w:rsid w:val="00F10C0D"/>
    <w:rsid w:val="00F13800"/>
    <w:rsid w:val="00F1692D"/>
    <w:rsid w:val="00F21D2F"/>
    <w:rsid w:val="00F22E37"/>
    <w:rsid w:val="00F23F1A"/>
    <w:rsid w:val="00F30573"/>
    <w:rsid w:val="00F516C0"/>
    <w:rsid w:val="00F52459"/>
    <w:rsid w:val="00F52DEE"/>
    <w:rsid w:val="00F53D1A"/>
    <w:rsid w:val="00F55222"/>
    <w:rsid w:val="00F55445"/>
    <w:rsid w:val="00F61709"/>
    <w:rsid w:val="00F618E1"/>
    <w:rsid w:val="00F6542B"/>
    <w:rsid w:val="00F6749C"/>
    <w:rsid w:val="00F7155D"/>
    <w:rsid w:val="00F8266E"/>
    <w:rsid w:val="00F86B5F"/>
    <w:rsid w:val="00FC2BAC"/>
    <w:rsid w:val="00FD4AD0"/>
    <w:rsid w:val="00FE0699"/>
    <w:rsid w:val="00FE149D"/>
    <w:rsid w:val="00FF023B"/>
    <w:rsid w:val="00FF3762"/>
    <w:rsid w:val="00FF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31"/>
  </w:style>
  <w:style w:type="paragraph" w:styleId="Heading1">
    <w:name w:val="heading 1"/>
    <w:basedOn w:val="Normal"/>
    <w:link w:val="Heading1Char"/>
    <w:uiPriority w:val="9"/>
    <w:qFormat/>
    <w:rsid w:val="001351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E4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3C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8C6"/>
    <w:pPr>
      <w:ind w:left="720"/>
      <w:contextualSpacing/>
    </w:pPr>
  </w:style>
  <w:style w:type="character" w:customStyle="1" w:styleId="Heading1Char">
    <w:name w:val="Heading 1 Char"/>
    <w:basedOn w:val="DefaultParagraphFont"/>
    <w:link w:val="Heading1"/>
    <w:uiPriority w:val="9"/>
    <w:rsid w:val="0013513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65E51"/>
    <w:rPr>
      <w:color w:val="0000FF" w:themeColor="hyperlink"/>
      <w:u w:val="single"/>
    </w:rPr>
  </w:style>
  <w:style w:type="character" w:customStyle="1" w:styleId="apple-converted-space">
    <w:name w:val="apple-converted-space"/>
    <w:basedOn w:val="DefaultParagraphFont"/>
    <w:rsid w:val="003E4552"/>
  </w:style>
  <w:style w:type="character" w:customStyle="1" w:styleId="Heading2Char">
    <w:name w:val="Heading 2 Char"/>
    <w:basedOn w:val="DefaultParagraphFont"/>
    <w:link w:val="Heading2"/>
    <w:uiPriority w:val="9"/>
    <w:rsid w:val="003E4552"/>
    <w:rPr>
      <w:rFonts w:asciiTheme="majorHAnsi" w:eastAsiaTheme="majorEastAsia" w:hAnsiTheme="majorHAnsi" w:cstheme="majorBidi"/>
      <w:b/>
      <w:bCs/>
      <w:color w:val="4F81BD" w:themeColor="accent1"/>
      <w:sz w:val="26"/>
      <w:szCs w:val="26"/>
    </w:rPr>
  </w:style>
  <w:style w:type="paragraph" w:customStyle="1" w:styleId="bibtop">
    <w:name w:val="bibtop"/>
    <w:basedOn w:val="Normal"/>
    <w:rsid w:val="003E455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32CBD"/>
    <w:rPr>
      <w:color w:val="800080" w:themeColor="followedHyperlink"/>
      <w:u w:val="single"/>
    </w:rPr>
  </w:style>
  <w:style w:type="paragraph" w:styleId="NormalWeb">
    <w:name w:val="Normal (Web)"/>
    <w:basedOn w:val="Normal"/>
    <w:uiPriority w:val="99"/>
    <w:unhideWhenUsed/>
    <w:rsid w:val="002B0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AA58F6"/>
  </w:style>
  <w:style w:type="character" w:styleId="Emphasis">
    <w:name w:val="Emphasis"/>
    <w:basedOn w:val="DefaultParagraphFont"/>
    <w:uiPriority w:val="20"/>
    <w:qFormat/>
    <w:rsid w:val="00AA58F6"/>
    <w:rPr>
      <w:i/>
      <w:iCs/>
    </w:rPr>
  </w:style>
  <w:style w:type="character" w:customStyle="1" w:styleId="st">
    <w:name w:val="st"/>
    <w:basedOn w:val="DefaultParagraphFont"/>
    <w:rsid w:val="00AA58F6"/>
  </w:style>
  <w:style w:type="paragraph" w:styleId="EndnoteText">
    <w:name w:val="endnote text"/>
    <w:basedOn w:val="Normal"/>
    <w:link w:val="EndnoteTextChar"/>
    <w:uiPriority w:val="99"/>
    <w:semiHidden/>
    <w:unhideWhenUsed/>
    <w:rsid w:val="007D1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423"/>
    <w:rPr>
      <w:sz w:val="20"/>
      <w:szCs w:val="20"/>
    </w:rPr>
  </w:style>
  <w:style w:type="character" w:styleId="EndnoteReference">
    <w:name w:val="endnote reference"/>
    <w:basedOn w:val="DefaultParagraphFont"/>
    <w:uiPriority w:val="99"/>
    <w:semiHidden/>
    <w:unhideWhenUsed/>
    <w:rsid w:val="007D1423"/>
    <w:rPr>
      <w:vertAlign w:val="superscript"/>
    </w:rPr>
  </w:style>
  <w:style w:type="character" w:styleId="Strong">
    <w:name w:val="Strong"/>
    <w:basedOn w:val="DefaultParagraphFont"/>
    <w:uiPriority w:val="22"/>
    <w:qFormat/>
    <w:rsid w:val="004E3D34"/>
    <w:rPr>
      <w:b/>
      <w:bCs/>
    </w:rPr>
  </w:style>
  <w:style w:type="paragraph" w:styleId="PlainText">
    <w:name w:val="Plain Text"/>
    <w:basedOn w:val="Normal"/>
    <w:link w:val="PlainTextChar"/>
    <w:uiPriority w:val="99"/>
    <w:unhideWhenUsed/>
    <w:rsid w:val="006E1FE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E1FE2"/>
    <w:rPr>
      <w:rFonts w:ascii="Calibri" w:eastAsiaTheme="minorHAnsi" w:hAnsi="Calibri"/>
      <w:szCs w:val="21"/>
      <w:lang w:eastAsia="en-US"/>
    </w:rPr>
  </w:style>
  <w:style w:type="character" w:customStyle="1" w:styleId="Heading3Char">
    <w:name w:val="Heading 3 Char"/>
    <w:basedOn w:val="DefaultParagraphFont"/>
    <w:link w:val="Heading3"/>
    <w:uiPriority w:val="9"/>
    <w:rsid w:val="00BC3C7A"/>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943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636"/>
    <w:rPr>
      <w:sz w:val="20"/>
      <w:szCs w:val="20"/>
    </w:rPr>
  </w:style>
  <w:style w:type="character" w:styleId="FootnoteReference">
    <w:name w:val="footnote reference"/>
    <w:basedOn w:val="DefaultParagraphFont"/>
    <w:uiPriority w:val="99"/>
    <w:semiHidden/>
    <w:unhideWhenUsed/>
    <w:rsid w:val="00943636"/>
    <w:rPr>
      <w:vertAlign w:val="superscript"/>
    </w:rPr>
  </w:style>
  <w:style w:type="paragraph" w:customStyle="1" w:styleId="volissue">
    <w:name w:val="volissue"/>
    <w:basedOn w:val="Normal"/>
    <w:rsid w:val="00B4444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471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12F5"/>
  </w:style>
  <w:style w:type="paragraph" w:styleId="Footer">
    <w:name w:val="footer"/>
    <w:basedOn w:val="Normal"/>
    <w:link w:val="FooterChar"/>
    <w:uiPriority w:val="99"/>
    <w:semiHidden/>
    <w:unhideWhenUsed/>
    <w:rsid w:val="004712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1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51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E45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3C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8C6"/>
    <w:pPr>
      <w:ind w:left="720"/>
      <w:contextualSpacing/>
    </w:pPr>
  </w:style>
  <w:style w:type="character" w:customStyle="1" w:styleId="Heading1Char">
    <w:name w:val="Heading 1 Char"/>
    <w:basedOn w:val="DefaultParagraphFont"/>
    <w:link w:val="Heading1"/>
    <w:uiPriority w:val="9"/>
    <w:rsid w:val="0013513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65E51"/>
    <w:rPr>
      <w:color w:val="0000FF" w:themeColor="hyperlink"/>
      <w:u w:val="single"/>
    </w:rPr>
  </w:style>
  <w:style w:type="character" w:customStyle="1" w:styleId="apple-converted-space">
    <w:name w:val="apple-converted-space"/>
    <w:basedOn w:val="DefaultParagraphFont"/>
    <w:rsid w:val="003E4552"/>
  </w:style>
  <w:style w:type="character" w:customStyle="1" w:styleId="Heading2Char">
    <w:name w:val="Heading 2 Char"/>
    <w:basedOn w:val="DefaultParagraphFont"/>
    <w:link w:val="Heading2"/>
    <w:uiPriority w:val="9"/>
    <w:rsid w:val="003E4552"/>
    <w:rPr>
      <w:rFonts w:asciiTheme="majorHAnsi" w:eastAsiaTheme="majorEastAsia" w:hAnsiTheme="majorHAnsi" w:cstheme="majorBidi"/>
      <w:b/>
      <w:bCs/>
      <w:color w:val="4F81BD" w:themeColor="accent1"/>
      <w:sz w:val="26"/>
      <w:szCs w:val="26"/>
    </w:rPr>
  </w:style>
  <w:style w:type="paragraph" w:customStyle="1" w:styleId="bibtop">
    <w:name w:val="bibtop"/>
    <w:basedOn w:val="Normal"/>
    <w:rsid w:val="003E455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32CBD"/>
    <w:rPr>
      <w:color w:val="800080" w:themeColor="followedHyperlink"/>
      <w:u w:val="single"/>
    </w:rPr>
  </w:style>
  <w:style w:type="paragraph" w:styleId="NormalWeb">
    <w:name w:val="Normal (Web)"/>
    <w:basedOn w:val="Normal"/>
    <w:uiPriority w:val="99"/>
    <w:unhideWhenUsed/>
    <w:rsid w:val="002B0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AA58F6"/>
  </w:style>
  <w:style w:type="character" w:styleId="Emphasis">
    <w:name w:val="Emphasis"/>
    <w:basedOn w:val="DefaultParagraphFont"/>
    <w:uiPriority w:val="20"/>
    <w:qFormat/>
    <w:rsid w:val="00AA58F6"/>
    <w:rPr>
      <w:i/>
      <w:iCs/>
    </w:rPr>
  </w:style>
  <w:style w:type="character" w:customStyle="1" w:styleId="st">
    <w:name w:val="st"/>
    <w:basedOn w:val="DefaultParagraphFont"/>
    <w:rsid w:val="00AA58F6"/>
  </w:style>
  <w:style w:type="paragraph" w:styleId="EndnoteText">
    <w:name w:val="endnote text"/>
    <w:basedOn w:val="Normal"/>
    <w:link w:val="EndnoteTextChar"/>
    <w:uiPriority w:val="99"/>
    <w:semiHidden/>
    <w:unhideWhenUsed/>
    <w:rsid w:val="007D1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1423"/>
    <w:rPr>
      <w:sz w:val="20"/>
      <w:szCs w:val="20"/>
    </w:rPr>
  </w:style>
  <w:style w:type="character" w:styleId="EndnoteReference">
    <w:name w:val="endnote reference"/>
    <w:basedOn w:val="DefaultParagraphFont"/>
    <w:uiPriority w:val="99"/>
    <w:semiHidden/>
    <w:unhideWhenUsed/>
    <w:rsid w:val="007D1423"/>
    <w:rPr>
      <w:vertAlign w:val="superscript"/>
    </w:rPr>
  </w:style>
  <w:style w:type="character" w:styleId="Strong">
    <w:name w:val="Strong"/>
    <w:basedOn w:val="DefaultParagraphFont"/>
    <w:uiPriority w:val="22"/>
    <w:qFormat/>
    <w:rsid w:val="004E3D34"/>
    <w:rPr>
      <w:b/>
      <w:bCs/>
    </w:rPr>
  </w:style>
  <w:style w:type="paragraph" w:styleId="PlainText">
    <w:name w:val="Plain Text"/>
    <w:basedOn w:val="Normal"/>
    <w:link w:val="PlainTextChar"/>
    <w:uiPriority w:val="99"/>
    <w:unhideWhenUsed/>
    <w:rsid w:val="006E1FE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E1FE2"/>
    <w:rPr>
      <w:rFonts w:ascii="Calibri" w:eastAsiaTheme="minorHAnsi" w:hAnsi="Calibri"/>
      <w:szCs w:val="21"/>
      <w:lang w:eastAsia="en-US"/>
    </w:rPr>
  </w:style>
  <w:style w:type="character" w:customStyle="1" w:styleId="Heading3Char">
    <w:name w:val="Heading 3 Char"/>
    <w:basedOn w:val="DefaultParagraphFont"/>
    <w:link w:val="Heading3"/>
    <w:uiPriority w:val="9"/>
    <w:rsid w:val="00BC3C7A"/>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943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3636"/>
    <w:rPr>
      <w:sz w:val="20"/>
      <w:szCs w:val="20"/>
    </w:rPr>
  </w:style>
  <w:style w:type="character" w:styleId="FootnoteReference">
    <w:name w:val="footnote reference"/>
    <w:basedOn w:val="DefaultParagraphFont"/>
    <w:uiPriority w:val="99"/>
    <w:semiHidden/>
    <w:unhideWhenUsed/>
    <w:rsid w:val="00943636"/>
    <w:rPr>
      <w:vertAlign w:val="superscript"/>
    </w:rPr>
  </w:style>
  <w:style w:type="paragraph" w:customStyle="1" w:styleId="volissue">
    <w:name w:val="volissue"/>
    <w:basedOn w:val="Normal"/>
    <w:rsid w:val="00B44448"/>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5297">
      <w:bodyDiv w:val="1"/>
      <w:marLeft w:val="0"/>
      <w:marRight w:val="0"/>
      <w:marTop w:val="0"/>
      <w:marBottom w:val="0"/>
      <w:divBdr>
        <w:top w:val="none" w:sz="0" w:space="0" w:color="auto"/>
        <w:left w:val="none" w:sz="0" w:space="0" w:color="auto"/>
        <w:bottom w:val="none" w:sz="0" w:space="0" w:color="auto"/>
        <w:right w:val="none" w:sz="0" w:space="0" w:color="auto"/>
      </w:divBdr>
    </w:div>
    <w:div w:id="260450280">
      <w:bodyDiv w:val="1"/>
      <w:marLeft w:val="0"/>
      <w:marRight w:val="0"/>
      <w:marTop w:val="0"/>
      <w:marBottom w:val="0"/>
      <w:divBdr>
        <w:top w:val="none" w:sz="0" w:space="0" w:color="auto"/>
        <w:left w:val="none" w:sz="0" w:space="0" w:color="auto"/>
        <w:bottom w:val="none" w:sz="0" w:space="0" w:color="auto"/>
        <w:right w:val="none" w:sz="0" w:space="0" w:color="auto"/>
      </w:divBdr>
    </w:div>
    <w:div w:id="297690764">
      <w:bodyDiv w:val="1"/>
      <w:marLeft w:val="0"/>
      <w:marRight w:val="0"/>
      <w:marTop w:val="0"/>
      <w:marBottom w:val="0"/>
      <w:divBdr>
        <w:top w:val="none" w:sz="0" w:space="0" w:color="auto"/>
        <w:left w:val="none" w:sz="0" w:space="0" w:color="auto"/>
        <w:bottom w:val="none" w:sz="0" w:space="0" w:color="auto"/>
        <w:right w:val="none" w:sz="0" w:space="0" w:color="auto"/>
      </w:divBdr>
    </w:div>
    <w:div w:id="337002320">
      <w:bodyDiv w:val="1"/>
      <w:marLeft w:val="0"/>
      <w:marRight w:val="0"/>
      <w:marTop w:val="0"/>
      <w:marBottom w:val="0"/>
      <w:divBdr>
        <w:top w:val="none" w:sz="0" w:space="0" w:color="auto"/>
        <w:left w:val="none" w:sz="0" w:space="0" w:color="auto"/>
        <w:bottom w:val="none" w:sz="0" w:space="0" w:color="auto"/>
        <w:right w:val="none" w:sz="0" w:space="0" w:color="auto"/>
      </w:divBdr>
    </w:div>
    <w:div w:id="340082605">
      <w:bodyDiv w:val="1"/>
      <w:marLeft w:val="0"/>
      <w:marRight w:val="0"/>
      <w:marTop w:val="0"/>
      <w:marBottom w:val="0"/>
      <w:divBdr>
        <w:top w:val="none" w:sz="0" w:space="0" w:color="auto"/>
        <w:left w:val="none" w:sz="0" w:space="0" w:color="auto"/>
        <w:bottom w:val="none" w:sz="0" w:space="0" w:color="auto"/>
        <w:right w:val="none" w:sz="0" w:space="0" w:color="auto"/>
      </w:divBdr>
    </w:div>
    <w:div w:id="365830785">
      <w:bodyDiv w:val="1"/>
      <w:marLeft w:val="0"/>
      <w:marRight w:val="0"/>
      <w:marTop w:val="0"/>
      <w:marBottom w:val="0"/>
      <w:divBdr>
        <w:top w:val="none" w:sz="0" w:space="0" w:color="auto"/>
        <w:left w:val="none" w:sz="0" w:space="0" w:color="auto"/>
        <w:bottom w:val="none" w:sz="0" w:space="0" w:color="auto"/>
        <w:right w:val="none" w:sz="0" w:space="0" w:color="auto"/>
      </w:divBdr>
    </w:div>
    <w:div w:id="369230748">
      <w:bodyDiv w:val="1"/>
      <w:marLeft w:val="0"/>
      <w:marRight w:val="0"/>
      <w:marTop w:val="0"/>
      <w:marBottom w:val="0"/>
      <w:divBdr>
        <w:top w:val="none" w:sz="0" w:space="0" w:color="auto"/>
        <w:left w:val="none" w:sz="0" w:space="0" w:color="auto"/>
        <w:bottom w:val="none" w:sz="0" w:space="0" w:color="auto"/>
        <w:right w:val="none" w:sz="0" w:space="0" w:color="auto"/>
      </w:divBdr>
    </w:div>
    <w:div w:id="506872403">
      <w:bodyDiv w:val="1"/>
      <w:marLeft w:val="0"/>
      <w:marRight w:val="0"/>
      <w:marTop w:val="0"/>
      <w:marBottom w:val="0"/>
      <w:divBdr>
        <w:top w:val="none" w:sz="0" w:space="0" w:color="auto"/>
        <w:left w:val="none" w:sz="0" w:space="0" w:color="auto"/>
        <w:bottom w:val="none" w:sz="0" w:space="0" w:color="auto"/>
        <w:right w:val="none" w:sz="0" w:space="0" w:color="auto"/>
      </w:divBdr>
    </w:div>
    <w:div w:id="561135654">
      <w:bodyDiv w:val="1"/>
      <w:marLeft w:val="0"/>
      <w:marRight w:val="0"/>
      <w:marTop w:val="0"/>
      <w:marBottom w:val="0"/>
      <w:divBdr>
        <w:top w:val="none" w:sz="0" w:space="0" w:color="auto"/>
        <w:left w:val="none" w:sz="0" w:space="0" w:color="auto"/>
        <w:bottom w:val="none" w:sz="0" w:space="0" w:color="auto"/>
        <w:right w:val="none" w:sz="0" w:space="0" w:color="auto"/>
      </w:divBdr>
    </w:div>
    <w:div w:id="562641978">
      <w:bodyDiv w:val="1"/>
      <w:marLeft w:val="0"/>
      <w:marRight w:val="0"/>
      <w:marTop w:val="0"/>
      <w:marBottom w:val="0"/>
      <w:divBdr>
        <w:top w:val="none" w:sz="0" w:space="0" w:color="auto"/>
        <w:left w:val="none" w:sz="0" w:space="0" w:color="auto"/>
        <w:bottom w:val="none" w:sz="0" w:space="0" w:color="auto"/>
        <w:right w:val="none" w:sz="0" w:space="0" w:color="auto"/>
      </w:divBdr>
    </w:div>
    <w:div w:id="585651887">
      <w:bodyDiv w:val="1"/>
      <w:marLeft w:val="0"/>
      <w:marRight w:val="0"/>
      <w:marTop w:val="0"/>
      <w:marBottom w:val="0"/>
      <w:divBdr>
        <w:top w:val="none" w:sz="0" w:space="0" w:color="auto"/>
        <w:left w:val="none" w:sz="0" w:space="0" w:color="auto"/>
        <w:bottom w:val="none" w:sz="0" w:space="0" w:color="auto"/>
        <w:right w:val="none" w:sz="0" w:space="0" w:color="auto"/>
      </w:divBdr>
    </w:div>
    <w:div w:id="647176524">
      <w:bodyDiv w:val="1"/>
      <w:marLeft w:val="0"/>
      <w:marRight w:val="0"/>
      <w:marTop w:val="0"/>
      <w:marBottom w:val="0"/>
      <w:divBdr>
        <w:top w:val="none" w:sz="0" w:space="0" w:color="auto"/>
        <w:left w:val="none" w:sz="0" w:space="0" w:color="auto"/>
        <w:bottom w:val="none" w:sz="0" w:space="0" w:color="auto"/>
        <w:right w:val="none" w:sz="0" w:space="0" w:color="auto"/>
      </w:divBdr>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37166798">
      <w:bodyDiv w:val="1"/>
      <w:marLeft w:val="0"/>
      <w:marRight w:val="0"/>
      <w:marTop w:val="0"/>
      <w:marBottom w:val="0"/>
      <w:divBdr>
        <w:top w:val="none" w:sz="0" w:space="0" w:color="auto"/>
        <w:left w:val="none" w:sz="0" w:space="0" w:color="auto"/>
        <w:bottom w:val="none" w:sz="0" w:space="0" w:color="auto"/>
        <w:right w:val="none" w:sz="0" w:space="0" w:color="auto"/>
      </w:divBdr>
    </w:div>
    <w:div w:id="748042228">
      <w:bodyDiv w:val="1"/>
      <w:marLeft w:val="0"/>
      <w:marRight w:val="0"/>
      <w:marTop w:val="0"/>
      <w:marBottom w:val="0"/>
      <w:divBdr>
        <w:top w:val="none" w:sz="0" w:space="0" w:color="auto"/>
        <w:left w:val="none" w:sz="0" w:space="0" w:color="auto"/>
        <w:bottom w:val="none" w:sz="0" w:space="0" w:color="auto"/>
        <w:right w:val="none" w:sz="0" w:space="0" w:color="auto"/>
      </w:divBdr>
    </w:div>
    <w:div w:id="753668849">
      <w:bodyDiv w:val="1"/>
      <w:marLeft w:val="0"/>
      <w:marRight w:val="0"/>
      <w:marTop w:val="0"/>
      <w:marBottom w:val="0"/>
      <w:divBdr>
        <w:top w:val="none" w:sz="0" w:space="0" w:color="auto"/>
        <w:left w:val="none" w:sz="0" w:space="0" w:color="auto"/>
        <w:bottom w:val="none" w:sz="0" w:space="0" w:color="auto"/>
        <w:right w:val="none" w:sz="0" w:space="0" w:color="auto"/>
      </w:divBdr>
      <w:divsChild>
        <w:div w:id="436145748">
          <w:marLeft w:val="0"/>
          <w:marRight w:val="0"/>
          <w:marTop w:val="0"/>
          <w:marBottom w:val="0"/>
          <w:divBdr>
            <w:top w:val="none" w:sz="0" w:space="0" w:color="auto"/>
            <w:left w:val="none" w:sz="0" w:space="0" w:color="auto"/>
            <w:bottom w:val="none" w:sz="0" w:space="0" w:color="auto"/>
            <w:right w:val="none" w:sz="0" w:space="0" w:color="auto"/>
          </w:divBdr>
        </w:div>
      </w:divsChild>
    </w:div>
    <w:div w:id="794372783">
      <w:bodyDiv w:val="1"/>
      <w:marLeft w:val="0"/>
      <w:marRight w:val="0"/>
      <w:marTop w:val="0"/>
      <w:marBottom w:val="0"/>
      <w:divBdr>
        <w:top w:val="none" w:sz="0" w:space="0" w:color="auto"/>
        <w:left w:val="none" w:sz="0" w:space="0" w:color="auto"/>
        <w:bottom w:val="none" w:sz="0" w:space="0" w:color="auto"/>
        <w:right w:val="none" w:sz="0" w:space="0" w:color="auto"/>
      </w:divBdr>
    </w:div>
    <w:div w:id="850414246">
      <w:bodyDiv w:val="1"/>
      <w:marLeft w:val="0"/>
      <w:marRight w:val="0"/>
      <w:marTop w:val="0"/>
      <w:marBottom w:val="0"/>
      <w:divBdr>
        <w:top w:val="none" w:sz="0" w:space="0" w:color="auto"/>
        <w:left w:val="none" w:sz="0" w:space="0" w:color="auto"/>
        <w:bottom w:val="none" w:sz="0" w:space="0" w:color="auto"/>
        <w:right w:val="none" w:sz="0" w:space="0" w:color="auto"/>
      </w:divBdr>
    </w:div>
    <w:div w:id="870261292">
      <w:bodyDiv w:val="1"/>
      <w:marLeft w:val="0"/>
      <w:marRight w:val="0"/>
      <w:marTop w:val="0"/>
      <w:marBottom w:val="0"/>
      <w:divBdr>
        <w:top w:val="none" w:sz="0" w:space="0" w:color="auto"/>
        <w:left w:val="none" w:sz="0" w:space="0" w:color="auto"/>
        <w:bottom w:val="none" w:sz="0" w:space="0" w:color="auto"/>
        <w:right w:val="none" w:sz="0" w:space="0" w:color="auto"/>
      </w:divBdr>
    </w:div>
    <w:div w:id="905578290">
      <w:bodyDiv w:val="1"/>
      <w:marLeft w:val="0"/>
      <w:marRight w:val="0"/>
      <w:marTop w:val="0"/>
      <w:marBottom w:val="0"/>
      <w:divBdr>
        <w:top w:val="none" w:sz="0" w:space="0" w:color="auto"/>
        <w:left w:val="none" w:sz="0" w:space="0" w:color="auto"/>
        <w:bottom w:val="none" w:sz="0" w:space="0" w:color="auto"/>
        <w:right w:val="none" w:sz="0" w:space="0" w:color="auto"/>
      </w:divBdr>
    </w:div>
    <w:div w:id="953171195">
      <w:bodyDiv w:val="1"/>
      <w:marLeft w:val="0"/>
      <w:marRight w:val="0"/>
      <w:marTop w:val="0"/>
      <w:marBottom w:val="0"/>
      <w:divBdr>
        <w:top w:val="none" w:sz="0" w:space="0" w:color="auto"/>
        <w:left w:val="none" w:sz="0" w:space="0" w:color="auto"/>
        <w:bottom w:val="none" w:sz="0" w:space="0" w:color="auto"/>
        <w:right w:val="none" w:sz="0" w:space="0" w:color="auto"/>
      </w:divBdr>
    </w:div>
    <w:div w:id="984090408">
      <w:bodyDiv w:val="1"/>
      <w:marLeft w:val="0"/>
      <w:marRight w:val="0"/>
      <w:marTop w:val="0"/>
      <w:marBottom w:val="0"/>
      <w:divBdr>
        <w:top w:val="none" w:sz="0" w:space="0" w:color="auto"/>
        <w:left w:val="none" w:sz="0" w:space="0" w:color="auto"/>
        <w:bottom w:val="none" w:sz="0" w:space="0" w:color="auto"/>
        <w:right w:val="none" w:sz="0" w:space="0" w:color="auto"/>
      </w:divBdr>
    </w:div>
    <w:div w:id="1088621909">
      <w:bodyDiv w:val="1"/>
      <w:marLeft w:val="0"/>
      <w:marRight w:val="0"/>
      <w:marTop w:val="0"/>
      <w:marBottom w:val="0"/>
      <w:divBdr>
        <w:top w:val="none" w:sz="0" w:space="0" w:color="auto"/>
        <w:left w:val="none" w:sz="0" w:space="0" w:color="auto"/>
        <w:bottom w:val="none" w:sz="0" w:space="0" w:color="auto"/>
        <w:right w:val="none" w:sz="0" w:space="0" w:color="auto"/>
      </w:divBdr>
    </w:div>
    <w:div w:id="1149711032">
      <w:bodyDiv w:val="1"/>
      <w:marLeft w:val="0"/>
      <w:marRight w:val="0"/>
      <w:marTop w:val="0"/>
      <w:marBottom w:val="0"/>
      <w:divBdr>
        <w:top w:val="none" w:sz="0" w:space="0" w:color="auto"/>
        <w:left w:val="none" w:sz="0" w:space="0" w:color="auto"/>
        <w:bottom w:val="none" w:sz="0" w:space="0" w:color="auto"/>
        <w:right w:val="none" w:sz="0" w:space="0" w:color="auto"/>
      </w:divBdr>
    </w:div>
    <w:div w:id="1150902987">
      <w:bodyDiv w:val="1"/>
      <w:marLeft w:val="0"/>
      <w:marRight w:val="0"/>
      <w:marTop w:val="0"/>
      <w:marBottom w:val="0"/>
      <w:divBdr>
        <w:top w:val="none" w:sz="0" w:space="0" w:color="auto"/>
        <w:left w:val="none" w:sz="0" w:space="0" w:color="auto"/>
        <w:bottom w:val="none" w:sz="0" w:space="0" w:color="auto"/>
        <w:right w:val="none" w:sz="0" w:space="0" w:color="auto"/>
      </w:divBdr>
    </w:div>
    <w:div w:id="1181359276">
      <w:bodyDiv w:val="1"/>
      <w:marLeft w:val="0"/>
      <w:marRight w:val="0"/>
      <w:marTop w:val="0"/>
      <w:marBottom w:val="0"/>
      <w:divBdr>
        <w:top w:val="none" w:sz="0" w:space="0" w:color="auto"/>
        <w:left w:val="none" w:sz="0" w:space="0" w:color="auto"/>
        <w:bottom w:val="none" w:sz="0" w:space="0" w:color="auto"/>
        <w:right w:val="none" w:sz="0" w:space="0" w:color="auto"/>
      </w:divBdr>
    </w:div>
    <w:div w:id="1261111078">
      <w:bodyDiv w:val="1"/>
      <w:marLeft w:val="0"/>
      <w:marRight w:val="0"/>
      <w:marTop w:val="0"/>
      <w:marBottom w:val="0"/>
      <w:divBdr>
        <w:top w:val="none" w:sz="0" w:space="0" w:color="auto"/>
        <w:left w:val="none" w:sz="0" w:space="0" w:color="auto"/>
        <w:bottom w:val="none" w:sz="0" w:space="0" w:color="auto"/>
        <w:right w:val="none" w:sz="0" w:space="0" w:color="auto"/>
      </w:divBdr>
    </w:div>
    <w:div w:id="1279608097">
      <w:bodyDiv w:val="1"/>
      <w:marLeft w:val="0"/>
      <w:marRight w:val="0"/>
      <w:marTop w:val="0"/>
      <w:marBottom w:val="0"/>
      <w:divBdr>
        <w:top w:val="none" w:sz="0" w:space="0" w:color="auto"/>
        <w:left w:val="none" w:sz="0" w:space="0" w:color="auto"/>
        <w:bottom w:val="none" w:sz="0" w:space="0" w:color="auto"/>
        <w:right w:val="none" w:sz="0" w:space="0" w:color="auto"/>
      </w:divBdr>
    </w:div>
    <w:div w:id="1411923546">
      <w:bodyDiv w:val="1"/>
      <w:marLeft w:val="0"/>
      <w:marRight w:val="0"/>
      <w:marTop w:val="0"/>
      <w:marBottom w:val="0"/>
      <w:divBdr>
        <w:top w:val="none" w:sz="0" w:space="0" w:color="auto"/>
        <w:left w:val="none" w:sz="0" w:space="0" w:color="auto"/>
        <w:bottom w:val="none" w:sz="0" w:space="0" w:color="auto"/>
        <w:right w:val="none" w:sz="0" w:space="0" w:color="auto"/>
      </w:divBdr>
    </w:div>
    <w:div w:id="1475367158">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
    <w:div w:id="1613588083">
      <w:bodyDiv w:val="1"/>
      <w:marLeft w:val="0"/>
      <w:marRight w:val="0"/>
      <w:marTop w:val="0"/>
      <w:marBottom w:val="0"/>
      <w:divBdr>
        <w:top w:val="none" w:sz="0" w:space="0" w:color="auto"/>
        <w:left w:val="none" w:sz="0" w:space="0" w:color="auto"/>
        <w:bottom w:val="none" w:sz="0" w:space="0" w:color="auto"/>
        <w:right w:val="none" w:sz="0" w:space="0" w:color="auto"/>
      </w:divBdr>
    </w:div>
    <w:div w:id="1627854041">
      <w:bodyDiv w:val="1"/>
      <w:marLeft w:val="0"/>
      <w:marRight w:val="0"/>
      <w:marTop w:val="0"/>
      <w:marBottom w:val="0"/>
      <w:divBdr>
        <w:top w:val="none" w:sz="0" w:space="0" w:color="auto"/>
        <w:left w:val="none" w:sz="0" w:space="0" w:color="auto"/>
        <w:bottom w:val="none" w:sz="0" w:space="0" w:color="auto"/>
        <w:right w:val="none" w:sz="0" w:space="0" w:color="auto"/>
      </w:divBdr>
    </w:div>
    <w:div w:id="1633826838">
      <w:bodyDiv w:val="1"/>
      <w:marLeft w:val="0"/>
      <w:marRight w:val="0"/>
      <w:marTop w:val="0"/>
      <w:marBottom w:val="0"/>
      <w:divBdr>
        <w:top w:val="none" w:sz="0" w:space="0" w:color="auto"/>
        <w:left w:val="none" w:sz="0" w:space="0" w:color="auto"/>
        <w:bottom w:val="none" w:sz="0" w:space="0" w:color="auto"/>
        <w:right w:val="none" w:sz="0" w:space="0" w:color="auto"/>
      </w:divBdr>
    </w:div>
    <w:div w:id="1652174041">
      <w:bodyDiv w:val="1"/>
      <w:marLeft w:val="0"/>
      <w:marRight w:val="0"/>
      <w:marTop w:val="0"/>
      <w:marBottom w:val="0"/>
      <w:divBdr>
        <w:top w:val="none" w:sz="0" w:space="0" w:color="auto"/>
        <w:left w:val="none" w:sz="0" w:space="0" w:color="auto"/>
        <w:bottom w:val="none" w:sz="0" w:space="0" w:color="auto"/>
        <w:right w:val="none" w:sz="0" w:space="0" w:color="auto"/>
      </w:divBdr>
    </w:div>
    <w:div w:id="1749307879">
      <w:bodyDiv w:val="1"/>
      <w:marLeft w:val="0"/>
      <w:marRight w:val="0"/>
      <w:marTop w:val="0"/>
      <w:marBottom w:val="0"/>
      <w:divBdr>
        <w:top w:val="none" w:sz="0" w:space="0" w:color="auto"/>
        <w:left w:val="none" w:sz="0" w:space="0" w:color="auto"/>
        <w:bottom w:val="none" w:sz="0" w:space="0" w:color="auto"/>
        <w:right w:val="none" w:sz="0" w:space="0" w:color="auto"/>
      </w:divBdr>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811046750">
      <w:bodyDiv w:val="1"/>
      <w:marLeft w:val="0"/>
      <w:marRight w:val="0"/>
      <w:marTop w:val="0"/>
      <w:marBottom w:val="0"/>
      <w:divBdr>
        <w:top w:val="none" w:sz="0" w:space="0" w:color="auto"/>
        <w:left w:val="none" w:sz="0" w:space="0" w:color="auto"/>
        <w:bottom w:val="none" w:sz="0" w:space="0" w:color="auto"/>
        <w:right w:val="none" w:sz="0" w:space="0" w:color="auto"/>
      </w:divBdr>
    </w:div>
    <w:div w:id="1845827092">
      <w:bodyDiv w:val="1"/>
      <w:marLeft w:val="0"/>
      <w:marRight w:val="0"/>
      <w:marTop w:val="0"/>
      <w:marBottom w:val="0"/>
      <w:divBdr>
        <w:top w:val="none" w:sz="0" w:space="0" w:color="auto"/>
        <w:left w:val="none" w:sz="0" w:space="0" w:color="auto"/>
        <w:bottom w:val="none" w:sz="0" w:space="0" w:color="auto"/>
        <w:right w:val="none" w:sz="0" w:space="0" w:color="auto"/>
      </w:divBdr>
    </w:div>
    <w:div w:id="1947879621">
      <w:bodyDiv w:val="1"/>
      <w:marLeft w:val="0"/>
      <w:marRight w:val="0"/>
      <w:marTop w:val="0"/>
      <w:marBottom w:val="0"/>
      <w:divBdr>
        <w:top w:val="none" w:sz="0" w:space="0" w:color="auto"/>
        <w:left w:val="none" w:sz="0" w:space="0" w:color="auto"/>
        <w:bottom w:val="none" w:sz="0" w:space="0" w:color="auto"/>
        <w:right w:val="none" w:sz="0" w:space="0" w:color="auto"/>
      </w:divBdr>
    </w:div>
    <w:div w:id="1955406423">
      <w:bodyDiv w:val="1"/>
      <w:marLeft w:val="0"/>
      <w:marRight w:val="0"/>
      <w:marTop w:val="0"/>
      <w:marBottom w:val="0"/>
      <w:divBdr>
        <w:top w:val="none" w:sz="0" w:space="0" w:color="auto"/>
        <w:left w:val="none" w:sz="0" w:space="0" w:color="auto"/>
        <w:bottom w:val="none" w:sz="0" w:space="0" w:color="auto"/>
        <w:right w:val="none" w:sz="0" w:space="0" w:color="auto"/>
      </w:divBdr>
    </w:div>
    <w:div w:id="2036808598">
      <w:bodyDiv w:val="1"/>
      <w:marLeft w:val="0"/>
      <w:marRight w:val="0"/>
      <w:marTop w:val="0"/>
      <w:marBottom w:val="0"/>
      <w:divBdr>
        <w:top w:val="none" w:sz="0" w:space="0" w:color="auto"/>
        <w:left w:val="none" w:sz="0" w:space="0" w:color="auto"/>
        <w:bottom w:val="none" w:sz="0" w:space="0" w:color="auto"/>
        <w:right w:val="none" w:sz="0" w:space="0" w:color="auto"/>
      </w:divBdr>
    </w:div>
    <w:div w:id="21460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ideas.repec.org/a/eee/jjieco/v25y2011i3p290-320.html" TargetMode="External"/><Relationship Id="rId13" Type="http://schemas.openxmlformats.org/officeDocument/2006/relationships/hyperlink" Target="http://www.nber.org/papers/w19854" TargetMode="External"/><Relationship Id="rId18" Type="http://schemas.openxmlformats.org/officeDocument/2006/relationships/hyperlink" Target="http://www.nber.org/people/joshua_aizenman" TargetMode="External"/><Relationship Id="rId26" Type="http://schemas.openxmlformats.org/officeDocument/2006/relationships/hyperlink" Target="http://www.nber.org/people/kent_daniel" TargetMode="External"/><Relationship Id="rId3" Type="http://schemas.openxmlformats.org/officeDocument/2006/relationships/hyperlink" Target="http://www.nber.org/papers/w20987" TargetMode="External"/><Relationship Id="rId21" Type="http://schemas.openxmlformats.org/officeDocument/2006/relationships/hyperlink" Target="http://www.nber.org/people/francis_warnock" TargetMode="External"/><Relationship Id="rId7" Type="http://schemas.openxmlformats.org/officeDocument/2006/relationships/hyperlink" Target="http://ideas.repec.org/a/eee/ecofin/v23y2012i3p269-285.html" TargetMode="External"/><Relationship Id="rId12" Type="http://schemas.openxmlformats.org/officeDocument/2006/relationships/hyperlink" Target="http://conference.nber.org/confer/2014/MPFSs14/summary.html" TargetMode="External"/><Relationship Id="rId17" Type="http://schemas.openxmlformats.org/officeDocument/2006/relationships/hyperlink" Target="http://www.nber.org/people/martin_bijsterbosch" TargetMode="External"/><Relationship Id="rId25" Type="http://schemas.openxmlformats.org/officeDocument/2006/relationships/hyperlink" Target="http://users.nber.org/~confer/2011/GFC11/program.html" TargetMode="External"/><Relationship Id="rId2" Type="http://schemas.openxmlformats.org/officeDocument/2006/relationships/hyperlink" Target="http://conference.nber.org/confer/2014/MPFSs14/forbes.pdf" TargetMode="External"/><Relationship Id="rId16" Type="http://schemas.openxmlformats.org/officeDocument/2006/relationships/hyperlink" Target="http://www.nber.org/people/matteo_falagiarda" TargetMode="External"/><Relationship Id="rId20" Type="http://schemas.openxmlformats.org/officeDocument/2006/relationships/hyperlink" Target="http://www.nber.org/people/kristin_forbes" TargetMode="External"/><Relationship Id="rId29" Type="http://schemas.openxmlformats.org/officeDocument/2006/relationships/hyperlink" Target="http://www.nber.org/papers/w19091" TargetMode="External"/><Relationship Id="rId1" Type="http://schemas.openxmlformats.org/officeDocument/2006/relationships/hyperlink" Target="http://conference.nber.org/confer/2014/MPFSs14/summary.html" TargetMode="External"/><Relationship Id="rId6" Type="http://schemas.openxmlformats.org/officeDocument/2006/relationships/hyperlink" Target="http://www.nber.org/papers/w17806" TargetMode="External"/><Relationship Id="rId11" Type="http://schemas.openxmlformats.org/officeDocument/2006/relationships/hyperlink" Target="http://scholar.harvard.edu/files/farhi/files/dilemma_not_trilemma_submission_updated.pdf" TargetMode="External"/><Relationship Id="rId24" Type="http://schemas.openxmlformats.org/officeDocument/2006/relationships/hyperlink" Target="http://users.nber.org/~confer/2011/GFC11/program.html" TargetMode="External"/><Relationship Id="rId5" Type="http://schemas.openxmlformats.org/officeDocument/2006/relationships/hyperlink" Target="http://ideas.repec.org/a/eee/jimfin/v49y2014ipap28-51.html" TargetMode="External"/><Relationship Id="rId15" Type="http://schemas.openxmlformats.org/officeDocument/2006/relationships/hyperlink" Target="http://www.nber.org/people/gurnain_pasricha" TargetMode="External"/><Relationship Id="rId23" Type="http://schemas.openxmlformats.org/officeDocument/2006/relationships/hyperlink" Target="http://ideas.repec.org/a/eee/inecon/v88y2012i2p235-251.html" TargetMode="External"/><Relationship Id="rId28" Type="http://schemas.openxmlformats.org/officeDocument/2006/relationships/hyperlink" Target="http://www.nber.org/papers/w20433" TargetMode="External"/><Relationship Id="rId10" Type="http://schemas.openxmlformats.org/officeDocument/2006/relationships/hyperlink" Target="http://www.nber.org/papers/w19461" TargetMode="External"/><Relationship Id="rId19" Type="http://schemas.openxmlformats.org/officeDocument/2006/relationships/hyperlink" Target="http://www.nber.org/papers/w20822" TargetMode="External"/><Relationship Id="rId4" Type="http://schemas.openxmlformats.org/officeDocument/2006/relationships/hyperlink" Target="http://www.nber.org/papers/w19448" TargetMode="External"/><Relationship Id="rId9" Type="http://schemas.openxmlformats.org/officeDocument/2006/relationships/hyperlink" Target="http://www.nber.org/papers/w15876" TargetMode="External"/><Relationship Id="rId14" Type="http://schemas.openxmlformats.org/officeDocument/2006/relationships/hyperlink" Target="http://www.nber.org/papers/w19854" TargetMode="External"/><Relationship Id="rId22" Type="http://schemas.openxmlformats.org/officeDocument/2006/relationships/hyperlink" Target="http://www.nber.org/papers/w17351" TargetMode="External"/><Relationship Id="rId27" Type="http://schemas.openxmlformats.org/officeDocument/2006/relationships/hyperlink" Target="http://www.nber.org/people/zhongjin_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2A089-0068-452C-AAF2-0466477A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2013-01-10T16:08:00Z</cp:lastPrinted>
  <dcterms:created xsi:type="dcterms:W3CDTF">2017-03-14T20:44:00Z</dcterms:created>
  <dcterms:modified xsi:type="dcterms:W3CDTF">2017-03-14T20:44:00Z</dcterms:modified>
</cp:coreProperties>
</file>