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69" w:rsidRDefault="00027397" w:rsidP="00EB3128">
      <w:pPr>
        <w:jc w:val="center"/>
        <w:rPr>
          <w:rFonts w:ascii="Times New Roman" w:hAnsi="Times New Roman"/>
        </w:rPr>
      </w:pPr>
      <w:r w:rsidRPr="006757DF">
        <w:rPr>
          <w:rFonts w:ascii="Times New Roman" w:hAnsi="Times New Roman"/>
          <w:sz w:val="18"/>
          <w:szCs w:val="18"/>
        </w:rPr>
        <w:t xml:space="preserve">                                                                                                                </w:t>
      </w:r>
      <w:r w:rsidR="00EA1DE1" w:rsidRPr="006757DF">
        <w:rPr>
          <w:rFonts w:ascii="Times New Roman" w:hAnsi="Times New Roman"/>
        </w:rPr>
        <w:t xml:space="preserve"> revised</w:t>
      </w:r>
      <w:r w:rsidR="004C4D1D" w:rsidRPr="006757DF">
        <w:rPr>
          <w:rFonts w:ascii="Times New Roman" w:hAnsi="Times New Roman"/>
        </w:rPr>
        <w:t xml:space="preserve"> </w:t>
      </w:r>
      <w:r w:rsidR="00EB3128" w:rsidRPr="006757DF">
        <w:rPr>
          <w:rFonts w:ascii="Times New Roman" w:hAnsi="Times New Roman"/>
        </w:rPr>
        <w:t>July</w:t>
      </w:r>
      <w:r w:rsidR="00861155">
        <w:rPr>
          <w:rFonts w:ascii="Times New Roman" w:hAnsi="Times New Roman"/>
        </w:rPr>
        <w:t xml:space="preserve"> 20</w:t>
      </w:r>
      <w:r w:rsidR="00426C42">
        <w:rPr>
          <w:rFonts w:ascii="Times New Roman" w:hAnsi="Times New Roman"/>
        </w:rPr>
        <w:t>, 2014</w:t>
      </w:r>
      <w:r w:rsidR="00026CBB" w:rsidRPr="006757DF">
        <w:rPr>
          <w:rFonts w:ascii="Times New Roman" w:hAnsi="Times New Roman"/>
        </w:rPr>
        <w:br/>
      </w:r>
    </w:p>
    <w:p w:rsidR="006B17C3" w:rsidRDefault="00027397" w:rsidP="00EB3128">
      <w:pPr>
        <w:jc w:val="center"/>
        <w:rPr>
          <w:rFonts w:ascii="Times New Roman" w:hAnsi="Times New Roman"/>
          <w:bCs/>
          <w:sz w:val="24"/>
          <w:szCs w:val="24"/>
        </w:rPr>
      </w:pPr>
      <w:r w:rsidRPr="006757DF">
        <w:rPr>
          <w:rFonts w:ascii="Times New Roman" w:hAnsi="Times New Roman"/>
        </w:rPr>
        <w:br/>
      </w:r>
      <w:r w:rsidR="001751C4" w:rsidRPr="006757DF">
        <w:rPr>
          <w:rFonts w:ascii="Times New Roman" w:hAnsi="Times New Roman"/>
          <w:b/>
          <w:sz w:val="28"/>
          <w:szCs w:val="28"/>
        </w:rPr>
        <w:t>Nominal GDP Targeting for Middle-Income Countries</w:t>
      </w:r>
      <w:r w:rsidRPr="006757DF">
        <w:rPr>
          <w:rFonts w:ascii="Times New Roman" w:hAnsi="Times New Roman"/>
          <w:b/>
          <w:sz w:val="8"/>
          <w:szCs w:val="8"/>
        </w:rPr>
        <w:br/>
      </w:r>
      <w:r w:rsidR="00026CBB" w:rsidRPr="006757DF">
        <w:rPr>
          <w:rFonts w:ascii="Times New Roman" w:hAnsi="Times New Roman"/>
        </w:rPr>
        <w:br/>
      </w:r>
      <w:r w:rsidR="001751C4" w:rsidRPr="006757DF">
        <w:rPr>
          <w:rFonts w:ascii="Times New Roman" w:hAnsi="Times New Roman"/>
        </w:rPr>
        <w:t>Jeffrey Frankel</w:t>
      </w:r>
      <w:r w:rsidR="00A05910" w:rsidRPr="006757DF">
        <w:rPr>
          <w:rFonts w:ascii="Times New Roman" w:hAnsi="Times New Roman"/>
        </w:rPr>
        <w:t xml:space="preserve">, </w:t>
      </w:r>
      <w:r w:rsidR="001751C4" w:rsidRPr="006757DF">
        <w:rPr>
          <w:rFonts w:ascii="Times New Roman" w:hAnsi="Times New Roman"/>
        </w:rPr>
        <w:t>Harpel Professor for Capital Formation and Growth, Harvard University</w:t>
      </w:r>
      <w:r w:rsidR="006B17C3" w:rsidRPr="006757DF">
        <w:rPr>
          <w:rFonts w:ascii="Times New Roman" w:hAnsi="Times New Roman"/>
        </w:rPr>
        <w:br/>
      </w:r>
      <w:r w:rsidR="00026CBB" w:rsidRPr="006757DF">
        <w:rPr>
          <w:rFonts w:ascii="Times New Roman" w:hAnsi="Times New Roman"/>
          <w:b/>
          <w:sz w:val="6"/>
          <w:szCs w:val="6"/>
        </w:rPr>
        <w:br/>
      </w:r>
      <w:r w:rsidRPr="006757DF">
        <w:rPr>
          <w:rFonts w:ascii="Times New Roman" w:hAnsi="Times New Roman"/>
          <w:b/>
          <w:sz w:val="6"/>
          <w:szCs w:val="6"/>
        </w:rPr>
        <w:br/>
      </w:r>
      <w:r w:rsidRPr="006757DF">
        <w:rPr>
          <w:rFonts w:ascii="Times New Roman" w:hAnsi="Times New Roman"/>
          <w:b/>
          <w:sz w:val="6"/>
          <w:szCs w:val="6"/>
        </w:rPr>
        <w:br/>
      </w:r>
      <w:r w:rsidR="006757DF" w:rsidRPr="00FF4758">
        <w:rPr>
          <w:rFonts w:ascii="Times New Roman" w:hAnsi="Times New Roman"/>
          <w:b/>
          <w:sz w:val="24"/>
          <w:szCs w:val="24"/>
        </w:rPr>
        <w:t>F</w:t>
      </w:r>
      <w:r w:rsidR="00A322F7" w:rsidRPr="00FF4758">
        <w:rPr>
          <w:rFonts w:ascii="Times New Roman" w:hAnsi="Times New Roman"/>
          <w:b/>
          <w:sz w:val="24"/>
          <w:szCs w:val="24"/>
        </w:rPr>
        <w:t xml:space="preserve">orthcoming in </w:t>
      </w:r>
      <w:r w:rsidR="001751C4" w:rsidRPr="00FF4758">
        <w:rPr>
          <w:rFonts w:ascii="Times New Roman" w:hAnsi="Times New Roman"/>
          <w:b/>
          <w:sz w:val="24"/>
          <w:szCs w:val="24"/>
        </w:rPr>
        <w:t xml:space="preserve">the </w:t>
      </w:r>
      <w:r w:rsidR="009F3E8A" w:rsidRPr="00FF4758">
        <w:rPr>
          <w:rFonts w:ascii="Times New Roman" w:hAnsi="Times New Roman"/>
          <w:b/>
          <w:i/>
          <w:sz w:val="24"/>
          <w:szCs w:val="24"/>
        </w:rPr>
        <w:t xml:space="preserve">Central Bank </w:t>
      </w:r>
      <w:r w:rsidR="001751C4" w:rsidRPr="00FF4758">
        <w:rPr>
          <w:rFonts w:ascii="Times New Roman" w:hAnsi="Times New Roman"/>
          <w:b/>
          <w:i/>
          <w:sz w:val="24"/>
          <w:szCs w:val="24"/>
        </w:rPr>
        <w:t>Review</w:t>
      </w:r>
      <w:r w:rsidR="001751C4" w:rsidRPr="00FF4758">
        <w:rPr>
          <w:rFonts w:ascii="Times New Roman" w:hAnsi="Times New Roman"/>
          <w:b/>
          <w:sz w:val="24"/>
          <w:szCs w:val="24"/>
        </w:rPr>
        <w:t>, of the Central Bank of the Republic of Turkey.</w:t>
      </w:r>
      <w:r w:rsidR="0016142A" w:rsidRPr="006757DF">
        <w:rPr>
          <w:rFonts w:ascii="Times New Roman" w:hAnsi="Times New Roman"/>
          <w:sz w:val="24"/>
          <w:szCs w:val="24"/>
        </w:rPr>
        <w:br/>
        <w:t xml:space="preserve">The author would like to thank Pranjul Bhandari and </w:t>
      </w:r>
      <w:r w:rsidR="0016142A" w:rsidRPr="006757DF">
        <w:rPr>
          <w:rFonts w:ascii="Times New Roman" w:hAnsi="Times New Roman"/>
          <w:bCs/>
          <w:sz w:val="24"/>
          <w:szCs w:val="24"/>
        </w:rPr>
        <w:t>Gulzar Natarajan</w:t>
      </w:r>
      <w:r w:rsidR="00286F1B" w:rsidRPr="006757DF">
        <w:rPr>
          <w:rFonts w:ascii="Times New Roman" w:hAnsi="Times New Roman"/>
          <w:bCs/>
          <w:sz w:val="24"/>
          <w:szCs w:val="24"/>
        </w:rPr>
        <w:t>.</w:t>
      </w:r>
      <w:r w:rsidR="00DC3A34">
        <w:rPr>
          <w:rFonts w:ascii="Times New Roman" w:hAnsi="Times New Roman"/>
          <w:bCs/>
          <w:sz w:val="24"/>
          <w:szCs w:val="24"/>
        </w:rPr>
        <w:br/>
      </w:r>
    </w:p>
    <w:p w:rsidR="00EE0D69" w:rsidRDefault="00EE0D69" w:rsidP="00EB3128">
      <w:pPr>
        <w:jc w:val="center"/>
        <w:rPr>
          <w:rFonts w:ascii="Times New Roman" w:hAnsi="Times New Roman"/>
          <w:bCs/>
          <w:sz w:val="24"/>
          <w:szCs w:val="24"/>
        </w:rPr>
      </w:pPr>
    </w:p>
    <w:p w:rsidR="00DB79AB" w:rsidRPr="00DC3A34" w:rsidRDefault="00DB79AB" w:rsidP="00EB3128">
      <w:pPr>
        <w:jc w:val="center"/>
        <w:rPr>
          <w:rFonts w:ascii="Times New Roman" w:hAnsi="Times New Roman"/>
          <w:bCs/>
          <w:i/>
          <w:u w:val="single"/>
        </w:rPr>
      </w:pPr>
      <w:r w:rsidRPr="00DC3A34">
        <w:rPr>
          <w:rFonts w:ascii="Times New Roman" w:hAnsi="Times New Roman"/>
          <w:bCs/>
          <w:i/>
          <w:u w:val="single"/>
        </w:rPr>
        <w:t>Abstract</w:t>
      </w:r>
    </w:p>
    <w:p w:rsidR="00DB79AB" w:rsidRDefault="00DB79AB" w:rsidP="00426C42">
      <w:pPr>
        <w:rPr>
          <w:rFonts w:ascii="Times New Roman" w:hAnsi="Times New Roman"/>
          <w:bCs/>
        </w:rPr>
      </w:pPr>
      <w:r w:rsidRPr="00DC3A34">
        <w:rPr>
          <w:rFonts w:ascii="Times New Roman" w:hAnsi="Times New Roman"/>
          <w:bCs/>
        </w:rPr>
        <w:t>It has been proposed that central banks should target Nominal GDP</w:t>
      </w:r>
      <w:r w:rsidR="001871C9">
        <w:rPr>
          <w:rFonts w:ascii="Times New Roman" w:hAnsi="Times New Roman"/>
          <w:bCs/>
        </w:rPr>
        <w:t xml:space="preserve"> (NGDP)</w:t>
      </w:r>
      <w:r w:rsidRPr="00DC3A34">
        <w:rPr>
          <w:rFonts w:ascii="Times New Roman" w:hAnsi="Times New Roman"/>
          <w:bCs/>
        </w:rPr>
        <w:t xml:space="preserve">, as an alternative to targeting the money supply, exchange rate, or inflation.  But the proposal appears in the context of </w:t>
      </w:r>
      <w:r w:rsidR="00DC3A34" w:rsidRPr="00DC3A34">
        <w:rPr>
          <w:rFonts w:ascii="Times New Roman" w:hAnsi="Times New Roman"/>
          <w:bCs/>
        </w:rPr>
        <w:t>the largest advanced economies.</w:t>
      </w:r>
      <w:r w:rsidRPr="00DC3A34">
        <w:rPr>
          <w:rFonts w:ascii="Times New Roman" w:hAnsi="Times New Roman"/>
          <w:bCs/>
        </w:rPr>
        <w:t xml:space="preserve">  </w:t>
      </w:r>
      <w:r w:rsidR="001871C9">
        <w:rPr>
          <w:rFonts w:ascii="Times New Roman" w:hAnsi="Times New Roman"/>
          <w:bCs/>
        </w:rPr>
        <w:t>In fact N</w:t>
      </w:r>
      <w:r w:rsidRPr="00DC3A34">
        <w:rPr>
          <w:rFonts w:ascii="Times New Roman" w:hAnsi="Times New Roman"/>
          <w:bCs/>
        </w:rPr>
        <w:t xml:space="preserve">GDP Targeting may be more appropriate for middle-sized middle-income countries.  The reason is that such countries are more often subject to large supply shocks and terms of trade shocks.  Such </w:t>
      </w:r>
      <w:r w:rsidR="00DC3A34" w:rsidRPr="00DC3A34">
        <w:rPr>
          <w:rFonts w:ascii="Times New Roman" w:hAnsi="Times New Roman"/>
          <w:bCs/>
        </w:rPr>
        <w:t xml:space="preserve">unexpected </w:t>
      </w:r>
      <w:r w:rsidRPr="00DC3A34">
        <w:rPr>
          <w:rFonts w:ascii="Times New Roman" w:hAnsi="Times New Roman"/>
          <w:bCs/>
        </w:rPr>
        <w:t xml:space="preserve">shocks can force the </w:t>
      </w:r>
      <w:r w:rsidR="00DC3A34" w:rsidRPr="00DC3A34">
        <w:rPr>
          <w:rFonts w:ascii="Times New Roman" w:hAnsi="Times New Roman"/>
          <w:bCs/>
        </w:rPr>
        <w:t xml:space="preserve">credibility-damaging </w:t>
      </w:r>
      <w:r w:rsidRPr="00DC3A34">
        <w:rPr>
          <w:rFonts w:ascii="Times New Roman" w:hAnsi="Times New Roman"/>
          <w:bCs/>
        </w:rPr>
        <w:t>abandonment of CPI targets or exchange rate targets that had been previously declared</w:t>
      </w:r>
      <w:r w:rsidR="00DC3A34" w:rsidRPr="00DC3A34">
        <w:rPr>
          <w:rFonts w:ascii="Times New Roman" w:hAnsi="Times New Roman"/>
          <w:bCs/>
        </w:rPr>
        <w:t xml:space="preserve">.  But they do not require the abandonment of a nominal GDP target, which </w:t>
      </w:r>
      <w:r w:rsidR="00426C42">
        <w:rPr>
          <w:rFonts w:ascii="Times New Roman" w:hAnsi="Times New Roman"/>
          <w:bCs/>
        </w:rPr>
        <w:t xml:space="preserve">automatically </w:t>
      </w:r>
      <w:r w:rsidR="00DC3A34" w:rsidRPr="00DC3A34">
        <w:rPr>
          <w:rFonts w:ascii="Times New Roman" w:hAnsi="Times New Roman"/>
          <w:bCs/>
        </w:rPr>
        <w:t xml:space="preserve">divides an adverse supply shock equally between impacts on inflation and real GDP. </w:t>
      </w:r>
      <w:r w:rsidR="00426C42">
        <w:rPr>
          <w:rFonts w:ascii="Times New Roman" w:hAnsi="Times New Roman"/>
          <w:bCs/>
        </w:rPr>
        <w:t xml:space="preserve"> </w:t>
      </w:r>
      <w:r w:rsidR="00DC3A34">
        <w:rPr>
          <w:rFonts w:ascii="Times New Roman" w:hAnsi="Times New Roman"/>
          <w:bCs/>
        </w:rPr>
        <w:t xml:space="preserve">The argument can be illustrated in a </w:t>
      </w:r>
      <w:r w:rsidR="00DC3A34" w:rsidRPr="00426C42">
        <w:rPr>
          <w:rFonts w:ascii="Times New Roman" w:hAnsi="Times New Roman"/>
          <w:bCs/>
        </w:rPr>
        <w:t>model where the ultimate objective is minimizing a quadratic loss function in output and inflation</w:t>
      </w:r>
      <w:r w:rsidR="00426C42">
        <w:rPr>
          <w:rFonts w:ascii="Times New Roman" w:hAnsi="Times New Roman"/>
          <w:bCs/>
        </w:rPr>
        <w:t xml:space="preserve"> but a credible rule is needed in order to prevent an inflationary bias that arises under discretion</w:t>
      </w:r>
      <w:r w:rsidR="00426C42" w:rsidRPr="00426C42">
        <w:rPr>
          <w:rFonts w:ascii="Times New Roman" w:hAnsi="Times New Roman"/>
          <w:bCs/>
        </w:rPr>
        <w:t>.</w:t>
      </w:r>
      <w:r w:rsidR="00426C42">
        <w:rPr>
          <w:rFonts w:ascii="Times New Roman" w:hAnsi="Times New Roman"/>
          <w:bCs/>
          <w:sz w:val="24"/>
          <w:szCs w:val="24"/>
        </w:rPr>
        <w:t xml:space="preserve">  A </w:t>
      </w:r>
      <w:r w:rsidR="00DC3A34" w:rsidRPr="00426C42">
        <w:rPr>
          <w:rFonts w:ascii="Times New Roman" w:hAnsi="Times New Roman"/>
          <w:bCs/>
        </w:rPr>
        <w:t xml:space="preserve">NGDP </w:t>
      </w:r>
      <w:r w:rsidR="00426C42">
        <w:rPr>
          <w:rFonts w:ascii="Times New Roman" w:hAnsi="Times New Roman"/>
          <w:bCs/>
        </w:rPr>
        <w:t>rule</w:t>
      </w:r>
      <w:r w:rsidR="00DC3A34" w:rsidRPr="00426C42">
        <w:rPr>
          <w:rFonts w:ascii="Times New Roman" w:hAnsi="Times New Roman"/>
          <w:bCs/>
        </w:rPr>
        <w:t xml:space="preserve"> dominates IT unless the Aggregate Supply curve is especially steep or the weight placed on price stab</w:t>
      </w:r>
      <w:r w:rsidR="00426C42" w:rsidRPr="00426C42">
        <w:rPr>
          <w:rFonts w:ascii="Times New Roman" w:hAnsi="Times New Roman"/>
          <w:bCs/>
        </w:rPr>
        <w:t xml:space="preserve">ility is especially high.  Parameters estimated </w:t>
      </w:r>
      <w:r w:rsidR="00DC3A34" w:rsidRPr="00426C42">
        <w:rPr>
          <w:rFonts w:ascii="Times New Roman" w:hAnsi="Times New Roman"/>
          <w:bCs/>
        </w:rPr>
        <w:t>f</w:t>
      </w:r>
      <w:r w:rsidR="00426C42" w:rsidRPr="00426C42">
        <w:rPr>
          <w:rFonts w:ascii="Times New Roman" w:hAnsi="Times New Roman"/>
          <w:bCs/>
        </w:rPr>
        <w:t>or the cases of India and Kazakhstan</w:t>
      </w:r>
      <w:r w:rsidR="00DC3A34" w:rsidRPr="00426C42">
        <w:rPr>
          <w:rFonts w:ascii="Times New Roman" w:hAnsi="Times New Roman"/>
          <w:bCs/>
        </w:rPr>
        <w:t xml:space="preserve"> suggest that the Aggregate Supply curve is flat enough to satisfy the necessary condition.</w:t>
      </w:r>
      <w:r w:rsidRPr="00DC3A34">
        <w:rPr>
          <w:rFonts w:ascii="Times New Roman" w:hAnsi="Times New Roman"/>
          <w:bCs/>
        </w:rPr>
        <w:t xml:space="preserve"> The </w:t>
      </w:r>
      <w:r w:rsidR="001871C9">
        <w:rPr>
          <w:rFonts w:ascii="Times New Roman" w:hAnsi="Times New Roman"/>
          <w:bCs/>
        </w:rPr>
        <w:t xml:space="preserve">general </w:t>
      </w:r>
      <w:r w:rsidRPr="00DC3A34">
        <w:rPr>
          <w:rFonts w:ascii="Times New Roman" w:hAnsi="Times New Roman"/>
          <w:bCs/>
        </w:rPr>
        <w:t>argument applies regardless whether the monetary authorities at a particular time seek credible disinflation, credible reflation, or simply a credible continuation of the recent path.</w:t>
      </w:r>
    </w:p>
    <w:p w:rsidR="00EE0D69" w:rsidRDefault="00EE0D69" w:rsidP="00426C42">
      <w:pPr>
        <w:rPr>
          <w:rFonts w:ascii="Times New Roman" w:hAnsi="Times New Roman"/>
          <w:bCs/>
        </w:rPr>
      </w:pPr>
    </w:p>
    <w:p w:rsidR="00EE0D69" w:rsidRPr="00426C42" w:rsidRDefault="00EE0D69" w:rsidP="00426C42">
      <w:pPr>
        <w:rPr>
          <w:rFonts w:ascii="Times New Roman" w:hAnsi="Times New Roman"/>
          <w:bCs/>
          <w:sz w:val="24"/>
          <w:szCs w:val="24"/>
        </w:rPr>
      </w:pPr>
    </w:p>
    <w:p w:rsidR="00DC551B" w:rsidRPr="0043380A" w:rsidRDefault="006757DF" w:rsidP="006757DF">
      <w:pPr>
        <w:ind w:firstLine="0"/>
        <w:rPr>
          <w:rFonts w:ascii="Times New Roman" w:hAnsi="Times New Roman"/>
          <w:sz w:val="16"/>
          <w:szCs w:val="16"/>
        </w:rPr>
      </w:pPr>
      <w:r w:rsidRPr="0043380A">
        <w:rPr>
          <w:rFonts w:ascii="Times New Roman" w:hAnsi="Times New Roman"/>
          <w:sz w:val="16"/>
          <w:szCs w:val="16"/>
        </w:rPr>
        <w:t>JEL numbers: F41, E52</w:t>
      </w:r>
      <w:r w:rsidRPr="0043380A">
        <w:rPr>
          <w:rFonts w:ascii="Times New Roman" w:hAnsi="Times New Roman"/>
          <w:sz w:val="16"/>
          <w:szCs w:val="16"/>
        </w:rPr>
        <w:br/>
        <w:t>key words: central bank, developing, emerging markets, GDP, income, inflation, monetary policy, nominal, shock, supply, target, terms of trade</w:t>
      </w:r>
    </w:p>
    <w:p w:rsidR="00DC3A34" w:rsidRDefault="00DC3A34" w:rsidP="00A01D1D">
      <w:pPr>
        <w:rPr>
          <w:rFonts w:ascii="Times New Roman" w:hAnsi="Times New Roman"/>
          <w:sz w:val="24"/>
          <w:szCs w:val="24"/>
        </w:rPr>
      </w:pPr>
    </w:p>
    <w:p w:rsidR="00EE0D69" w:rsidRDefault="00861155" w:rsidP="00EE0D69">
      <w:pPr>
        <w:contextualSpacing/>
        <w:rPr>
          <w:rFonts w:ascii="Times New Roman" w:hAnsi="Times New Roman"/>
          <w:sz w:val="24"/>
          <w:szCs w:val="24"/>
        </w:rPr>
      </w:pPr>
      <w:r>
        <w:rPr>
          <w:rFonts w:ascii="Times New Roman" w:hAnsi="Times New Roman"/>
          <w:sz w:val="24"/>
          <w:szCs w:val="24"/>
        </w:rPr>
        <w:br w:type="page"/>
      </w:r>
      <w:r w:rsidR="001751C4" w:rsidRPr="00A01D1D">
        <w:rPr>
          <w:rFonts w:ascii="Times New Roman" w:hAnsi="Times New Roman"/>
          <w:sz w:val="24"/>
          <w:szCs w:val="24"/>
        </w:rPr>
        <w:lastRenderedPageBreak/>
        <w:t xml:space="preserve">The aftermath of the Great Recession has seen the revival of proposals that monetary authorities should target Nominal GDP, as an alternative to targeting the </w:t>
      </w:r>
      <w:r w:rsidR="00E343D5">
        <w:rPr>
          <w:rFonts w:ascii="Times New Roman" w:hAnsi="Times New Roman"/>
          <w:sz w:val="24"/>
          <w:szCs w:val="24"/>
        </w:rPr>
        <w:t xml:space="preserve">inflation rate or other </w:t>
      </w:r>
      <w:r w:rsidR="001751C4" w:rsidRPr="00A01D1D">
        <w:rPr>
          <w:rFonts w:ascii="Times New Roman" w:hAnsi="Times New Roman"/>
          <w:sz w:val="24"/>
          <w:szCs w:val="24"/>
        </w:rPr>
        <w:t>variables.</w:t>
      </w:r>
      <w:r w:rsidR="001751C4">
        <w:rPr>
          <w:rStyle w:val="FootnoteReference"/>
          <w:rFonts w:ascii="Times New Roman" w:hAnsi="Times New Roman"/>
          <w:sz w:val="24"/>
          <w:szCs w:val="24"/>
        </w:rPr>
        <w:footnoteReference w:id="1"/>
      </w:r>
      <w:r w:rsidR="001751C4" w:rsidRPr="00A01D1D">
        <w:rPr>
          <w:rFonts w:ascii="Times New Roman" w:hAnsi="Times New Roman"/>
          <w:sz w:val="24"/>
          <w:szCs w:val="24"/>
        </w:rPr>
        <w:t xml:space="preserve">   </w:t>
      </w:r>
      <w:r w:rsidR="00E343D5">
        <w:rPr>
          <w:rFonts w:ascii="Times New Roman" w:hAnsi="Times New Roman"/>
          <w:sz w:val="24"/>
          <w:szCs w:val="24"/>
        </w:rPr>
        <w:t xml:space="preserve">The reasons for having a simple and publically announced target are transparency and the anchoring of expectations.  </w:t>
      </w:r>
      <w:r w:rsidR="00EB3128">
        <w:rPr>
          <w:rFonts w:ascii="Times New Roman" w:hAnsi="Times New Roman"/>
          <w:sz w:val="24"/>
          <w:szCs w:val="24"/>
        </w:rPr>
        <w:t xml:space="preserve">The general argument </w:t>
      </w:r>
      <w:r w:rsidR="00DB79AB">
        <w:rPr>
          <w:rFonts w:ascii="Times New Roman" w:hAnsi="Times New Roman"/>
          <w:sz w:val="24"/>
          <w:szCs w:val="24"/>
        </w:rPr>
        <w:t>for</w:t>
      </w:r>
      <w:r w:rsidR="00EB3128">
        <w:rPr>
          <w:rFonts w:ascii="Times New Roman" w:hAnsi="Times New Roman"/>
          <w:sz w:val="24"/>
          <w:szCs w:val="24"/>
        </w:rPr>
        <w:t xml:space="preserve"> GDP targeting is </w:t>
      </w:r>
      <w:r w:rsidR="00DB79AB">
        <w:rPr>
          <w:rFonts w:ascii="Times New Roman" w:hAnsi="Times New Roman"/>
          <w:sz w:val="24"/>
          <w:szCs w:val="24"/>
        </w:rPr>
        <w:t xml:space="preserve">that it is </w:t>
      </w:r>
      <w:r w:rsidR="00EB3128">
        <w:rPr>
          <w:rFonts w:ascii="Times New Roman" w:hAnsi="Times New Roman"/>
          <w:sz w:val="24"/>
          <w:szCs w:val="24"/>
        </w:rPr>
        <w:t>robust with respect to unanticipated developments.  A</w:t>
      </w:r>
      <w:r w:rsidR="00E343D5">
        <w:rPr>
          <w:rFonts w:ascii="Times New Roman" w:hAnsi="Times New Roman"/>
          <w:sz w:val="24"/>
          <w:szCs w:val="24"/>
        </w:rPr>
        <w:t xml:space="preserve"> target </w:t>
      </w:r>
      <w:r w:rsidR="00EB3128">
        <w:rPr>
          <w:rFonts w:ascii="Times New Roman" w:hAnsi="Times New Roman"/>
          <w:sz w:val="24"/>
          <w:szCs w:val="24"/>
        </w:rPr>
        <w:t>such as some version of the CPI defeats the purpose if i</w:t>
      </w:r>
      <w:r w:rsidR="00E343D5">
        <w:rPr>
          <w:rFonts w:ascii="Times New Roman" w:hAnsi="Times New Roman"/>
          <w:sz w:val="24"/>
          <w:szCs w:val="24"/>
        </w:rPr>
        <w:t xml:space="preserve">t has to be abandoned in the event of a shock. </w:t>
      </w:r>
    </w:p>
    <w:p w:rsidR="00DC551B" w:rsidRDefault="001751C4" w:rsidP="00EE0D69">
      <w:pPr>
        <w:contextualSpacing/>
        <w:rPr>
          <w:rFonts w:ascii="Times New Roman" w:hAnsi="Times New Roman"/>
          <w:sz w:val="24"/>
          <w:szCs w:val="24"/>
        </w:rPr>
      </w:pPr>
      <w:r w:rsidRPr="00A01D1D">
        <w:rPr>
          <w:rFonts w:ascii="Times New Roman" w:hAnsi="Times New Roman"/>
          <w:sz w:val="24"/>
          <w:szCs w:val="24"/>
        </w:rPr>
        <w:t xml:space="preserve">Proposals for targeting Nominal GDP (NGDP) </w:t>
      </w:r>
      <w:r w:rsidR="00CA1514">
        <w:rPr>
          <w:rFonts w:ascii="Times New Roman" w:hAnsi="Times New Roman"/>
          <w:sz w:val="24"/>
          <w:szCs w:val="24"/>
        </w:rPr>
        <w:t xml:space="preserve">arise </w:t>
      </w:r>
      <w:r w:rsidRPr="00A01D1D">
        <w:rPr>
          <w:rFonts w:ascii="Times New Roman" w:hAnsi="Times New Roman"/>
          <w:sz w:val="24"/>
          <w:szCs w:val="24"/>
        </w:rPr>
        <w:t xml:space="preserve">almost invariably in the context of major industrialized countries.  But a good case can be made that the idea is in fact more applicable to </w:t>
      </w:r>
      <w:r w:rsidR="00C97819">
        <w:rPr>
          <w:rFonts w:ascii="Times New Roman" w:hAnsi="Times New Roman"/>
          <w:sz w:val="24"/>
          <w:szCs w:val="24"/>
        </w:rPr>
        <w:t>middle-sized middle-income</w:t>
      </w:r>
      <w:r w:rsidRPr="00A01D1D">
        <w:rPr>
          <w:rFonts w:ascii="Times New Roman" w:hAnsi="Times New Roman"/>
          <w:sz w:val="24"/>
          <w:szCs w:val="24"/>
        </w:rPr>
        <w:t xml:space="preserve"> countries.</w:t>
      </w:r>
      <w:r w:rsidRPr="00A01D1D">
        <w:rPr>
          <w:rStyle w:val="FootnoteReference"/>
          <w:rFonts w:ascii="Times New Roman" w:hAnsi="Times New Roman"/>
          <w:sz w:val="24"/>
          <w:szCs w:val="24"/>
        </w:rPr>
        <w:footnoteReference w:id="2"/>
      </w:r>
      <w:r w:rsidRPr="00A01D1D">
        <w:rPr>
          <w:rFonts w:ascii="Times New Roman" w:hAnsi="Times New Roman"/>
          <w:sz w:val="24"/>
          <w:szCs w:val="24"/>
        </w:rPr>
        <w:t xml:space="preserve">   The reason is that </w:t>
      </w:r>
      <w:r w:rsidR="00C97819">
        <w:rPr>
          <w:rFonts w:ascii="Times New Roman" w:hAnsi="Times New Roman"/>
          <w:sz w:val="24"/>
          <w:szCs w:val="24"/>
        </w:rPr>
        <w:t>developing countries and other small open economies</w:t>
      </w:r>
      <w:r w:rsidRPr="00A01D1D">
        <w:rPr>
          <w:rFonts w:ascii="Times New Roman" w:hAnsi="Times New Roman"/>
          <w:sz w:val="24"/>
          <w:szCs w:val="24"/>
        </w:rPr>
        <w:t xml:space="preserve"> tend to experience bigger </w:t>
      </w:r>
      <w:r w:rsidR="00C97819" w:rsidRPr="00A01D1D">
        <w:rPr>
          <w:rFonts w:ascii="Times New Roman" w:hAnsi="Times New Roman"/>
          <w:sz w:val="24"/>
          <w:szCs w:val="24"/>
        </w:rPr>
        <w:t xml:space="preserve">terms of trade shocks </w:t>
      </w:r>
      <w:r w:rsidR="00C97819">
        <w:rPr>
          <w:rFonts w:ascii="Times New Roman" w:hAnsi="Times New Roman"/>
          <w:sz w:val="24"/>
          <w:szCs w:val="24"/>
        </w:rPr>
        <w:t xml:space="preserve">and </w:t>
      </w:r>
      <w:r w:rsidRPr="00A01D1D">
        <w:rPr>
          <w:rFonts w:ascii="Times New Roman" w:hAnsi="Times New Roman"/>
          <w:sz w:val="24"/>
          <w:szCs w:val="24"/>
        </w:rPr>
        <w:t xml:space="preserve">supply shocks, such </w:t>
      </w:r>
      <w:r w:rsidR="00C97819">
        <w:rPr>
          <w:rFonts w:ascii="Times New Roman" w:hAnsi="Times New Roman"/>
          <w:sz w:val="24"/>
          <w:szCs w:val="24"/>
        </w:rPr>
        <w:t>as weather-related disasters</w:t>
      </w:r>
      <w:r w:rsidRPr="00A01D1D">
        <w:rPr>
          <w:rFonts w:ascii="Times New Roman" w:hAnsi="Times New Roman"/>
          <w:sz w:val="24"/>
          <w:szCs w:val="24"/>
        </w:rPr>
        <w:t xml:space="preserve">.  </w:t>
      </w:r>
    </w:p>
    <w:p w:rsidR="001751C4" w:rsidRDefault="001751C4" w:rsidP="00A01D1D">
      <w:pPr>
        <w:contextualSpacing/>
        <w:rPr>
          <w:rFonts w:ascii="Times New Roman" w:hAnsi="Times New Roman"/>
          <w:sz w:val="24"/>
          <w:szCs w:val="24"/>
        </w:rPr>
      </w:pPr>
      <w:r>
        <w:rPr>
          <w:rFonts w:ascii="Times New Roman" w:hAnsi="Times New Roman"/>
          <w:sz w:val="24"/>
          <w:szCs w:val="24"/>
        </w:rPr>
        <w:t xml:space="preserve">While focusing on industrialized countries, the recent revival of NGDP targeting has at the same time focused on the case of countries that seek to achieve a credible monetary expansion, including usually an increase in expected inflation.  The motive has been to </w:t>
      </w:r>
      <w:r w:rsidR="002B6267">
        <w:rPr>
          <w:rFonts w:ascii="Times New Roman" w:hAnsi="Times New Roman"/>
          <w:sz w:val="24"/>
          <w:szCs w:val="24"/>
        </w:rPr>
        <w:t>address economic</w:t>
      </w:r>
      <w:r>
        <w:rPr>
          <w:rFonts w:ascii="Times New Roman" w:hAnsi="Times New Roman"/>
          <w:sz w:val="24"/>
          <w:szCs w:val="24"/>
        </w:rPr>
        <w:t xml:space="preserve"> weakness in the United States, United Kingdom, Euroland, and Japan, in the aftermath of the severe negative demand shock</w:t>
      </w:r>
      <w:r w:rsidR="00A05910">
        <w:rPr>
          <w:rFonts w:ascii="Times New Roman" w:hAnsi="Times New Roman"/>
          <w:sz w:val="24"/>
          <w:szCs w:val="24"/>
        </w:rPr>
        <w:t xml:space="preserve"> </w:t>
      </w:r>
      <w:r>
        <w:rPr>
          <w:rFonts w:ascii="Times New Roman" w:hAnsi="Times New Roman"/>
          <w:sz w:val="24"/>
          <w:szCs w:val="24"/>
        </w:rPr>
        <w:t>that hit them in 2008.   Developing countries do not particularly need monetary expansion or higher inflation.   But NGDP targeting, viewed in a wider perspective, is a way to achieve any monetary setting, not just expansion.   When it was originally proposed by Meade (1978)</w:t>
      </w:r>
      <w:r w:rsidR="00150EF0">
        <w:rPr>
          <w:rFonts w:ascii="Times New Roman" w:hAnsi="Times New Roman"/>
          <w:sz w:val="24"/>
          <w:szCs w:val="24"/>
        </w:rPr>
        <w:t xml:space="preserve"> and Tobin (1980) </w:t>
      </w:r>
      <w:r>
        <w:rPr>
          <w:rFonts w:ascii="Times New Roman" w:hAnsi="Times New Roman"/>
          <w:sz w:val="24"/>
          <w:szCs w:val="24"/>
        </w:rPr>
        <w:t xml:space="preserve">and supported by many other economists in the 1980s, the motive was to achieve credible monetary </w:t>
      </w:r>
      <w:r w:rsidRPr="009B62A9">
        <w:rPr>
          <w:rFonts w:ascii="Times New Roman" w:hAnsi="Times New Roman"/>
          <w:i/>
          <w:sz w:val="24"/>
          <w:szCs w:val="24"/>
        </w:rPr>
        <w:t>discipline</w:t>
      </w:r>
      <w:r>
        <w:rPr>
          <w:rFonts w:ascii="Times New Roman" w:hAnsi="Times New Roman"/>
          <w:sz w:val="24"/>
          <w:szCs w:val="24"/>
        </w:rPr>
        <w:t xml:space="preserve">, particularly a </w:t>
      </w:r>
      <w:r w:rsidRPr="009B62A9">
        <w:rPr>
          <w:rFonts w:ascii="Times New Roman" w:hAnsi="Times New Roman"/>
          <w:i/>
          <w:sz w:val="24"/>
          <w:szCs w:val="24"/>
        </w:rPr>
        <w:t>decrease</w:t>
      </w:r>
      <w:r>
        <w:rPr>
          <w:rFonts w:ascii="Times New Roman" w:hAnsi="Times New Roman"/>
          <w:sz w:val="24"/>
          <w:szCs w:val="24"/>
        </w:rPr>
        <w:t xml:space="preserve"> in the inflation rate, rather than credible monetary expansion and an increase in inflation. </w:t>
      </w:r>
      <w:r w:rsidR="00C97819">
        <w:rPr>
          <w:rFonts w:ascii="Times New Roman" w:hAnsi="Times New Roman"/>
          <w:sz w:val="24"/>
          <w:szCs w:val="24"/>
        </w:rPr>
        <w:t xml:space="preserve"> Disinflation is still </w:t>
      </w:r>
      <w:r w:rsidR="00374A3B">
        <w:rPr>
          <w:rFonts w:ascii="Times New Roman" w:hAnsi="Times New Roman"/>
          <w:sz w:val="24"/>
          <w:szCs w:val="24"/>
        </w:rPr>
        <w:t>needed</w:t>
      </w:r>
      <w:r w:rsidR="00C97819">
        <w:rPr>
          <w:rFonts w:ascii="Times New Roman" w:hAnsi="Times New Roman"/>
          <w:sz w:val="24"/>
          <w:szCs w:val="24"/>
        </w:rPr>
        <w:t xml:space="preserve"> in some developing countries, like India.   Regardless, the</w:t>
      </w:r>
      <w:r>
        <w:rPr>
          <w:rFonts w:ascii="Times New Roman" w:hAnsi="Times New Roman"/>
          <w:sz w:val="24"/>
          <w:szCs w:val="24"/>
        </w:rPr>
        <w:t xml:space="preserve"> attractive feature</w:t>
      </w:r>
      <w:r w:rsidR="00C97819">
        <w:rPr>
          <w:rFonts w:ascii="Times New Roman" w:hAnsi="Times New Roman"/>
          <w:sz w:val="24"/>
          <w:szCs w:val="24"/>
        </w:rPr>
        <w:t xml:space="preserve"> of NGDP targeting</w:t>
      </w:r>
      <w:r>
        <w:rPr>
          <w:rFonts w:ascii="Times New Roman" w:hAnsi="Times New Roman"/>
          <w:sz w:val="24"/>
          <w:szCs w:val="24"/>
        </w:rPr>
        <w:t xml:space="preserve">, the robustness to unknown future shocks, is similar whether </w:t>
      </w:r>
      <w:r w:rsidR="00F56E8F">
        <w:rPr>
          <w:rFonts w:ascii="Times New Roman" w:hAnsi="Times New Roman"/>
          <w:sz w:val="24"/>
          <w:szCs w:val="24"/>
        </w:rPr>
        <w:t xml:space="preserve">applied </w:t>
      </w:r>
      <w:r>
        <w:rPr>
          <w:rFonts w:ascii="Times New Roman" w:hAnsi="Times New Roman"/>
          <w:sz w:val="24"/>
          <w:szCs w:val="24"/>
        </w:rPr>
        <w:t>at times when the objective is a monetary setting that is easier, tighter, or unchanged.</w:t>
      </w:r>
      <w:r w:rsidR="00EE0D69">
        <w:rPr>
          <w:rFonts w:ascii="Times New Roman" w:hAnsi="Times New Roman"/>
          <w:sz w:val="24"/>
          <w:szCs w:val="24"/>
        </w:rPr>
        <w:br/>
      </w:r>
    </w:p>
    <w:p w:rsidR="001751C4" w:rsidRPr="00A05910" w:rsidRDefault="001751C4" w:rsidP="00895AEB">
      <w:pPr>
        <w:ind w:firstLine="0"/>
        <w:rPr>
          <w:rFonts w:ascii="Times New Roman" w:hAnsi="Times New Roman"/>
          <w:b/>
          <w:sz w:val="10"/>
          <w:szCs w:val="10"/>
        </w:rPr>
      </w:pPr>
      <w:r w:rsidRPr="00895AEB">
        <w:rPr>
          <w:rFonts w:ascii="Times New Roman" w:hAnsi="Times New Roman"/>
          <w:b/>
          <w:sz w:val="24"/>
          <w:szCs w:val="24"/>
        </w:rPr>
        <w:t>What is D</w:t>
      </w:r>
      <w:r w:rsidR="00C0412F">
        <w:rPr>
          <w:rFonts w:ascii="Times New Roman" w:hAnsi="Times New Roman"/>
          <w:b/>
          <w:sz w:val="24"/>
          <w:szCs w:val="24"/>
        </w:rPr>
        <w:t>ifferent about Middle</w:t>
      </w:r>
      <w:r w:rsidRPr="00895AEB">
        <w:rPr>
          <w:rFonts w:ascii="Times New Roman" w:hAnsi="Times New Roman"/>
          <w:b/>
          <w:sz w:val="24"/>
          <w:szCs w:val="24"/>
        </w:rPr>
        <w:t>-Income Countries?</w:t>
      </w:r>
    </w:p>
    <w:p w:rsidR="00026CBB" w:rsidRDefault="001751C4" w:rsidP="00B045EE">
      <w:pPr>
        <w:contextualSpacing/>
        <w:rPr>
          <w:rFonts w:ascii="Times New Roman" w:hAnsi="Times New Roman"/>
          <w:sz w:val="24"/>
          <w:szCs w:val="24"/>
        </w:rPr>
      </w:pPr>
      <w:r w:rsidRPr="00A01D1D">
        <w:rPr>
          <w:rFonts w:ascii="Times New Roman" w:hAnsi="Times New Roman"/>
          <w:sz w:val="24"/>
          <w:szCs w:val="24"/>
        </w:rPr>
        <w:t xml:space="preserve">Monetary authorities in </w:t>
      </w:r>
      <w:r>
        <w:rPr>
          <w:rFonts w:ascii="Times New Roman" w:hAnsi="Times New Roman"/>
          <w:sz w:val="24"/>
          <w:szCs w:val="24"/>
        </w:rPr>
        <w:t xml:space="preserve">emerging markets, </w:t>
      </w:r>
      <w:r w:rsidRPr="00A01D1D">
        <w:rPr>
          <w:rFonts w:ascii="Times New Roman" w:hAnsi="Times New Roman"/>
          <w:sz w:val="24"/>
          <w:szCs w:val="24"/>
        </w:rPr>
        <w:t>developing countries and transition economies are likely to have a more acute need to earn credibility than those in advanced countries</w:t>
      </w:r>
      <w:r w:rsidR="00DC551B">
        <w:rPr>
          <w:rFonts w:ascii="Times New Roman" w:hAnsi="Times New Roman"/>
          <w:sz w:val="24"/>
          <w:szCs w:val="24"/>
        </w:rPr>
        <w:t>.  Many</w:t>
      </w:r>
      <w:r w:rsidRPr="00A01D1D">
        <w:rPr>
          <w:rFonts w:ascii="Times New Roman" w:hAnsi="Times New Roman"/>
          <w:sz w:val="24"/>
          <w:szCs w:val="24"/>
        </w:rPr>
        <w:t xml:space="preserve"> they have a shorter track record</w:t>
      </w:r>
      <w:r w:rsidR="00DC551B">
        <w:rPr>
          <w:rFonts w:ascii="Times New Roman" w:hAnsi="Times New Roman"/>
          <w:sz w:val="24"/>
          <w:szCs w:val="24"/>
        </w:rPr>
        <w:t xml:space="preserve">, </w:t>
      </w:r>
      <w:r w:rsidRPr="00A01D1D">
        <w:rPr>
          <w:rFonts w:ascii="Times New Roman" w:hAnsi="Times New Roman"/>
          <w:sz w:val="24"/>
          <w:szCs w:val="24"/>
        </w:rPr>
        <w:t>e.g., countries that emerged from the break-up of the Soviet Union in 1991</w:t>
      </w:r>
      <w:r w:rsidR="00DC551B">
        <w:rPr>
          <w:rFonts w:ascii="Times New Roman" w:hAnsi="Times New Roman"/>
          <w:sz w:val="24"/>
          <w:szCs w:val="24"/>
        </w:rPr>
        <w:t>.  Many have histories that include</w:t>
      </w:r>
      <w:r w:rsidRPr="00A01D1D">
        <w:rPr>
          <w:rFonts w:ascii="Times New Roman" w:hAnsi="Times New Roman"/>
          <w:sz w:val="24"/>
          <w:szCs w:val="24"/>
        </w:rPr>
        <w:t xml:space="preserve"> episodes of </w:t>
      </w:r>
      <w:r>
        <w:rPr>
          <w:rFonts w:ascii="Times New Roman" w:hAnsi="Times New Roman"/>
          <w:sz w:val="24"/>
          <w:szCs w:val="24"/>
        </w:rPr>
        <w:t xml:space="preserve">monetary instability </w:t>
      </w:r>
      <w:r w:rsidRPr="00A01D1D">
        <w:rPr>
          <w:rFonts w:ascii="Times New Roman" w:hAnsi="Times New Roman"/>
          <w:sz w:val="24"/>
          <w:szCs w:val="24"/>
        </w:rPr>
        <w:t>or even h</w:t>
      </w:r>
      <w:r>
        <w:rPr>
          <w:rFonts w:ascii="Times New Roman" w:hAnsi="Times New Roman"/>
          <w:sz w:val="24"/>
          <w:szCs w:val="24"/>
        </w:rPr>
        <w:t>yperinflation</w:t>
      </w:r>
      <w:r w:rsidR="00DC551B">
        <w:rPr>
          <w:rFonts w:ascii="Times New Roman" w:hAnsi="Times New Roman"/>
          <w:sz w:val="24"/>
          <w:szCs w:val="24"/>
        </w:rPr>
        <w:t xml:space="preserve">, e.g., </w:t>
      </w:r>
      <w:r w:rsidRPr="00A01D1D">
        <w:rPr>
          <w:rFonts w:ascii="Times New Roman" w:hAnsi="Times New Roman"/>
          <w:sz w:val="24"/>
          <w:szCs w:val="24"/>
        </w:rPr>
        <w:t>in Latin America</w:t>
      </w:r>
      <w:r w:rsidRPr="00A01D1D">
        <w:rPr>
          <w:rStyle w:val="FootnoteTextChar"/>
          <w:sz w:val="24"/>
          <w:szCs w:val="24"/>
        </w:rPr>
        <w:t>.</w:t>
      </w:r>
      <w:r w:rsidRPr="00A01D1D">
        <w:rPr>
          <w:rFonts w:ascii="Times New Roman" w:hAnsi="Times New Roman"/>
          <w:sz w:val="24"/>
          <w:szCs w:val="24"/>
        </w:rPr>
        <w:t xml:space="preserve">  One implication is that it may be more necessary for these countries to declare a nominal anchor, or even a</w:t>
      </w:r>
      <w:r w:rsidR="00DC551B">
        <w:rPr>
          <w:rFonts w:ascii="Times New Roman" w:hAnsi="Times New Roman"/>
          <w:sz w:val="24"/>
          <w:szCs w:val="24"/>
        </w:rPr>
        <w:t>n explicit</w:t>
      </w:r>
      <w:r w:rsidRPr="00A01D1D">
        <w:rPr>
          <w:rFonts w:ascii="Times New Roman" w:hAnsi="Times New Roman"/>
          <w:sz w:val="24"/>
          <w:szCs w:val="24"/>
        </w:rPr>
        <w:t xml:space="preserve"> rule, than is the case for advanced countries</w:t>
      </w:r>
      <w:r w:rsidRPr="00895AEB">
        <w:rPr>
          <w:rFonts w:ascii="Times New Roman" w:hAnsi="Times New Roman"/>
          <w:sz w:val="24"/>
          <w:szCs w:val="24"/>
        </w:rPr>
        <w:t>.</w:t>
      </w:r>
      <w:r w:rsidRPr="00895AEB">
        <w:rPr>
          <w:rStyle w:val="FootnoteReference"/>
          <w:rFonts w:ascii="Times New Roman" w:hAnsi="Times New Roman"/>
          <w:sz w:val="24"/>
          <w:szCs w:val="24"/>
        </w:rPr>
        <w:footnoteReference w:id="3"/>
      </w:r>
      <w:r w:rsidRPr="00895AEB">
        <w:rPr>
          <w:rFonts w:ascii="Times New Roman" w:hAnsi="Times New Roman"/>
          <w:sz w:val="24"/>
          <w:szCs w:val="24"/>
        </w:rPr>
        <w:t xml:space="preserve">  </w:t>
      </w:r>
    </w:p>
    <w:p w:rsidR="001751C4" w:rsidRPr="00895AEB" w:rsidRDefault="001751C4" w:rsidP="00B045EE">
      <w:pPr>
        <w:contextualSpacing/>
        <w:rPr>
          <w:rFonts w:ascii="Times New Roman" w:hAnsi="Times New Roman"/>
          <w:sz w:val="24"/>
          <w:szCs w:val="24"/>
        </w:rPr>
      </w:pPr>
      <w:r w:rsidRPr="00895AEB">
        <w:rPr>
          <w:rFonts w:ascii="Times New Roman" w:hAnsi="Times New Roman"/>
          <w:sz w:val="24"/>
          <w:szCs w:val="24"/>
        </w:rPr>
        <w:t xml:space="preserve">For a very small or poor country, </w:t>
      </w:r>
      <w:r w:rsidR="00026CBB">
        <w:rPr>
          <w:rFonts w:ascii="Times New Roman" w:hAnsi="Times New Roman"/>
          <w:sz w:val="24"/>
          <w:szCs w:val="24"/>
        </w:rPr>
        <w:t xml:space="preserve">especially one with under-developed financial markets, </w:t>
      </w:r>
      <w:r w:rsidRPr="00895AEB">
        <w:rPr>
          <w:rFonts w:ascii="Times New Roman" w:hAnsi="Times New Roman"/>
          <w:sz w:val="24"/>
          <w:szCs w:val="24"/>
        </w:rPr>
        <w:t>a fixed excha</w:t>
      </w:r>
      <w:r w:rsidR="00026CBB">
        <w:rPr>
          <w:rFonts w:ascii="Times New Roman" w:hAnsi="Times New Roman"/>
          <w:sz w:val="24"/>
          <w:szCs w:val="24"/>
        </w:rPr>
        <w:t>nge rate may be the only natural</w:t>
      </w:r>
      <w:r w:rsidRPr="00895AEB">
        <w:rPr>
          <w:rFonts w:ascii="Times New Roman" w:hAnsi="Times New Roman"/>
          <w:sz w:val="24"/>
          <w:szCs w:val="24"/>
        </w:rPr>
        <w:t xml:space="preserve"> anchor.  But middle-sized middle-income countries are likely to want their exchange rate to float.</w:t>
      </w:r>
      <w:r>
        <w:rPr>
          <w:rStyle w:val="FootnoteReference"/>
          <w:rFonts w:ascii="Times New Roman" w:hAnsi="Times New Roman"/>
          <w:sz w:val="24"/>
          <w:szCs w:val="24"/>
        </w:rPr>
        <w:footnoteReference w:id="4"/>
      </w:r>
      <w:r w:rsidRPr="00895AEB">
        <w:rPr>
          <w:rFonts w:ascii="Times New Roman" w:hAnsi="Times New Roman"/>
          <w:sz w:val="24"/>
          <w:szCs w:val="24"/>
        </w:rPr>
        <w:t xml:space="preserve">  </w:t>
      </w:r>
      <w:r>
        <w:rPr>
          <w:rFonts w:ascii="Times New Roman" w:hAnsi="Times New Roman"/>
          <w:sz w:val="24"/>
          <w:szCs w:val="24"/>
        </w:rPr>
        <w:t xml:space="preserve">This is especially true of countries that </w:t>
      </w:r>
      <w:r w:rsidR="00026CBB">
        <w:rPr>
          <w:rFonts w:ascii="Times New Roman" w:hAnsi="Times New Roman"/>
          <w:sz w:val="24"/>
          <w:szCs w:val="24"/>
        </w:rPr>
        <w:lastRenderedPageBreak/>
        <w:t xml:space="preserve">experience high </w:t>
      </w:r>
      <w:r>
        <w:rPr>
          <w:rFonts w:ascii="Times New Roman" w:hAnsi="Times New Roman"/>
          <w:sz w:val="24"/>
          <w:szCs w:val="24"/>
        </w:rPr>
        <w:t>terms of trade</w:t>
      </w:r>
      <w:r w:rsidR="00026CBB">
        <w:rPr>
          <w:rFonts w:ascii="Times New Roman" w:hAnsi="Times New Roman"/>
          <w:sz w:val="24"/>
          <w:szCs w:val="24"/>
        </w:rPr>
        <w:t xml:space="preserve"> volatility</w:t>
      </w:r>
      <w:r w:rsidR="006C6431">
        <w:rPr>
          <w:rFonts w:ascii="Times New Roman" w:hAnsi="Times New Roman"/>
          <w:sz w:val="24"/>
          <w:szCs w:val="24"/>
        </w:rPr>
        <w:t xml:space="preserve"> and other real shocks</w:t>
      </w:r>
      <w:r>
        <w:rPr>
          <w:rFonts w:ascii="Times New Roman" w:hAnsi="Times New Roman"/>
          <w:sz w:val="24"/>
          <w:szCs w:val="24"/>
        </w:rPr>
        <w:t>.</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895AEB">
        <w:rPr>
          <w:rFonts w:ascii="Times New Roman" w:hAnsi="Times New Roman"/>
          <w:sz w:val="24"/>
          <w:szCs w:val="24"/>
        </w:rPr>
        <w:t>If the exchange rate is not to be their anchor, what is?</w:t>
      </w:r>
    </w:p>
    <w:p w:rsidR="001751C4" w:rsidRPr="00A01D1D" w:rsidRDefault="001751C4" w:rsidP="00B045EE">
      <w:pPr>
        <w:contextualSpacing/>
        <w:rPr>
          <w:rFonts w:ascii="Times New Roman" w:hAnsi="Times New Roman"/>
          <w:sz w:val="24"/>
          <w:szCs w:val="24"/>
        </w:rPr>
      </w:pPr>
      <w:r w:rsidRPr="00A01D1D">
        <w:rPr>
          <w:rFonts w:ascii="Times New Roman" w:hAnsi="Times New Roman"/>
          <w:sz w:val="24"/>
          <w:szCs w:val="24"/>
        </w:rPr>
        <w:t xml:space="preserve">Another implication </w:t>
      </w:r>
      <w:r>
        <w:rPr>
          <w:rFonts w:ascii="Times New Roman" w:hAnsi="Times New Roman"/>
          <w:sz w:val="24"/>
          <w:szCs w:val="24"/>
        </w:rPr>
        <w:t xml:space="preserve">of the credibility problem in middle-income countries </w:t>
      </w:r>
      <w:r w:rsidRPr="00A01D1D">
        <w:rPr>
          <w:rFonts w:ascii="Times New Roman" w:hAnsi="Times New Roman"/>
          <w:sz w:val="24"/>
          <w:szCs w:val="24"/>
        </w:rPr>
        <w:t xml:space="preserve">is that it may be more important that they actually be able subsequently to keep the chosen variable inside </w:t>
      </w:r>
      <w:r w:rsidR="00026CBB">
        <w:rPr>
          <w:rFonts w:ascii="Times New Roman" w:hAnsi="Times New Roman"/>
          <w:sz w:val="24"/>
          <w:szCs w:val="24"/>
        </w:rPr>
        <w:t>a</w:t>
      </w:r>
      <w:r w:rsidRPr="00A01D1D">
        <w:rPr>
          <w:rFonts w:ascii="Times New Roman" w:hAnsi="Times New Roman"/>
          <w:sz w:val="24"/>
          <w:szCs w:val="24"/>
        </w:rPr>
        <w:t xml:space="preserve"> target range most of the time</w:t>
      </w:r>
      <w:r>
        <w:rPr>
          <w:rFonts w:ascii="Times New Roman" w:hAnsi="Times New Roman"/>
          <w:sz w:val="24"/>
          <w:szCs w:val="24"/>
        </w:rPr>
        <w:t>, or abide by the announced threshold in the case of forward guidance</w:t>
      </w:r>
      <w:r w:rsidRPr="00A01D1D">
        <w:rPr>
          <w:rFonts w:ascii="Times New Roman" w:hAnsi="Times New Roman"/>
          <w:sz w:val="24"/>
          <w:szCs w:val="24"/>
        </w:rPr>
        <w:t>.  The Bundesbank had enough credibility that it could afford to miss its declared M1 targets mos</w:t>
      </w:r>
      <w:r>
        <w:rPr>
          <w:rFonts w:ascii="Times New Roman" w:hAnsi="Times New Roman"/>
          <w:sz w:val="24"/>
          <w:szCs w:val="24"/>
        </w:rPr>
        <w:t>t of the time (because velocity shocks would render</w:t>
      </w:r>
      <w:r w:rsidRPr="00A01D1D">
        <w:rPr>
          <w:rFonts w:ascii="Times New Roman" w:hAnsi="Times New Roman"/>
          <w:sz w:val="24"/>
          <w:szCs w:val="24"/>
        </w:rPr>
        <w:t xml:space="preserve"> them unrealistic).  Other countries that do not have that luxury may need to consider more carefully how to choose a target ex ante that they are likely to be willing to live with ex post.</w:t>
      </w:r>
      <w:r w:rsidR="004F0ACF">
        <w:rPr>
          <w:rFonts w:ascii="Times New Roman" w:hAnsi="Times New Roman"/>
          <w:sz w:val="24"/>
          <w:szCs w:val="24"/>
        </w:rPr>
        <w:t xml:space="preserve">  Otherwise credibility may be reduced rather than enhanced.</w:t>
      </w:r>
    </w:p>
    <w:p w:rsidR="001751C4" w:rsidRPr="00A01D1D" w:rsidRDefault="001751C4" w:rsidP="004811F1">
      <w:pPr>
        <w:contextualSpacing/>
        <w:rPr>
          <w:rFonts w:ascii="Times New Roman" w:hAnsi="Times New Roman"/>
          <w:sz w:val="24"/>
          <w:szCs w:val="24"/>
        </w:rPr>
      </w:pPr>
      <w:r w:rsidRPr="00A01D1D">
        <w:rPr>
          <w:rFonts w:ascii="Times New Roman" w:hAnsi="Times New Roman"/>
          <w:sz w:val="24"/>
          <w:szCs w:val="24"/>
        </w:rPr>
        <w:t xml:space="preserve">The importance of choosing as target a variable that is robust to shocks </w:t>
      </w:r>
      <w:r>
        <w:rPr>
          <w:rFonts w:ascii="Times New Roman" w:hAnsi="Times New Roman"/>
          <w:sz w:val="24"/>
          <w:szCs w:val="24"/>
        </w:rPr>
        <w:t>brings us back t</w:t>
      </w:r>
      <w:r w:rsidRPr="00A01D1D">
        <w:rPr>
          <w:rFonts w:ascii="Times New Roman" w:hAnsi="Times New Roman"/>
          <w:sz w:val="24"/>
          <w:szCs w:val="24"/>
        </w:rPr>
        <w:t>o the question of what kinds of shocks co</w:t>
      </w:r>
      <w:r>
        <w:rPr>
          <w:rFonts w:ascii="Times New Roman" w:hAnsi="Times New Roman"/>
          <w:sz w:val="24"/>
          <w:szCs w:val="24"/>
        </w:rPr>
        <w:t>untries experience.   As shown in the</w:t>
      </w:r>
      <w:r w:rsidRPr="00A01D1D">
        <w:rPr>
          <w:rFonts w:ascii="Times New Roman" w:hAnsi="Times New Roman"/>
          <w:sz w:val="24"/>
          <w:szCs w:val="24"/>
        </w:rPr>
        <w:t xml:space="preserve"> </w:t>
      </w:r>
      <w:r>
        <w:rPr>
          <w:rFonts w:ascii="Times New Roman" w:hAnsi="Times New Roman"/>
          <w:sz w:val="24"/>
          <w:szCs w:val="24"/>
        </w:rPr>
        <w:t>minimal</w:t>
      </w:r>
      <w:r w:rsidRPr="00A01D1D">
        <w:rPr>
          <w:rFonts w:ascii="Times New Roman" w:hAnsi="Times New Roman"/>
          <w:sz w:val="24"/>
          <w:szCs w:val="24"/>
        </w:rPr>
        <w:t xml:space="preserve"> theoretical model</w:t>
      </w:r>
      <w:r>
        <w:rPr>
          <w:rFonts w:ascii="Times New Roman" w:hAnsi="Times New Roman"/>
          <w:sz w:val="24"/>
          <w:szCs w:val="24"/>
        </w:rPr>
        <w:t xml:space="preserve"> that is sketched out below</w:t>
      </w:r>
      <w:r w:rsidRPr="00A01D1D">
        <w:rPr>
          <w:rFonts w:ascii="Times New Roman" w:hAnsi="Times New Roman"/>
          <w:sz w:val="24"/>
          <w:szCs w:val="24"/>
        </w:rPr>
        <w:t xml:space="preserve">, the superiority of nominal income targeting to inflation targeting (narrowly defined) depends on the presence of supply shocks.  </w:t>
      </w:r>
      <w:r w:rsidR="00026CBB">
        <w:rPr>
          <w:rFonts w:ascii="Times New Roman" w:hAnsi="Times New Roman"/>
          <w:sz w:val="24"/>
          <w:szCs w:val="24"/>
        </w:rPr>
        <w:t>As already noted, s</w:t>
      </w:r>
      <w:r w:rsidRPr="00A01D1D">
        <w:rPr>
          <w:rFonts w:ascii="Times New Roman" w:hAnsi="Times New Roman"/>
          <w:sz w:val="24"/>
          <w:szCs w:val="24"/>
        </w:rPr>
        <w:t xml:space="preserve">upply shocks tend to be more important in developing countries and commodity exporting countries, due to greater vulnerability to severe weather events and natural disasters, more </w:t>
      </w:r>
      <w:r>
        <w:rPr>
          <w:rFonts w:ascii="Times New Roman" w:hAnsi="Times New Roman"/>
          <w:sz w:val="24"/>
          <w:szCs w:val="24"/>
        </w:rPr>
        <w:t xml:space="preserve">strikes and </w:t>
      </w:r>
      <w:r w:rsidRPr="00A01D1D">
        <w:rPr>
          <w:rFonts w:ascii="Times New Roman" w:hAnsi="Times New Roman"/>
          <w:sz w:val="24"/>
          <w:szCs w:val="24"/>
        </w:rPr>
        <w:t>social instability, and bigger terms of trade shocks.</w:t>
      </w:r>
      <w:r w:rsidR="006757DF">
        <w:rPr>
          <w:rFonts w:ascii="Times New Roman" w:hAnsi="Times New Roman"/>
          <w:sz w:val="24"/>
          <w:szCs w:val="24"/>
        </w:rPr>
        <w:t xml:space="preserve">  Even the productivity shocks featured in modern theoretical models are likely to be larger in such countries.  During a boom, the country does not know in real time whether the rapid growth is permanent</w:t>
      </w:r>
      <w:r w:rsidR="00786838">
        <w:rPr>
          <w:rFonts w:ascii="Times New Roman" w:hAnsi="Times New Roman"/>
          <w:sz w:val="24"/>
          <w:szCs w:val="24"/>
        </w:rPr>
        <w:t xml:space="preserve"> (</w:t>
      </w:r>
      <w:r w:rsidR="006757DF">
        <w:rPr>
          <w:rFonts w:ascii="Times New Roman" w:hAnsi="Times New Roman"/>
          <w:sz w:val="24"/>
          <w:szCs w:val="24"/>
        </w:rPr>
        <w:t>it is the next Asian Tiger</w:t>
      </w:r>
      <w:r w:rsidR="00786838">
        <w:rPr>
          <w:rFonts w:ascii="Times New Roman" w:hAnsi="Times New Roman"/>
          <w:sz w:val="24"/>
          <w:szCs w:val="24"/>
        </w:rPr>
        <w:t>) or temporary (the result of a transitory fluctuation in commodity markets or domestic demand).</w:t>
      </w:r>
      <w:r w:rsidR="00BB42D5">
        <w:rPr>
          <w:rStyle w:val="FootnoteReference"/>
          <w:rFonts w:ascii="Times New Roman" w:hAnsi="Times New Roman"/>
          <w:sz w:val="24"/>
          <w:szCs w:val="24"/>
        </w:rPr>
        <w:footnoteReference w:id="6"/>
      </w:r>
    </w:p>
    <w:p w:rsidR="001751C4" w:rsidRPr="00EE0D69" w:rsidRDefault="00EE0D69" w:rsidP="00EE0D69">
      <w:pPr>
        <w:ind w:firstLine="0"/>
        <w:rPr>
          <w:rFonts w:ascii="Times New Roman" w:hAnsi="Times New Roman"/>
          <w:bCs/>
          <w:sz w:val="24"/>
          <w:szCs w:val="24"/>
        </w:rPr>
      </w:pPr>
      <w:r>
        <w:rPr>
          <w:rFonts w:ascii="Berlin Sans FB" w:hAnsi="Berlin Sans FB"/>
          <w:b/>
          <w:bCs/>
        </w:rPr>
        <w:br/>
      </w:r>
      <w:r w:rsidR="001751C4" w:rsidRPr="00450173">
        <w:rPr>
          <w:rFonts w:ascii="Berlin Sans FB" w:hAnsi="Berlin Sans FB"/>
          <w:b/>
          <w:bCs/>
        </w:rPr>
        <w:t>Figure 1: Supply</w:t>
      </w:r>
      <w:r w:rsidR="001751C4" w:rsidRPr="00450173">
        <w:rPr>
          <w:rFonts w:ascii="Berlin Sans FB" w:hAnsi="Berlin Sans FB"/>
          <w:b/>
          <w:bCs/>
          <w:sz w:val="8"/>
          <w:szCs w:val="8"/>
        </w:rPr>
        <w:t xml:space="preserve"> </w:t>
      </w:r>
      <w:r w:rsidR="001751C4" w:rsidRPr="00450173">
        <w:rPr>
          <w:rFonts w:ascii="Berlin Sans FB" w:hAnsi="Berlin Sans FB"/>
          <w:b/>
          <w:bCs/>
        </w:rPr>
        <w:t>Shocks are More Frequent in Emerging</w:t>
      </w:r>
      <w:r w:rsidR="001751C4" w:rsidRPr="00450173">
        <w:rPr>
          <w:rFonts w:ascii="Berlin Sans FB" w:hAnsi="Berlin Sans FB"/>
          <w:b/>
          <w:bCs/>
          <w:sz w:val="14"/>
          <w:szCs w:val="14"/>
        </w:rPr>
        <w:t xml:space="preserve"> </w:t>
      </w:r>
      <w:r w:rsidR="001751C4" w:rsidRPr="00450173">
        <w:rPr>
          <w:rFonts w:ascii="Berlin Sans FB" w:hAnsi="Berlin Sans FB"/>
          <w:b/>
          <w:bCs/>
        </w:rPr>
        <w:t>Markets and Developing</w:t>
      </w:r>
      <w:r w:rsidR="001751C4" w:rsidRPr="00450173">
        <w:rPr>
          <w:rFonts w:ascii="Berlin Sans FB" w:hAnsi="Berlin Sans FB"/>
          <w:b/>
          <w:bCs/>
          <w:sz w:val="14"/>
          <w:szCs w:val="14"/>
        </w:rPr>
        <w:t xml:space="preserve"> </w:t>
      </w:r>
      <w:r w:rsidR="001751C4" w:rsidRPr="00450173">
        <w:rPr>
          <w:rFonts w:ascii="Berlin Sans FB" w:hAnsi="Berlin Sans FB"/>
          <w:b/>
          <w:bCs/>
        </w:rPr>
        <w:t>Countries</w:t>
      </w:r>
    </w:p>
    <w:p w:rsidR="001751C4" w:rsidRDefault="00EE0D69" w:rsidP="006B7888">
      <w:pPr>
        <w:ind w:firstLine="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1.4pt;height:221.4pt;visibility:visible">
            <v:imagedata r:id="rId9" o:title=""/>
          </v:shape>
        </w:pict>
      </w:r>
    </w:p>
    <w:p w:rsidR="00EE0D69" w:rsidRDefault="00EE0D69" w:rsidP="00EE0D69">
      <w:pPr>
        <w:ind w:firstLine="360"/>
        <w:rPr>
          <w:rFonts w:ascii="Times New Roman" w:hAnsi="Times New Roman"/>
          <w:bCs/>
          <w:sz w:val="24"/>
          <w:szCs w:val="24"/>
        </w:rPr>
      </w:pPr>
      <w:r>
        <w:rPr>
          <w:rFonts w:ascii="Times New Roman" w:hAnsi="Times New Roman"/>
          <w:bCs/>
          <w:sz w:val="24"/>
          <w:szCs w:val="24"/>
        </w:rPr>
        <w:lastRenderedPageBreak/>
        <w:t>Natural disasters and terms of trade shocks are particularly valuable from an econometric viewpoint, because they are measurable and exogenous.  Figure 1 shows that they are a more important source of volatility in emerging markets and developing countries than in industrialized countries.</w:t>
      </w:r>
    </w:p>
    <w:p w:rsidR="00EE0D69" w:rsidRPr="00EE0D69" w:rsidRDefault="00EE0D69" w:rsidP="00EE0D69">
      <w:pPr>
        <w:ind w:firstLine="360"/>
        <w:rPr>
          <w:rFonts w:ascii="Times New Roman" w:hAnsi="Times New Roman"/>
          <w:bCs/>
          <w:sz w:val="24"/>
          <w:szCs w:val="24"/>
        </w:rPr>
      </w:pPr>
      <w:r>
        <w:rPr>
          <w:rFonts w:ascii="Times New Roman" w:hAnsi="Times New Roman"/>
          <w:bCs/>
          <w:sz w:val="24"/>
          <w:szCs w:val="24"/>
        </w:rPr>
        <w:t xml:space="preserve">Consider one prominent sort of terms of shock among developing countries: a fall on world markets in the dollar price of a commodity that the country exports.  </w:t>
      </w:r>
      <w:r w:rsidRPr="00492444">
        <w:rPr>
          <w:rFonts w:ascii="Times New Roman" w:hAnsi="Times New Roman"/>
          <w:bCs/>
          <w:sz w:val="24"/>
          <w:szCs w:val="24"/>
        </w:rPr>
        <w:t xml:space="preserve">Neither an exchange rate target nor a </w:t>
      </w:r>
      <w:r>
        <w:rPr>
          <w:rFonts w:ascii="Times New Roman" w:hAnsi="Times New Roman"/>
          <w:bCs/>
          <w:sz w:val="24"/>
          <w:szCs w:val="24"/>
        </w:rPr>
        <w:t xml:space="preserve">CPI target would allow the currency to depreciate; both would automatically prevent it by calling for sufficiently tight money. </w:t>
      </w:r>
      <w:r w:rsidRPr="00492444">
        <w:rPr>
          <w:rFonts w:ascii="Times New Roman" w:hAnsi="Times New Roman"/>
          <w:bCs/>
          <w:sz w:val="24"/>
          <w:szCs w:val="24"/>
        </w:rPr>
        <w:t xml:space="preserve">  An exchange rate target would not allow the depreciation by definition, while a CPI target would work against it because of the </w:t>
      </w:r>
      <w:r>
        <w:rPr>
          <w:rFonts w:ascii="Times New Roman" w:hAnsi="Times New Roman"/>
          <w:bCs/>
          <w:sz w:val="24"/>
          <w:szCs w:val="24"/>
        </w:rPr>
        <w:t>upward effect on</w:t>
      </w:r>
      <w:r w:rsidRPr="00492444">
        <w:rPr>
          <w:rFonts w:ascii="Times New Roman" w:hAnsi="Times New Roman"/>
          <w:bCs/>
          <w:sz w:val="24"/>
          <w:szCs w:val="24"/>
        </w:rPr>
        <w:t xml:space="preserve"> import prices</w:t>
      </w:r>
      <w:r>
        <w:rPr>
          <w:rFonts w:ascii="Times New Roman" w:hAnsi="Times New Roman"/>
          <w:bCs/>
          <w:sz w:val="24"/>
          <w:szCs w:val="24"/>
        </w:rPr>
        <w:t xml:space="preserve"> that would otherwise result.  I</w:t>
      </w:r>
      <w:r w:rsidRPr="00492444">
        <w:rPr>
          <w:rFonts w:ascii="Times New Roman" w:hAnsi="Times New Roman"/>
          <w:bCs/>
          <w:sz w:val="24"/>
          <w:szCs w:val="24"/>
        </w:rPr>
        <w:t>n both cases</w:t>
      </w:r>
      <w:r>
        <w:rPr>
          <w:rFonts w:ascii="Times New Roman" w:hAnsi="Times New Roman"/>
          <w:bCs/>
          <w:sz w:val="24"/>
          <w:szCs w:val="24"/>
        </w:rPr>
        <w:t>,</w:t>
      </w:r>
      <w:r w:rsidRPr="00492444">
        <w:rPr>
          <w:rFonts w:ascii="Times New Roman" w:hAnsi="Times New Roman"/>
          <w:bCs/>
          <w:sz w:val="24"/>
          <w:szCs w:val="24"/>
        </w:rPr>
        <w:t xml:space="preserve"> sticking with the announced regime in the aftermath of an adverse trade shock would likely yield an excessively tight monetary policy.</w:t>
      </w:r>
      <w:r>
        <w:rPr>
          <w:rFonts w:ascii="Times New Roman" w:hAnsi="Times New Roman"/>
          <w:bCs/>
          <w:sz w:val="24"/>
          <w:szCs w:val="24"/>
        </w:rPr>
        <w:t xml:space="preserve">  </w:t>
      </w:r>
      <w:r w:rsidRPr="00492444">
        <w:rPr>
          <w:rFonts w:ascii="Times New Roman" w:hAnsi="Times New Roman"/>
          <w:bCs/>
          <w:sz w:val="24"/>
          <w:szCs w:val="24"/>
        </w:rPr>
        <w:t>A nominal GDP target</w:t>
      </w:r>
      <w:r>
        <w:rPr>
          <w:rFonts w:ascii="Times New Roman" w:hAnsi="Times New Roman"/>
          <w:bCs/>
          <w:sz w:val="24"/>
          <w:szCs w:val="24"/>
        </w:rPr>
        <w:t>, by contrast,</w:t>
      </w:r>
      <w:r w:rsidRPr="00492444">
        <w:rPr>
          <w:rFonts w:ascii="Times New Roman" w:hAnsi="Times New Roman"/>
          <w:bCs/>
          <w:sz w:val="24"/>
          <w:szCs w:val="24"/>
        </w:rPr>
        <w:t xml:space="preserve"> would allow accommodation of the</w:t>
      </w:r>
      <w:r>
        <w:rPr>
          <w:rFonts w:ascii="Times New Roman" w:hAnsi="Times New Roman"/>
          <w:bCs/>
          <w:sz w:val="24"/>
          <w:szCs w:val="24"/>
        </w:rPr>
        <w:t xml:space="preserve"> adverse terms of trade shock: </w:t>
      </w:r>
      <w:r w:rsidRPr="00492444">
        <w:rPr>
          <w:rFonts w:ascii="Times New Roman" w:hAnsi="Times New Roman"/>
          <w:bCs/>
          <w:sz w:val="24"/>
          <w:szCs w:val="24"/>
        </w:rPr>
        <w:t xml:space="preserve">it would call for a monetary policy loose enough to depreciate the </w:t>
      </w:r>
      <w:r>
        <w:rPr>
          <w:rFonts w:ascii="Times New Roman" w:hAnsi="Times New Roman"/>
          <w:bCs/>
          <w:sz w:val="24"/>
          <w:szCs w:val="24"/>
        </w:rPr>
        <w:t>currency</w:t>
      </w:r>
      <w:r w:rsidRPr="00492444">
        <w:rPr>
          <w:rFonts w:ascii="Times New Roman" w:hAnsi="Times New Roman"/>
          <w:bCs/>
          <w:sz w:val="24"/>
          <w:szCs w:val="24"/>
        </w:rPr>
        <w:t xml:space="preserve"> against the dollar.</w:t>
      </w:r>
      <w:r>
        <w:rPr>
          <w:rFonts w:ascii="Times New Roman" w:hAnsi="Times New Roman"/>
          <w:bCs/>
          <w:sz w:val="24"/>
          <w:szCs w:val="24"/>
        </w:rPr>
        <w:t xml:space="preserve"> Under a nominal GDP target, a</w:t>
      </w:r>
      <w:r w:rsidRPr="00F65D6D">
        <w:rPr>
          <w:rFonts w:ascii="Times New Roman" w:hAnsi="Times New Roman"/>
          <w:bCs/>
          <w:sz w:val="24"/>
          <w:szCs w:val="24"/>
        </w:rPr>
        <w:t xml:space="preserve">dverse supply shocks </w:t>
      </w:r>
      <w:r>
        <w:rPr>
          <w:rFonts w:ascii="Times New Roman" w:hAnsi="Times New Roman"/>
          <w:bCs/>
          <w:sz w:val="24"/>
          <w:szCs w:val="24"/>
        </w:rPr>
        <w:t xml:space="preserve">are </w:t>
      </w:r>
      <w:r w:rsidRPr="00F65D6D">
        <w:rPr>
          <w:rFonts w:ascii="Times New Roman" w:hAnsi="Times New Roman"/>
          <w:bCs/>
          <w:sz w:val="24"/>
          <w:szCs w:val="24"/>
        </w:rPr>
        <w:t>automatically di</w:t>
      </w:r>
      <w:r>
        <w:rPr>
          <w:rFonts w:ascii="Times New Roman" w:hAnsi="Times New Roman"/>
          <w:bCs/>
          <w:sz w:val="24"/>
          <w:szCs w:val="24"/>
        </w:rPr>
        <w:t>vided between real output loss and inflation.  This is what</w:t>
      </w:r>
      <w:r w:rsidRPr="00F65D6D">
        <w:rPr>
          <w:rFonts w:ascii="Times New Roman" w:hAnsi="Times New Roman"/>
          <w:bCs/>
          <w:sz w:val="24"/>
          <w:szCs w:val="24"/>
        </w:rPr>
        <w:t xml:space="preserve"> one would want</w:t>
      </w:r>
      <w:r>
        <w:rPr>
          <w:rFonts w:ascii="Times New Roman" w:hAnsi="Times New Roman"/>
          <w:bCs/>
          <w:sz w:val="24"/>
          <w:szCs w:val="24"/>
        </w:rPr>
        <w:t>.</w:t>
      </w:r>
    </w:p>
    <w:p w:rsidR="00D27709" w:rsidRDefault="00D27709" w:rsidP="006B7888">
      <w:pPr>
        <w:ind w:firstLine="0"/>
        <w:rPr>
          <w:rFonts w:ascii="Times New Roman" w:hAnsi="Times New Roman"/>
          <w:b/>
          <w:noProof/>
          <w:sz w:val="24"/>
          <w:szCs w:val="24"/>
        </w:rPr>
      </w:pPr>
    </w:p>
    <w:p w:rsidR="00C0412F" w:rsidRPr="00C0412F" w:rsidRDefault="00C0412F" w:rsidP="006B7888">
      <w:pPr>
        <w:ind w:firstLine="0"/>
        <w:rPr>
          <w:rFonts w:ascii="Times New Roman" w:hAnsi="Times New Roman"/>
          <w:b/>
          <w:bCs/>
          <w:sz w:val="24"/>
          <w:szCs w:val="24"/>
        </w:rPr>
      </w:pPr>
      <w:r w:rsidRPr="00C0412F">
        <w:rPr>
          <w:rFonts w:ascii="Times New Roman" w:hAnsi="Times New Roman"/>
          <w:b/>
          <w:noProof/>
          <w:sz w:val="24"/>
          <w:szCs w:val="24"/>
        </w:rPr>
        <w:t>Levels, or Rates of Change?</w:t>
      </w:r>
    </w:p>
    <w:p w:rsidR="001751C4" w:rsidRDefault="001751C4" w:rsidP="007A7C18">
      <w:pPr>
        <w:ind w:firstLine="360"/>
        <w:rPr>
          <w:rFonts w:ascii="Times New Roman" w:hAnsi="Times New Roman"/>
          <w:bCs/>
          <w:sz w:val="24"/>
          <w:szCs w:val="24"/>
        </w:rPr>
      </w:pPr>
      <w:r>
        <w:rPr>
          <w:rFonts w:ascii="Times New Roman" w:hAnsi="Times New Roman"/>
          <w:bCs/>
          <w:sz w:val="24"/>
          <w:szCs w:val="24"/>
        </w:rPr>
        <w:t>There is a potentially important question whether real GDP, the price level, and nominal GDP are to be defined in terms of levels or rates of change.  The version of NGDP targeting that has been revived in recent y</w:t>
      </w:r>
      <w:r w:rsidR="00B377A6">
        <w:rPr>
          <w:rFonts w:ascii="Times New Roman" w:hAnsi="Times New Roman"/>
          <w:bCs/>
          <w:sz w:val="24"/>
          <w:szCs w:val="24"/>
        </w:rPr>
        <w:t>ears is often</w:t>
      </w:r>
      <w:r>
        <w:rPr>
          <w:rFonts w:ascii="Times New Roman" w:hAnsi="Times New Roman"/>
          <w:bCs/>
          <w:sz w:val="24"/>
          <w:szCs w:val="24"/>
        </w:rPr>
        <w:t xml:space="preserve"> a proposal to target the level of NGDP rather than the rate of change. (Recall that the immediate context, in the case of industrialized countries, is an attempt to achieve monetary expansion even when the nominal interest rate is constrained by the Zero Lower Bound.) The argument is that if the expansion turns out to fall short of the target in the first year, and yet the intentions of the authority are ultimately credible, then the shortfall will automatically generate a</w:t>
      </w:r>
      <w:r w:rsidR="00B377A6">
        <w:rPr>
          <w:rFonts w:ascii="Times New Roman" w:hAnsi="Times New Roman"/>
          <w:bCs/>
          <w:sz w:val="24"/>
          <w:szCs w:val="24"/>
        </w:rPr>
        <w:t xml:space="preserve"> further</w:t>
      </w:r>
      <w:r>
        <w:rPr>
          <w:rFonts w:ascii="Times New Roman" w:hAnsi="Times New Roman"/>
          <w:bCs/>
          <w:sz w:val="24"/>
          <w:szCs w:val="24"/>
        </w:rPr>
        <w:t xml:space="preserve"> boost to public expectations of coming monetary expansion and inflation, a reduction in the real interest rate, and thereby an accelerated movement toward the target.  This argument for targeting the level of NGDP rather than the rate of growth is the same that had been offered </w:t>
      </w:r>
      <w:r w:rsidR="00B377A6">
        <w:rPr>
          <w:rFonts w:ascii="Times New Roman" w:hAnsi="Times New Roman"/>
          <w:bCs/>
          <w:sz w:val="24"/>
          <w:szCs w:val="24"/>
        </w:rPr>
        <w:t xml:space="preserve">earlier </w:t>
      </w:r>
      <w:r>
        <w:rPr>
          <w:rFonts w:ascii="Times New Roman" w:hAnsi="Times New Roman"/>
          <w:bCs/>
          <w:sz w:val="24"/>
          <w:szCs w:val="24"/>
        </w:rPr>
        <w:t xml:space="preserve">for proposals to announce a target for the price level rather than the inflation rate.  In both cases, the pro argument is a faster return to the goal, provided the policy is credible.  In both cases, the con argument is that the public may not understand, and may not believe, a target phrased in terms of the level of NGDP or the price level, as easily as a target phrased in terms of the rate of growth.  </w:t>
      </w:r>
    </w:p>
    <w:p w:rsidR="001751C4" w:rsidRDefault="001751C4" w:rsidP="007A7C18">
      <w:pPr>
        <w:ind w:firstLine="360"/>
        <w:rPr>
          <w:rFonts w:ascii="Times New Roman" w:hAnsi="Times New Roman"/>
          <w:bCs/>
          <w:sz w:val="24"/>
          <w:szCs w:val="24"/>
        </w:rPr>
      </w:pPr>
      <w:r>
        <w:rPr>
          <w:rFonts w:ascii="Times New Roman" w:hAnsi="Times New Roman"/>
          <w:bCs/>
          <w:sz w:val="24"/>
          <w:szCs w:val="24"/>
        </w:rPr>
        <w:t>In the simple model developed below, we express variables in level terms.  But that is only because we are thinking of everything defined as shocks, deviations from what was expected.  The announcement of a goal for the rate of growth of nominal GDP one year into the future is the same as the announcement of a goal for the level one year into the future (given today’s level).  The authorities might rebase the target at the end of the first year, or they might not.  The central issue here is nominal GDP versus CPI, not level versus rate of growth.</w:t>
      </w:r>
    </w:p>
    <w:p w:rsidR="00D27709" w:rsidRDefault="00D27709" w:rsidP="007A7C18">
      <w:pPr>
        <w:ind w:firstLine="360"/>
        <w:rPr>
          <w:rFonts w:ascii="Times New Roman" w:hAnsi="Times New Roman"/>
          <w:bCs/>
          <w:sz w:val="24"/>
          <w:szCs w:val="24"/>
        </w:rPr>
      </w:pPr>
    </w:p>
    <w:p w:rsidR="00C0412F" w:rsidRPr="00C0412F" w:rsidRDefault="00C0412F" w:rsidP="00C0412F">
      <w:pPr>
        <w:ind w:firstLine="0"/>
        <w:rPr>
          <w:rFonts w:ascii="Times New Roman" w:hAnsi="Times New Roman"/>
          <w:b/>
          <w:bCs/>
          <w:sz w:val="24"/>
          <w:szCs w:val="24"/>
        </w:rPr>
      </w:pPr>
      <w:r w:rsidRPr="00C0412F">
        <w:rPr>
          <w:rFonts w:ascii="Times New Roman" w:hAnsi="Times New Roman"/>
          <w:b/>
          <w:bCs/>
          <w:sz w:val="24"/>
          <w:szCs w:val="24"/>
        </w:rPr>
        <w:lastRenderedPageBreak/>
        <w:t>The Effects of Supply Shocks</w:t>
      </w:r>
    </w:p>
    <w:p w:rsidR="001751C4" w:rsidRPr="00E97BA7" w:rsidRDefault="001751C4" w:rsidP="007A7C18">
      <w:pPr>
        <w:ind w:firstLine="360"/>
        <w:contextualSpacing/>
        <w:rPr>
          <w:rFonts w:ascii="Times New Roman" w:hAnsi="Times New Roman"/>
          <w:bCs/>
          <w:sz w:val="16"/>
          <w:szCs w:val="16"/>
        </w:rPr>
      </w:pPr>
      <w:r>
        <w:rPr>
          <w:rFonts w:ascii="Times New Roman" w:hAnsi="Times New Roman"/>
          <w:bCs/>
          <w:sz w:val="24"/>
          <w:szCs w:val="24"/>
        </w:rPr>
        <w:t>Consider how each of three regimes behaves under each of three s</w:t>
      </w:r>
      <w:r w:rsidR="00026CBB">
        <w:rPr>
          <w:rFonts w:ascii="Times New Roman" w:hAnsi="Times New Roman"/>
          <w:bCs/>
          <w:sz w:val="24"/>
          <w:szCs w:val="24"/>
        </w:rPr>
        <w:t>hocks</w:t>
      </w:r>
      <w:r>
        <w:rPr>
          <w:rFonts w:ascii="Times New Roman" w:hAnsi="Times New Roman"/>
          <w:bCs/>
          <w:sz w:val="24"/>
          <w:szCs w:val="24"/>
        </w:rPr>
        <w:t>: a pure domestic supply s</w:t>
      </w:r>
      <w:r w:rsidR="005900E2">
        <w:rPr>
          <w:rFonts w:ascii="Times New Roman" w:hAnsi="Times New Roman"/>
          <w:bCs/>
          <w:sz w:val="24"/>
          <w:szCs w:val="24"/>
        </w:rPr>
        <w:t>hock (such as a drought or eart</w:t>
      </w:r>
      <w:r>
        <w:rPr>
          <w:rFonts w:ascii="Times New Roman" w:hAnsi="Times New Roman"/>
          <w:bCs/>
          <w:sz w:val="24"/>
          <w:szCs w:val="24"/>
        </w:rPr>
        <w:t xml:space="preserve">hquake) and two kinds of terms of trade shocks: a fall in the price of the export good, say </w:t>
      </w:r>
      <w:r w:rsidR="00026CBB">
        <w:rPr>
          <w:rFonts w:ascii="Times New Roman" w:hAnsi="Times New Roman"/>
          <w:bCs/>
          <w:sz w:val="24"/>
          <w:szCs w:val="24"/>
        </w:rPr>
        <w:t>autos</w:t>
      </w:r>
      <w:r>
        <w:rPr>
          <w:rFonts w:ascii="Times New Roman" w:hAnsi="Times New Roman"/>
          <w:bCs/>
          <w:sz w:val="24"/>
          <w:szCs w:val="24"/>
        </w:rPr>
        <w:t xml:space="preserve">, and a rise in the price of the import good, say </w:t>
      </w:r>
      <w:r w:rsidR="00026CBB">
        <w:rPr>
          <w:rFonts w:ascii="Times New Roman" w:hAnsi="Times New Roman"/>
          <w:bCs/>
          <w:sz w:val="24"/>
          <w:szCs w:val="24"/>
        </w:rPr>
        <w:t>oil</w:t>
      </w:r>
      <w:r>
        <w:rPr>
          <w:rFonts w:ascii="Times New Roman" w:hAnsi="Times New Roman"/>
          <w:bCs/>
          <w:sz w:val="24"/>
          <w:szCs w:val="24"/>
        </w:rPr>
        <w:t>.  Of course other sorts of shocks can happen as well; but the premise here is that we are talking about a country where these three kinds of shocks are the biggest ones.</w:t>
      </w:r>
    </w:p>
    <w:p w:rsidR="001751C4" w:rsidRPr="00450173" w:rsidRDefault="001751C4" w:rsidP="00450173">
      <w:pPr>
        <w:contextualSpacing/>
      </w:pPr>
      <w:r>
        <w:rPr>
          <w:rFonts w:ascii="Times New Roman" w:hAnsi="Times New Roman"/>
          <w:bCs/>
          <w:sz w:val="24"/>
          <w:szCs w:val="24"/>
        </w:rPr>
        <w:t xml:space="preserve">In the case of the exchange rate target, the currency is prevented from depreciating in response to an adverse supply shock or terms of trade shock, leaving the economy with a trade deficit (and with a loss in income if the shock is a fall in the price of </w:t>
      </w:r>
      <w:r w:rsidR="00026CBB">
        <w:rPr>
          <w:rFonts w:ascii="Times New Roman" w:hAnsi="Times New Roman"/>
          <w:bCs/>
          <w:sz w:val="24"/>
          <w:szCs w:val="24"/>
        </w:rPr>
        <w:t>the</w:t>
      </w:r>
      <w:r>
        <w:rPr>
          <w:rFonts w:ascii="Times New Roman" w:hAnsi="Times New Roman"/>
          <w:bCs/>
          <w:sz w:val="24"/>
          <w:szCs w:val="24"/>
        </w:rPr>
        <w:t xml:space="preserve"> export, inflation if the shock is a rise in import prices, and both if it is a supply shock).    The CPI target, if taken seriously, can actually call for a monetary policy reaction that has the exchange rate moving in the wrong direction in response to these shocks.  Only the nominal GDP target has the exchange rate depreciating in response to an adverse domestic supply shock o</w:t>
      </w:r>
      <w:r w:rsidR="00026CBB">
        <w:rPr>
          <w:rFonts w:ascii="Times New Roman" w:hAnsi="Times New Roman"/>
          <w:bCs/>
          <w:sz w:val="24"/>
          <w:szCs w:val="24"/>
        </w:rPr>
        <w:t>r fall in the world price of the export commodity</w:t>
      </w:r>
      <w:r>
        <w:rPr>
          <w:rFonts w:ascii="Times New Roman" w:hAnsi="Times New Roman"/>
          <w:bCs/>
          <w:sz w:val="24"/>
          <w:szCs w:val="24"/>
        </w:rPr>
        <w:t>.</w:t>
      </w:r>
    </w:p>
    <w:p w:rsidR="001751C4" w:rsidRPr="00EE0D69" w:rsidRDefault="001751C4" w:rsidP="00EE0D69">
      <w:pPr>
        <w:contextualSpacing/>
        <w:rPr>
          <w:rFonts w:ascii="Times New Roman" w:hAnsi="Times New Roman"/>
          <w:sz w:val="24"/>
          <w:szCs w:val="24"/>
        </w:rPr>
      </w:pPr>
      <w:r w:rsidRPr="00450173">
        <w:rPr>
          <w:rFonts w:ascii="Times New Roman" w:hAnsi="Times New Roman"/>
          <w:sz w:val="24"/>
          <w:szCs w:val="24"/>
        </w:rPr>
        <w:t xml:space="preserve">Under strict IT, to prevent the price index from rising in the </w:t>
      </w:r>
      <w:r w:rsidR="00670D0C">
        <w:rPr>
          <w:rFonts w:ascii="Times New Roman" w:hAnsi="Times New Roman"/>
          <w:sz w:val="24"/>
          <w:szCs w:val="24"/>
        </w:rPr>
        <w:t>face of an adverse supply shock</w:t>
      </w:r>
      <w:r w:rsidRPr="00450173">
        <w:rPr>
          <w:rFonts w:ascii="Times New Roman" w:hAnsi="Times New Roman"/>
          <w:sz w:val="24"/>
          <w:szCs w:val="24"/>
        </w:rPr>
        <w:t xml:space="preserve"> monetary policy must tighten so much that the entire brunt of the fall in nominal GDP is borne by real GDP.   As shown in Figure 2, the consequent fall in output puts the economy at </w:t>
      </w:r>
      <w:r w:rsidR="002B6267" w:rsidRPr="00450173">
        <w:rPr>
          <w:rFonts w:ascii="Times New Roman" w:hAnsi="Times New Roman"/>
          <w:sz w:val="24"/>
          <w:szCs w:val="24"/>
        </w:rPr>
        <w:t>an</w:t>
      </w:r>
      <w:r w:rsidRPr="00450173">
        <w:rPr>
          <w:rFonts w:ascii="Times New Roman" w:hAnsi="Times New Roman"/>
          <w:sz w:val="24"/>
          <w:szCs w:val="24"/>
        </w:rPr>
        <w:t xml:space="preserve"> </w:t>
      </w:r>
      <w:r w:rsidR="00670D0C">
        <w:rPr>
          <w:rFonts w:ascii="Times New Roman" w:hAnsi="Times New Roman"/>
          <w:sz w:val="24"/>
          <w:szCs w:val="24"/>
        </w:rPr>
        <w:t>inferior</w:t>
      </w:r>
      <w:r w:rsidRPr="00450173">
        <w:rPr>
          <w:rFonts w:ascii="Times New Roman" w:hAnsi="Times New Roman"/>
          <w:sz w:val="24"/>
          <w:szCs w:val="24"/>
        </w:rPr>
        <w:t xml:space="preserve"> (at point B</w:t>
      </w:r>
      <w:r w:rsidR="00670D0C">
        <w:rPr>
          <w:rFonts w:ascii="Times New Roman" w:hAnsi="Times New Roman"/>
          <w:sz w:val="24"/>
          <w:szCs w:val="24"/>
        </w:rPr>
        <w:t>, on a relatively inferior iso-welfare curve</w:t>
      </w:r>
      <w:r w:rsidRPr="00450173">
        <w:rPr>
          <w:rFonts w:ascii="Times New Roman" w:hAnsi="Times New Roman"/>
          <w:sz w:val="24"/>
          <w:szCs w:val="24"/>
        </w:rPr>
        <w:t>).  Most reasonable objective functions would, instead, tell the monetary authorities to allow part of the temporary shock to show up as an increase in the price level</w:t>
      </w:r>
      <w:r w:rsidR="00670D0C">
        <w:rPr>
          <w:rFonts w:ascii="Times New Roman" w:hAnsi="Times New Roman"/>
          <w:sz w:val="24"/>
          <w:szCs w:val="24"/>
        </w:rPr>
        <w:t xml:space="preserve"> so that the fall in output need not be a severe</w:t>
      </w:r>
      <w:r w:rsidRPr="00450173">
        <w:rPr>
          <w:rFonts w:ascii="Times New Roman" w:hAnsi="Times New Roman"/>
          <w:sz w:val="24"/>
          <w:szCs w:val="24"/>
        </w:rPr>
        <w:t>.</w:t>
      </w:r>
      <w:r w:rsidRPr="00450173">
        <w:rPr>
          <w:rStyle w:val="FootnoteReference"/>
          <w:rFonts w:ascii="Times New Roman" w:hAnsi="Times New Roman"/>
          <w:sz w:val="24"/>
          <w:szCs w:val="24"/>
        </w:rPr>
        <w:footnoteReference w:id="7"/>
      </w:r>
      <w:r w:rsidR="00EE0D69">
        <w:rPr>
          <w:rFonts w:ascii="Times New Roman" w:hAnsi="Times New Roman"/>
          <w:bCs/>
          <w:sz w:val="24"/>
          <w:szCs w:val="24"/>
        </w:rPr>
        <w:br/>
      </w:r>
      <w:r w:rsidR="00EE0D69">
        <w:rPr>
          <w:rFonts w:ascii="Times New Roman" w:hAnsi="Times New Roman"/>
          <w:bCs/>
          <w:sz w:val="24"/>
          <w:szCs w:val="24"/>
        </w:rPr>
        <w:br/>
      </w:r>
      <w:r w:rsidRPr="00450173">
        <w:rPr>
          <w:rFonts w:ascii="Berlin Sans FB" w:hAnsi="Berlin Sans FB"/>
          <w:b/>
        </w:rPr>
        <w:t>Figure 2: When a Nominal GDP Target Delivers a Better Outcome than IT</w:t>
      </w:r>
      <w:r w:rsidR="005523EE" w:rsidRPr="005523EE">
        <w:rPr>
          <w:rFonts w:ascii="Berlin Sans FB" w:hAnsi="Berlin Sans FB"/>
          <w:b/>
          <w:sz w:val="8"/>
          <w:szCs w:val="8"/>
        </w:rPr>
        <w:br/>
      </w:r>
    </w:p>
    <w:p w:rsidR="001751C4" w:rsidRDefault="005523EE" w:rsidP="00715300">
      <w:pPr>
        <w:rPr>
          <w:rFonts w:ascii="Times New Roman" w:hAnsi="Times New Roman"/>
          <w:bCs/>
          <w:sz w:val="24"/>
          <w:szCs w:val="24"/>
        </w:rPr>
      </w:pPr>
      <w:r>
        <w:rPr>
          <w:rFonts w:ascii="Times New Roman" w:hAnsi="Times New Roman"/>
          <w:noProof/>
          <w:sz w:val="24"/>
          <w:szCs w:val="24"/>
        </w:rPr>
        <w:lastRenderedPageBreak/>
        <w:t xml:space="preserve">  </w:t>
      </w:r>
      <w:r w:rsidR="00C36273">
        <w:rPr>
          <w:rFonts w:ascii="Times New Roman" w:hAnsi="Times New Roman"/>
          <w:noProof/>
          <w:sz w:val="24"/>
          <w:szCs w:val="24"/>
        </w:rPr>
        <w:pict>
          <v:shape id="Picture 1" o:spid="_x0000_i1026" type="#_x0000_t75" style="width:363pt;height:267pt;visibility:visible">
            <v:imagedata r:id="rId10" o:title=""/>
          </v:shape>
        </w:pict>
      </w:r>
    </w:p>
    <w:p w:rsidR="001751C4" w:rsidRDefault="00EE0D69" w:rsidP="00715300">
      <w:pPr>
        <w:contextualSpacing/>
        <w:rPr>
          <w:rFonts w:ascii="Berlin Sans FB" w:hAnsi="Berlin Sans FB"/>
        </w:rPr>
      </w:pPr>
      <w:r>
        <w:rPr>
          <w:rFonts w:ascii="Times New Roman" w:hAnsi="Times New Roman"/>
          <w:bCs/>
          <w:sz w:val="24"/>
          <w:szCs w:val="24"/>
        </w:rPr>
        <w:t>Under t</w:t>
      </w:r>
      <w:r w:rsidRPr="00450173">
        <w:rPr>
          <w:rFonts w:ascii="Times New Roman" w:hAnsi="Times New Roman"/>
          <w:bCs/>
          <w:sz w:val="24"/>
          <w:szCs w:val="24"/>
        </w:rPr>
        <w:t xml:space="preserve">he </w:t>
      </w:r>
      <w:r>
        <w:rPr>
          <w:rFonts w:ascii="Times New Roman" w:hAnsi="Times New Roman"/>
          <w:bCs/>
          <w:sz w:val="24"/>
          <w:szCs w:val="24"/>
        </w:rPr>
        <w:t>N</w:t>
      </w:r>
      <w:r w:rsidRPr="00450173">
        <w:rPr>
          <w:rFonts w:ascii="Times New Roman" w:hAnsi="Times New Roman"/>
          <w:bCs/>
          <w:sz w:val="24"/>
          <w:szCs w:val="24"/>
        </w:rPr>
        <w:t>GDP target</w:t>
      </w:r>
      <w:r>
        <w:rPr>
          <w:rFonts w:ascii="Times New Roman" w:hAnsi="Times New Roman"/>
          <w:bCs/>
          <w:sz w:val="24"/>
          <w:szCs w:val="24"/>
        </w:rPr>
        <w:t>, the adverse supply shock puts the economy at point C.  This</w:t>
      </w:r>
      <w:r w:rsidRPr="00450173">
        <w:rPr>
          <w:rFonts w:ascii="Times New Roman" w:hAnsi="Times New Roman"/>
          <w:bCs/>
          <w:sz w:val="24"/>
          <w:szCs w:val="24"/>
        </w:rPr>
        <w:t xml:space="preserve"> gives exactly the right answer if the simple Taylor Rule’s equal weights accurately capture what discretion would</w:t>
      </w:r>
      <w:r>
        <w:rPr>
          <w:rFonts w:ascii="Times New Roman" w:hAnsi="Times New Roman"/>
          <w:bCs/>
          <w:sz w:val="24"/>
          <w:szCs w:val="24"/>
        </w:rPr>
        <w:t xml:space="preserve"> do.  </w:t>
      </w:r>
      <w:r w:rsidRPr="00450173">
        <w:rPr>
          <w:rFonts w:ascii="Times New Roman" w:hAnsi="Times New Roman"/>
          <w:bCs/>
          <w:sz w:val="24"/>
          <w:szCs w:val="24"/>
        </w:rPr>
        <w:t xml:space="preserve">In other words, under these special conditions, it captures the advantages of discretion but </w:t>
      </w:r>
      <w:r>
        <w:rPr>
          <w:rFonts w:ascii="Times New Roman" w:hAnsi="Times New Roman"/>
          <w:bCs/>
          <w:sz w:val="24"/>
          <w:szCs w:val="24"/>
        </w:rPr>
        <w:t xml:space="preserve">also the advantages of a transparent rule, for example avoiding </w:t>
      </w:r>
      <w:r w:rsidRPr="00450173">
        <w:rPr>
          <w:rFonts w:ascii="Times New Roman" w:hAnsi="Times New Roman"/>
          <w:bCs/>
          <w:sz w:val="24"/>
          <w:szCs w:val="24"/>
        </w:rPr>
        <w:t xml:space="preserve">the inflation bias that the Barro-Gordon </w:t>
      </w:r>
      <w:r>
        <w:rPr>
          <w:rFonts w:ascii="Times New Roman" w:hAnsi="Times New Roman"/>
          <w:bCs/>
          <w:sz w:val="24"/>
          <w:szCs w:val="24"/>
        </w:rPr>
        <w:t>model attributes to discretion.</w:t>
      </w:r>
      <w:r w:rsidRPr="00450173">
        <w:rPr>
          <w:rFonts w:ascii="Times New Roman" w:hAnsi="Times New Roman"/>
          <w:bCs/>
          <w:sz w:val="24"/>
          <w:szCs w:val="24"/>
        </w:rPr>
        <w:t xml:space="preserve">  Even if not exact, the </w:t>
      </w:r>
      <w:r>
        <w:rPr>
          <w:rFonts w:ascii="Times New Roman" w:hAnsi="Times New Roman"/>
          <w:bCs/>
          <w:sz w:val="24"/>
          <w:szCs w:val="24"/>
        </w:rPr>
        <w:t>true</w:t>
      </w:r>
      <w:r w:rsidRPr="00450173">
        <w:rPr>
          <w:rFonts w:ascii="Times New Roman" w:hAnsi="Times New Roman"/>
          <w:bCs/>
          <w:sz w:val="24"/>
          <w:szCs w:val="24"/>
        </w:rPr>
        <w:t xml:space="preserve"> objective function would have to put far more weight on the price stability objective than the output objective, or AS would have to be very steep, for the price rule to give a better outcome.  That is not impossible: the case where IT dominates nominal GDP targeting even in the face of a supply shock is shown in Figure 3.  It requires a steep AS curve and a flat loss-function tradeoff between output and inflation.</w:t>
      </w:r>
      <w:r>
        <w:rPr>
          <w:rFonts w:ascii="Times New Roman" w:hAnsi="Times New Roman"/>
          <w:bCs/>
          <w:sz w:val="24"/>
          <w:szCs w:val="24"/>
        </w:rPr>
        <w:t xml:space="preserve">  These are parameters that can be estimated.</w:t>
      </w:r>
      <w:r w:rsidR="005523EE">
        <w:rPr>
          <w:rFonts w:ascii="Berlin Sans FB" w:hAnsi="Berlin Sans FB"/>
        </w:rPr>
        <w:br/>
      </w:r>
    </w:p>
    <w:p w:rsidR="001751C4" w:rsidRPr="005523EE" w:rsidRDefault="001751C4" w:rsidP="00715300">
      <w:pPr>
        <w:contextualSpacing/>
        <w:rPr>
          <w:rFonts w:ascii="Berlin Sans FB" w:hAnsi="Berlin Sans FB"/>
          <w:b/>
          <w:sz w:val="8"/>
          <w:szCs w:val="8"/>
        </w:rPr>
      </w:pPr>
      <w:r w:rsidRPr="00450173">
        <w:rPr>
          <w:rFonts w:ascii="Berlin Sans FB" w:hAnsi="Berlin Sans FB"/>
          <w:b/>
        </w:rPr>
        <w:t>Figure 3: When IT Delivers a Better Outcome than a Nominal GDP Target</w:t>
      </w:r>
      <w:r w:rsidR="005523EE" w:rsidRPr="005523EE">
        <w:rPr>
          <w:rFonts w:ascii="Berlin Sans FB" w:hAnsi="Berlin Sans FB"/>
          <w:b/>
          <w:sz w:val="8"/>
          <w:szCs w:val="8"/>
        </w:rPr>
        <w:br/>
      </w:r>
    </w:p>
    <w:p w:rsidR="001751C4" w:rsidRDefault="005523EE" w:rsidP="00715300">
      <w:pPr>
        <w:rPr>
          <w:rFonts w:ascii="Times New Roman" w:hAnsi="Times New Roman"/>
          <w:bCs/>
          <w:sz w:val="24"/>
          <w:szCs w:val="24"/>
        </w:rPr>
      </w:pPr>
      <w:r>
        <w:rPr>
          <w:rFonts w:ascii="Times New Roman" w:hAnsi="Times New Roman"/>
          <w:noProof/>
          <w:sz w:val="24"/>
          <w:szCs w:val="24"/>
        </w:rPr>
        <w:lastRenderedPageBreak/>
        <w:t xml:space="preserve">  </w:t>
      </w:r>
      <w:r w:rsidR="00C36273">
        <w:rPr>
          <w:rFonts w:ascii="Times New Roman" w:hAnsi="Times New Roman"/>
          <w:noProof/>
          <w:sz w:val="24"/>
          <w:szCs w:val="24"/>
        </w:rPr>
        <w:pict>
          <v:shape id="_x0000_i1027" type="#_x0000_t75" style="width:363pt;height:253.8pt;visibility:visible">
            <v:imagedata r:id="rId11" o:title=""/>
          </v:shape>
        </w:pict>
      </w:r>
    </w:p>
    <w:p w:rsidR="001751C4" w:rsidRDefault="001751C4" w:rsidP="00715300">
      <w:pPr>
        <w:rPr>
          <w:rFonts w:ascii="Times New Roman" w:hAnsi="Times New Roman"/>
          <w:bCs/>
          <w:sz w:val="24"/>
          <w:szCs w:val="24"/>
        </w:rPr>
      </w:pPr>
    </w:p>
    <w:p w:rsidR="001751C4" w:rsidRPr="001E1999" w:rsidRDefault="005523EE" w:rsidP="00715300">
      <w:pPr>
        <w:rPr>
          <w:rFonts w:ascii="Times New Roman" w:hAnsi="Times New Roman"/>
          <w:bCs/>
          <w:sz w:val="24"/>
          <w:szCs w:val="24"/>
        </w:rPr>
      </w:pPr>
      <w:r>
        <w:rPr>
          <w:rFonts w:ascii="Times New Roman" w:hAnsi="Times New Roman"/>
          <w:b/>
          <w:bCs/>
          <w:sz w:val="24"/>
          <w:szCs w:val="24"/>
        </w:rPr>
        <w:br w:type="page"/>
      </w:r>
      <w:r w:rsidR="00715300">
        <w:rPr>
          <w:rFonts w:ascii="Times New Roman" w:hAnsi="Times New Roman"/>
          <w:b/>
          <w:bCs/>
          <w:sz w:val="24"/>
          <w:szCs w:val="24"/>
        </w:rPr>
        <w:lastRenderedPageBreak/>
        <w:t>T</w:t>
      </w:r>
      <w:r w:rsidR="00A322F7">
        <w:rPr>
          <w:rFonts w:ascii="Times New Roman" w:hAnsi="Times New Roman"/>
          <w:b/>
          <w:bCs/>
          <w:sz w:val="24"/>
          <w:szCs w:val="24"/>
        </w:rPr>
        <w:t>he S</w:t>
      </w:r>
      <w:r w:rsidR="001751C4" w:rsidRPr="001E1999">
        <w:rPr>
          <w:rFonts w:ascii="Times New Roman" w:hAnsi="Times New Roman"/>
          <w:b/>
          <w:bCs/>
          <w:sz w:val="24"/>
          <w:szCs w:val="24"/>
        </w:rPr>
        <w:t>imple</w:t>
      </w:r>
      <w:r w:rsidR="00715300">
        <w:rPr>
          <w:rFonts w:ascii="Times New Roman" w:hAnsi="Times New Roman"/>
          <w:b/>
          <w:bCs/>
          <w:sz w:val="24"/>
          <w:szCs w:val="24"/>
        </w:rPr>
        <w:t xml:space="preserve"> </w:t>
      </w:r>
      <w:r w:rsidR="00A322F7">
        <w:rPr>
          <w:rFonts w:ascii="Times New Roman" w:hAnsi="Times New Roman"/>
          <w:b/>
          <w:bCs/>
          <w:sz w:val="24"/>
          <w:szCs w:val="24"/>
        </w:rPr>
        <w:t>T</w:t>
      </w:r>
      <w:r w:rsidR="00715300">
        <w:rPr>
          <w:rFonts w:ascii="Times New Roman" w:hAnsi="Times New Roman"/>
          <w:b/>
          <w:bCs/>
          <w:sz w:val="24"/>
          <w:szCs w:val="24"/>
        </w:rPr>
        <w:t>heoretical</w:t>
      </w:r>
      <w:r w:rsidR="001751C4" w:rsidRPr="001E1999">
        <w:rPr>
          <w:rFonts w:ascii="Times New Roman" w:hAnsi="Times New Roman"/>
          <w:b/>
          <w:bCs/>
          <w:sz w:val="24"/>
          <w:szCs w:val="24"/>
        </w:rPr>
        <w:t xml:space="preserve"> </w:t>
      </w:r>
      <w:r w:rsidR="00A322F7">
        <w:rPr>
          <w:rFonts w:ascii="Times New Roman" w:hAnsi="Times New Roman"/>
          <w:b/>
          <w:bCs/>
          <w:sz w:val="24"/>
          <w:szCs w:val="24"/>
        </w:rPr>
        <w:t>M</w:t>
      </w:r>
      <w:r w:rsidR="001751C4" w:rsidRPr="001E1999">
        <w:rPr>
          <w:rFonts w:ascii="Times New Roman" w:hAnsi="Times New Roman"/>
          <w:b/>
          <w:bCs/>
          <w:sz w:val="24"/>
          <w:szCs w:val="24"/>
        </w:rPr>
        <w:t>odel</w:t>
      </w:r>
    </w:p>
    <w:p w:rsidR="005523EE" w:rsidRDefault="005523EE" w:rsidP="00715300">
      <w:pPr>
        <w:rPr>
          <w:rFonts w:ascii="Times New Roman" w:hAnsi="Times New Roman"/>
          <w:bCs/>
          <w:sz w:val="24"/>
          <w:szCs w:val="24"/>
        </w:rPr>
      </w:pPr>
      <w:r>
        <w:rPr>
          <w:rFonts w:ascii="Times New Roman" w:hAnsi="Times New Roman"/>
          <w:bCs/>
          <w:sz w:val="24"/>
          <w:szCs w:val="24"/>
        </w:rPr>
        <w:t>This section outlines the theory behind Figures 2 and 3.</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rPr>
        <w:t xml:space="preserve">We assume only two equations, one a supply relationship and </w:t>
      </w:r>
      <w:r w:rsidR="00A322F7">
        <w:rPr>
          <w:rFonts w:ascii="Times New Roman" w:hAnsi="Times New Roman"/>
          <w:bCs/>
          <w:sz w:val="24"/>
          <w:szCs w:val="24"/>
        </w:rPr>
        <w:t>the other</w:t>
      </w:r>
      <w:r w:rsidRPr="001E1999">
        <w:rPr>
          <w:rFonts w:ascii="Times New Roman" w:hAnsi="Times New Roman"/>
          <w:bCs/>
          <w:sz w:val="24"/>
          <w:szCs w:val="24"/>
        </w:rPr>
        <w:t xml:space="preserve"> for </w:t>
      </w:r>
      <w:r w:rsidR="005900E2" w:rsidRPr="001E1999">
        <w:rPr>
          <w:rFonts w:ascii="Times New Roman" w:hAnsi="Times New Roman"/>
          <w:bCs/>
          <w:sz w:val="24"/>
          <w:szCs w:val="24"/>
        </w:rPr>
        <w:t>demand:</w:t>
      </w:r>
    </w:p>
    <w:p w:rsidR="001751C4" w:rsidRPr="001E1999" w:rsidRDefault="001751C4" w:rsidP="00715300">
      <w:pPr>
        <w:rPr>
          <w:rFonts w:ascii="Times New Roman" w:hAnsi="Times New Roman"/>
          <w:bCs/>
          <w:sz w:val="24"/>
          <w:szCs w:val="24"/>
          <w:lang w:val="fr-FR"/>
        </w:rPr>
      </w:pPr>
      <w:r w:rsidRPr="001E1999">
        <w:rPr>
          <w:rFonts w:ascii="Times New Roman" w:hAnsi="Times New Roman"/>
          <w:bCs/>
          <w:sz w:val="24"/>
          <w:szCs w:val="24"/>
          <w:lang w:val="fr-FR"/>
        </w:rPr>
        <w:t xml:space="preserve">AS:  </w:t>
      </w:r>
      <w:r w:rsidRPr="001E1999">
        <w:rPr>
          <w:rFonts w:ascii="Times New Roman" w:hAnsi="Times New Roman"/>
          <w:bCs/>
          <w:i/>
          <w:sz w:val="24"/>
          <w:szCs w:val="24"/>
          <w:lang w:val="fr-FR"/>
        </w:rPr>
        <w:t>y</w:t>
      </w:r>
      <w:r w:rsidRPr="001E1999">
        <w:rPr>
          <w:rFonts w:ascii="Times New Roman" w:hAnsi="Times New Roman"/>
          <w:bCs/>
          <w:i/>
          <w:sz w:val="24"/>
          <w:szCs w:val="24"/>
          <w:vertAlign w:val="subscript"/>
          <w:lang w:val="fr-FR"/>
        </w:rPr>
        <w:t xml:space="preserve"> t</w:t>
      </w:r>
      <w:r w:rsidRPr="001E1999">
        <w:rPr>
          <w:rFonts w:ascii="Times New Roman" w:hAnsi="Times New Roman"/>
          <w:bCs/>
          <w:sz w:val="24"/>
          <w:szCs w:val="24"/>
          <w:lang w:val="fr-FR"/>
        </w:rPr>
        <w:t xml:space="preserve">= </w:t>
      </w:r>
      <w:r w:rsidRPr="001E1999">
        <w:rPr>
          <w:rFonts w:ascii="Times New Roman" w:hAnsi="Times New Roman"/>
          <w:bCs/>
          <w:i/>
          <w:sz w:val="24"/>
          <w:szCs w:val="24"/>
          <w:lang w:val="fr-FR"/>
        </w:rPr>
        <w:t>b p</w:t>
      </w:r>
      <w:r w:rsidRPr="001E1999">
        <w:rPr>
          <w:rFonts w:ascii="Times New Roman" w:hAnsi="Times New Roman"/>
          <w:bCs/>
          <w:i/>
          <w:sz w:val="24"/>
          <w:szCs w:val="24"/>
          <w:vertAlign w:val="subscript"/>
          <w:lang w:val="fr-FR"/>
        </w:rPr>
        <w:t>t</w:t>
      </w:r>
      <w:r w:rsidRPr="001E1999">
        <w:rPr>
          <w:rFonts w:ascii="Times New Roman" w:hAnsi="Times New Roman"/>
          <w:bCs/>
          <w:i/>
          <w:sz w:val="24"/>
          <w:szCs w:val="24"/>
          <w:lang w:val="fr-FR"/>
        </w:rPr>
        <w:t xml:space="preserve"> - u</w:t>
      </w:r>
      <w:r w:rsidRPr="001E1999">
        <w:rPr>
          <w:rFonts w:ascii="Times New Roman" w:hAnsi="Times New Roman"/>
          <w:bCs/>
          <w:i/>
          <w:sz w:val="24"/>
          <w:szCs w:val="24"/>
          <w:vertAlign w:val="subscript"/>
          <w:lang w:val="fr-FR"/>
        </w:rPr>
        <w:t xml:space="preserve"> t</w:t>
      </w:r>
      <w:r w:rsidRPr="001E1999">
        <w:rPr>
          <w:rFonts w:ascii="Times New Roman" w:hAnsi="Times New Roman"/>
          <w:bCs/>
          <w:sz w:val="24"/>
          <w:szCs w:val="24"/>
          <w:lang w:val="fr-FR"/>
        </w:rPr>
        <w:tab/>
      </w:r>
      <w:r w:rsidRPr="001E1999">
        <w:rPr>
          <w:rFonts w:ascii="Times New Roman" w:hAnsi="Times New Roman"/>
          <w:bCs/>
          <w:sz w:val="24"/>
          <w:szCs w:val="24"/>
          <w:lang w:val="fr-FR"/>
        </w:rPr>
        <w:tab/>
      </w:r>
      <w:r w:rsidRPr="001E1999">
        <w:rPr>
          <w:rFonts w:ascii="Times New Roman" w:hAnsi="Times New Roman"/>
          <w:bCs/>
          <w:i/>
          <w:sz w:val="24"/>
          <w:szCs w:val="24"/>
          <w:lang w:val="fr-FR"/>
        </w:rPr>
        <w:t>u</w:t>
      </w:r>
      <w:r w:rsidRPr="001E1999">
        <w:rPr>
          <w:rFonts w:ascii="Times New Roman" w:hAnsi="Times New Roman"/>
          <w:bCs/>
          <w:i/>
          <w:sz w:val="24"/>
          <w:szCs w:val="24"/>
          <w:vertAlign w:val="subscript"/>
          <w:lang w:val="fr-FR"/>
        </w:rPr>
        <w:t xml:space="preserve"> t  </w:t>
      </w:r>
      <w:r w:rsidRPr="001E1999">
        <w:rPr>
          <w:rFonts w:ascii="Times New Roman" w:hAnsi="Times New Roman"/>
          <w:bCs/>
          <w:sz w:val="24"/>
          <w:szCs w:val="24"/>
          <w:lang w:val="fr-FR"/>
        </w:rPr>
        <w:t>≡ adverse supply shock.</w:t>
      </w:r>
      <w:r w:rsidRPr="001E1999">
        <w:rPr>
          <w:rFonts w:ascii="Times New Roman" w:hAnsi="Times New Roman"/>
          <w:b/>
          <w:bCs/>
          <w:sz w:val="24"/>
          <w:szCs w:val="24"/>
          <w:lang w:val="fr-FR"/>
        </w:rPr>
        <w:tab/>
      </w:r>
      <w:r w:rsidRPr="001E1999">
        <w:rPr>
          <w:rFonts w:ascii="Times New Roman" w:hAnsi="Times New Roman"/>
          <w:b/>
          <w:bCs/>
          <w:sz w:val="24"/>
          <w:szCs w:val="24"/>
          <w:lang w:val="fr-FR"/>
        </w:rPr>
        <w:tab/>
      </w:r>
      <w:r w:rsidRPr="001E1999">
        <w:rPr>
          <w:rFonts w:ascii="Times New Roman" w:hAnsi="Times New Roman"/>
          <w:b/>
          <w:bCs/>
          <w:sz w:val="24"/>
          <w:szCs w:val="24"/>
          <w:lang w:val="fr-FR"/>
        </w:rPr>
        <w:tab/>
      </w:r>
      <w:r w:rsidRPr="001E1999">
        <w:rPr>
          <w:rFonts w:ascii="Times New Roman" w:hAnsi="Times New Roman"/>
          <w:bCs/>
          <w:sz w:val="24"/>
          <w:szCs w:val="24"/>
          <w:lang w:val="fr-FR"/>
        </w:rPr>
        <w:tab/>
        <w:t>(1)</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lang w:val="fr-FR"/>
        </w:rPr>
        <w:t xml:space="preserve">AD: </w:t>
      </w:r>
      <w:r w:rsidRPr="001E1999">
        <w:rPr>
          <w:rFonts w:ascii="Times New Roman" w:hAnsi="Times New Roman"/>
          <w:bCs/>
          <w:i/>
          <w:sz w:val="24"/>
          <w:szCs w:val="24"/>
          <w:lang w:val="fr-FR"/>
        </w:rPr>
        <w:t>p</w:t>
      </w:r>
      <w:r w:rsidRPr="001E1999">
        <w:rPr>
          <w:rFonts w:ascii="Times New Roman" w:hAnsi="Times New Roman"/>
          <w:bCs/>
          <w:i/>
          <w:sz w:val="24"/>
          <w:szCs w:val="24"/>
          <w:vertAlign w:val="subscript"/>
          <w:lang w:val="fr-FR"/>
        </w:rPr>
        <w:t xml:space="preserve"> t</w:t>
      </w:r>
      <w:r w:rsidRPr="001E1999">
        <w:rPr>
          <w:rFonts w:ascii="Times New Roman" w:hAnsi="Times New Roman"/>
          <w:bCs/>
          <w:i/>
          <w:sz w:val="24"/>
          <w:szCs w:val="24"/>
          <w:lang w:val="fr-FR"/>
        </w:rPr>
        <w:t xml:space="preserve"> + dy</w:t>
      </w:r>
      <w:r w:rsidRPr="001E1999">
        <w:rPr>
          <w:rFonts w:ascii="Times New Roman" w:hAnsi="Times New Roman"/>
          <w:bCs/>
          <w:i/>
          <w:sz w:val="24"/>
          <w:szCs w:val="24"/>
          <w:vertAlign w:val="subscript"/>
          <w:lang w:val="fr-FR"/>
        </w:rPr>
        <w:t>t</w:t>
      </w:r>
      <w:r w:rsidRPr="001E1999">
        <w:rPr>
          <w:rFonts w:ascii="Times New Roman" w:hAnsi="Times New Roman"/>
          <w:bCs/>
          <w:i/>
          <w:sz w:val="24"/>
          <w:szCs w:val="24"/>
          <w:lang w:val="fr-FR"/>
        </w:rPr>
        <w:t xml:space="preserve"> = m</w:t>
      </w:r>
      <w:r w:rsidRPr="001E1999">
        <w:rPr>
          <w:rFonts w:ascii="Times New Roman" w:hAnsi="Times New Roman"/>
          <w:bCs/>
          <w:i/>
          <w:sz w:val="24"/>
          <w:szCs w:val="24"/>
          <w:vertAlign w:val="subscript"/>
          <w:lang w:val="fr-FR"/>
        </w:rPr>
        <w:t xml:space="preserve"> t</w:t>
      </w:r>
      <w:r w:rsidRPr="001E1999">
        <w:rPr>
          <w:rFonts w:ascii="Times New Roman" w:hAnsi="Times New Roman"/>
          <w:bCs/>
          <w:i/>
          <w:sz w:val="24"/>
          <w:szCs w:val="24"/>
          <w:lang w:val="fr-FR"/>
        </w:rPr>
        <w:t xml:space="preserve"> + v</w:t>
      </w:r>
      <w:r w:rsidRPr="001E1999">
        <w:rPr>
          <w:rFonts w:ascii="Times New Roman" w:hAnsi="Times New Roman"/>
          <w:bCs/>
          <w:i/>
          <w:sz w:val="24"/>
          <w:szCs w:val="24"/>
          <w:vertAlign w:val="subscript"/>
          <w:lang w:val="fr-FR"/>
        </w:rPr>
        <w:t xml:space="preserve"> t</w:t>
      </w:r>
      <w:r w:rsidRPr="001E1999">
        <w:rPr>
          <w:rFonts w:ascii="Times New Roman" w:hAnsi="Times New Roman"/>
          <w:bCs/>
          <w:sz w:val="24"/>
          <w:szCs w:val="24"/>
          <w:lang w:val="fr-FR"/>
        </w:rPr>
        <w:t xml:space="preserve">,      </w:t>
      </w:r>
      <w:r w:rsidRPr="001E1999">
        <w:rPr>
          <w:rFonts w:ascii="Times New Roman" w:hAnsi="Times New Roman"/>
          <w:bCs/>
          <w:sz w:val="24"/>
          <w:szCs w:val="24"/>
          <w:lang w:val="fr-FR"/>
        </w:rPr>
        <w:tab/>
      </w:r>
      <w:r w:rsidRPr="001E1999">
        <w:rPr>
          <w:rFonts w:ascii="Times New Roman" w:hAnsi="Times New Roman"/>
          <w:bCs/>
          <w:i/>
          <w:sz w:val="24"/>
          <w:szCs w:val="24"/>
          <w:lang w:val="fr-FR"/>
        </w:rPr>
        <w:t>v</w:t>
      </w:r>
      <w:r w:rsidRPr="001E1999">
        <w:rPr>
          <w:rFonts w:ascii="Times New Roman" w:hAnsi="Times New Roman"/>
          <w:bCs/>
          <w:i/>
          <w:sz w:val="24"/>
          <w:szCs w:val="24"/>
          <w:vertAlign w:val="subscript"/>
          <w:lang w:val="fr-FR"/>
        </w:rPr>
        <w:t xml:space="preserve"> t  </w:t>
      </w:r>
      <w:r w:rsidRPr="001E1999">
        <w:rPr>
          <w:rFonts w:ascii="Times New Roman" w:hAnsi="Times New Roman"/>
          <w:bCs/>
          <w:sz w:val="24"/>
          <w:szCs w:val="24"/>
          <w:lang w:val="fr-FR"/>
        </w:rPr>
        <w:t>≡ positive demand shock.</w:t>
      </w:r>
      <w:r w:rsidRPr="001E1999">
        <w:rPr>
          <w:rFonts w:ascii="Times New Roman" w:hAnsi="Times New Roman"/>
          <w:bCs/>
          <w:sz w:val="24"/>
          <w:szCs w:val="24"/>
          <w:lang w:val="fr-FR"/>
        </w:rPr>
        <w:tab/>
      </w:r>
      <w:r w:rsidRPr="001E1999">
        <w:rPr>
          <w:rFonts w:ascii="Times New Roman" w:hAnsi="Times New Roman"/>
          <w:bCs/>
          <w:sz w:val="24"/>
          <w:szCs w:val="24"/>
          <w:lang w:val="fr-FR"/>
        </w:rPr>
        <w:tab/>
      </w:r>
      <w:r w:rsidRPr="001E1999">
        <w:rPr>
          <w:rFonts w:ascii="Times New Roman" w:hAnsi="Times New Roman"/>
          <w:bCs/>
          <w:sz w:val="24"/>
          <w:szCs w:val="24"/>
          <w:lang w:val="fr-FR"/>
        </w:rPr>
        <w:tab/>
      </w:r>
      <w:r w:rsidRPr="001E1999">
        <w:rPr>
          <w:rFonts w:ascii="Times New Roman" w:hAnsi="Times New Roman"/>
          <w:bCs/>
          <w:sz w:val="24"/>
          <w:szCs w:val="24"/>
          <w:lang w:val="fr-FR"/>
        </w:rPr>
        <w:tab/>
      </w:r>
      <w:r w:rsidRPr="001E1999">
        <w:rPr>
          <w:rFonts w:ascii="Times New Roman" w:hAnsi="Times New Roman"/>
          <w:bCs/>
          <w:sz w:val="24"/>
          <w:szCs w:val="24"/>
        </w:rPr>
        <w:t>(2)</w:t>
      </w:r>
    </w:p>
    <w:p w:rsidR="001751C4" w:rsidRPr="001E1999" w:rsidRDefault="001751C4" w:rsidP="00715300">
      <w:pPr>
        <w:ind w:firstLine="0"/>
        <w:rPr>
          <w:rFonts w:ascii="Times New Roman" w:hAnsi="Times New Roman"/>
          <w:bCs/>
          <w:sz w:val="24"/>
          <w:szCs w:val="24"/>
        </w:rPr>
      </w:pPr>
      <w:r w:rsidRPr="001E1999">
        <w:rPr>
          <w:rFonts w:ascii="Times New Roman" w:hAnsi="Times New Roman"/>
          <w:bCs/>
          <w:sz w:val="24"/>
          <w:szCs w:val="24"/>
        </w:rPr>
        <w:t>All variables are in logs</w:t>
      </w:r>
      <w:r w:rsidR="00457A17">
        <w:rPr>
          <w:rFonts w:ascii="Times New Roman" w:hAnsi="Times New Roman"/>
          <w:bCs/>
          <w:sz w:val="24"/>
          <w:szCs w:val="24"/>
        </w:rPr>
        <w:t>, so the Aggregate Supply and Aggregate Demand curves become straight lines</w:t>
      </w:r>
      <w:r w:rsidRPr="001E1999">
        <w:rPr>
          <w:rFonts w:ascii="Times New Roman" w:hAnsi="Times New Roman"/>
          <w:bCs/>
          <w:sz w:val="24"/>
          <w:szCs w:val="24"/>
        </w:rPr>
        <w:t xml:space="preserve">.  Output </w:t>
      </w:r>
      <w:r w:rsidRPr="001E1999">
        <w:rPr>
          <w:rFonts w:ascii="Times New Roman" w:hAnsi="Times New Roman"/>
          <w:bCs/>
          <w:i/>
          <w:sz w:val="24"/>
          <w:szCs w:val="24"/>
        </w:rPr>
        <w:t>y</w:t>
      </w:r>
      <w:r w:rsidRPr="001E1999">
        <w:rPr>
          <w:rFonts w:ascii="Times New Roman" w:hAnsi="Times New Roman"/>
          <w:bCs/>
          <w:sz w:val="24"/>
          <w:szCs w:val="24"/>
        </w:rPr>
        <w:t xml:space="preserve"> is expressed relative to potential output and the price level </w:t>
      </w:r>
      <w:r w:rsidRPr="001E1999">
        <w:rPr>
          <w:rFonts w:ascii="Times New Roman" w:hAnsi="Times New Roman"/>
          <w:bCs/>
          <w:i/>
          <w:sz w:val="24"/>
          <w:szCs w:val="24"/>
        </w:rPr>
        <w:t>p</w:t>
      </w:r>
      <w:r w:rsidRPr="001E1999">
        <w:rPr>
          <w:rFonts w:ascii="Times New Roman" w:hAnsi="Times New Roman"/>
          <w:bCs/>
          <w:sz w:val="24"/>
          <w:szCs w:val="24"/>
        </w:rPr>
        <w:t xml:space="preserve"> is express</w:t>
      </w:r>
      <w:r w:rsidR="00457A17">
        <w:rPr>
          <w:rFonts w:ascii="Times New Roman" w:hAnsi="Times New Roman"/>
          <w:bCs/>
          <w:sz w:val="24"/>
          <w:szCs w:val="24"/>
        </w:rPr>
        <w:t xml:space="preserve">ed relative to its expectation </w:t>
      </w:r>
      <w:r w:rsidRPr="001E1999">
        <w:rPr>
          <w:rFonts w:ascii="Times New Roman" w:hAnsi="Times New Roman"/>
          <w:bCs/>
          <w:sz w:val="24"/>
          <w:szCs w:val="24"/>
        </w:rPr>
        <w:t>which, at a one-year horizon is the same thing as the inflation r</w:t>
      </w:r>
      <w:r w:rsidR="00457A17">
        <w:rPr>
          <w:rFonts w:ascii="Times New Roman" w:hAnsi="Times New Roman"/>
          <w:bCs/>
          <w:sz w:val="24"/>
          <w:szCs w:val="24"/>
        </w:rPr>
        <w:t>ate relative to its expectation</w:t>
      </w:r>
      <w:r w:rsidRPr="001E1999">
        <w:rPr>
          <w:rFonts w:ascii="Times New Roman" w:hAnsi="Times New Roman"/>
          <w:bCs/>
          <w:sz w:val="24"/>
          <w:szCs w:val="24"/>
        </w:rPr>
        <w:t>.</w:t>
      </w:r>
      <w:r w:rsidR="00D345F6">
        <w:rPr>
          <w:rFonts w:ascii="Times New Roman" w:hAnsi="Times New Roman"/>
          <w:bCs/>
          <w:sz w:val="24"/>
          <w:szCs w:val="24"/>
        </w:rPr>
        <w:t xml:space="preserve">  Expected inflation is important, even though it is not shown explicitly here: The point of having a credible rule is to influence expected inflation in a desired direction. </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rPr>
        <w:t xml:space="preserve">The simplest possible interpretation of </w:t>
      </w:r>
      <w:r w:rsidR="00737A1A">
        <w:rPr>
          <w:rFonts w:ascii="Times New Roman" w:hAnsi="Times New Roman"/>
          <w:bCs/>
          <w:sz w:val="24"/>
          <w:szCs w:val="24"/>
        </w:rPr>
        <w:t xml:space="preserve">equation (2) </w:t>
      </w:r>
      <w:r w:rsidRPr="001E1999">
        <w:rPr>
          <w:rFonts w:ascii="Times New Roman" w:hAnsi="Times New Roman"/>
          <w:bCs/>
          <w:sz w:val="24"/>
          <w:szCs w:val="24"/>
        </w:rPr>
        <w:t xml:space="preserve">is that it is the quantity theory of money, where </w:t>
      </w:r>
      <w:r w:rsidRPr="001E1999">
        <w:rPr>
          <w:rFonts w:ascii="Times New Roman" w:hAnsi="Times New Roman"/>
          <w:bCs/>
          <w:i/>
          <w:sz w:val="24"/>
          <w:szCs w:val="24"/>
        </w:rPr>
        <w:t>m</w:t>
      </w:r>
      <w:r w:rsidRPr="001E1999">
        <w:rPr>
          <w:rFonts w:ascii="Times New Roman" w:hAnsi="Times New Roman"/>
          <w:bCs/>
          <w:sz w:val="24"/>
          <w:szCs w:val="24"/>
        </w:rPr>
        <w:t xml:space="preserve"> </w:t>
      </w:r>
      <w:r>
        <w:rPr>
          <w:rFonts w:ascii="Times New Roman" w:hAnsi="Times New Roman"/>
          <w:bCs/>
          <w:sz w:val="24"/>
          <w:szCs w:val="24"/>
        </w:rPr>
        <w:t xml:space="preserve">is </w:t>
      </w:r>
      <w:r w:rsidRPr="001E1999">
        <w:rPr>
          <w:rFonts w:ascii="Times New Roman" w:hAnsi="Times New Roman"/>
          <w:bCs/>
          <w:sz w:val="24"/>
          <w:szCs w:val="24"/>
        </w:rPr>
        <w:t xml:space="preserve">defined as the money supply, </w:t>
      </w:r>
      <w:r w:rsidRPr="001E1999">
        <w:rPr>
          <w:rFonts w:ascii="Times New Roman" w:hAnsi="Times New Roman"/>
          <w:bCs/>
          <w:i/>
          <w:sz w:val="24"/>
          <w:szCs w:val="24"/>
        </w:rPr>
        <w:t>d</w:t>
      </w:r>
      <w:r w:rsidRPr="001E1999">
        <w:rPr>
          <w:rFonts w:ascii="Times New Roman" w:hAnsi="Times New Roman"/>
          <w:bCs/>
          <w:sz w:val="24"/>
          <w:szCs w:val="24"/>
        </w:rPr>
        <w:t xml:space="preserve"> can be set to 1, and </w:t>
      </w:r>
      <w:r w:rsidRPr="001E1999">
        <w:rPr>
          <w:rFonts w:ascii="Times New Roman" w:hAnsi="Times New Roman"/>
          <w:bCs/>
          <w:i/>
          <w:sz w:val="24"/>
          <w:szCs w:val="24"/>
        </w:rPr>
        <w:t>v</w:t>
      </w:r>
      <w:r w:rsidR="00457A17">
        <w:rPr>
          <w:rFonts w:ascii="Times New Roman" w:hAnsi="Times New Roman"/>
          <w:bCs/>
          <w:sz w:val="24"/>
          <w:szCs w:val="24"/>
        </w:rPr>
        <w:t xml:space="preserve"> is defined </w:t>
      </w:r>
      <w:r w:rsidRPr="001E1999">
        <w:rPr>
          <w:rFonts w:ascii="Times New Roman" w:hAnsi="Times New Roman"/>
          <w:bCs/>
          <w:sz w:val="24"/>
          <w:szCs w:val="24"/>
        </w:rPr>
        <w:t xml:space="preserve">narrowly as a velocity shock.  A slightly less simple interpretation </w:t>
      </w:r>
      <w:r w:rsidR="00737A1A">
        <w:rPr>
          <w:rFonts w:ascii="Times New Roman" w:hAnsi="Times New Roman"/>
          <w:bCs/>
          <w:sz w:val="24"/>
          <w:szCs w:val="24"/>
        </w:rPr>
        <w:t xml:space="preserve">of </w:t>
      </w:r>
      <w:r w:rsidR="00737A1A" w:rsidRPr="001E1999">
        <w:rPr>
          <w:rFonts w:ascii="Times New Roman" w:hAnsi="Times New Roman"/>
          <w:bCs/>
          <w:sz w:val="24"/>
          <w:szCs w:val="24"/>
        </w:rPr>
        <w:t>the Aggregate Demand relationship</w:t>
      </w:r>
      <w:r w:rsidR="00737A1A">
        <w:rPr>
          <w:rFonts w:ascii="Times New Roman" w:hAnsi="Times New Roman"/>
          <w:bCs/>
          <w:sz w:val="24"/>
          <w:szCs w:val="24"/>
        </w:rPr>
        <w:t xml:space="preserve"> </w:t>
      </w:r>
      <w:r w:rsidRPr="001E1999">
        <w:rPr>
          <w:rFonts w:ascii="Times New Roman" w:hAnsi="Times New Roman"/>
          <w:bCs/>
          <w:sz w:val="24"/>
          <w:szCs w:val="24"/>
        </w:rPr>
        <w:t xml:space="preserve">is that </w:t>
      </w:r>
      <w:r w:rsidR="00737A1A">
        <w:rPr>
          <w:rFonts w:ascii="Times New Roman" w:hAnsi="Times New Roman"/>
          <w:bCs/>
          <w:sz w:val="24"/>
          <w:szCs w:val="24"/>
        </w:rPr>
        <w:t>it</w:t>
      </w:r>
      <w:r w:rsidRPr="001E1999">
        <w:rPr>
          <w:rFonts w:ascii="Times New Roman" w:hAnsi="Times New Roman"/>
          <w:bCs/>
          <w:sz w:val="24"/>
          <w:szCs w:val="24"/>
        </w:rPr>
        <w:t xml:space="preserve"> is the reduced form of an IS-LM system, where the interest rate has been solved out, and </w:t>
      </w:r>
      <w:r w:rsidRPr="001E1999">
        <w:rPr>
          <w:rFonts w:ascii="Times New Roman" w:hAnsi="Times New Roman"/>
          <w:bCs/>
          <w:i/>
          <w:sz w:val="24"/>
          <w:szCs w:val="24"/>
        </w:rPr>
        <w:t>v</w:t>
      </w:r>
      <w:r w:rsidRPr="001E1999">
        <w:rPr>
          <w:rFonts w:ascii="Times New Roman" w:hAnsi="Times New Roman"/>
          <w:bCs/>
          <w:sz w:val="24"/>
          <w:szCs w:val="24"/>
        </w:rPr>
        <w:t xml:space="preserve"> includes various </w:t>
      </w:r>
      <w:r>
        <w:rPr>
          <w:rFonts w:ascii="Times New Roman" w:hAnsi="Times New Roman"/>
          <w:bCs/>
          <w:sz w:val="24"/>
          <w:szCs w:val="24"/>
        </w:rPr>
        <w:t xml:space="preserve">sources of changes in demand.  </w:t>
      </w:r>
      <w:r w:rsidR="00457A17">
        <w:rPr>
          <w:rFonts w:ascii="Times New Roman" w:hAnsi="Times New Roman"/>
          <w:bCs/>
          <w:sz w:val="24"/>
          <w:szCs w:val="24"/>
        </w:rPr>
        <w:t>Under a third interpretation,</w:t>
      </w:r>
      <w:r w:rsidRPr="001E1999">
        <w:rPr>
          <w:rFonts w:ascii="Times New Roman" w:hAnsi="Times New Roman"/>
          <w:bCs/>
          <w:sz w:val="24"/>
          <w:szCs w:val="24"/>
        </w:rPr>
        <w:t xml:space="preserve"> </w:t>
      </w:r>
      <w:r w:rsidRPr="001E1999">
        <w:rPr>
          <w:rFonts w:ascii="Times New Roman" w:hAnsi="Times New Roman"/>
          <w:bCs/>
          <w:i/>
          <w:sz w:val="24"/>
          <w:szCs w:val="24"/>
        </w:rPr>
        <w:t>m</w:t>
      </w:r>
      <w:r w:rsidRPr="001E1999">
        <w:rPr>
          <w:rFonts w:ascii="Times New Roman" w:hAnsi="Times New Roman"/>
          <w:bCs/>
          <w:sz w:val="24"/>
          <w:szCs w:val="24"/>
        </w:rPr>
        <w:t xml:space="preserve"> could be defined as simply the interest rate itself or as an index of monetary conditions </w:t>
      </w:r>
      <w:r w:rsidR="00457A17">
        <w:rPr>
          <w:rFonts w:ascii="Times New Roman" w:hAnsi="Times New Roman"/>
          <w:bCs/>
          <w:sz w:val="24"/>
          <w:szCs w:val="24"/>
        </w:rPr>
        <w:t xml:space="preserve">(including the credit quantities, stock market prices and the exchange rate) </w:t>
      </w:r>
      <w:r w:rsidRPr="001E1999">
        <w:rPr>
          <w:rFonts w:ascii="Times New Roman" w:hAnsi="Times New Roman"/>
          <w:bCs/>
          <w:sz w:val="24"/>
          <w:szCs w:val="24"/>
        </w:rPr>
        <w:t xml:space="preserve">– whatever is the preferred indicator </w:t>
      </w:r>
      <w:r>
        <w:rPr>
          <w:rFonts w:ascii="Times New Roman" w:hAnsi="Times New Roman"/>
          <w:bCs/>
          <w:sz w:val="24"/>
          <w:szCs w:val="24"/>
        </w:rPr>
        <w:t>of the monetary policy setting.</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rPr>
        <w:t xml:space="preserve">Solving for the price level,      </w:t>
      </w:r>
      <w:r w:rsidRPr="001E1999">
        <w:rPr>
          <w:rFonts w:ascii="Times New Roman" w:hAnsi="Times New Roman"/>
          <w:bCs/>
          <w:i/>
          <w:sz w:val="24"/>
          <w:szCs w:val="24"/>
        </w:rPr>
        <w:t>p</w:t>
      </w:r>
      <w:r w:rsidRPr="001E1999">
        <w:rPr>
          <w:rFonts w:ascii="Times New Roman" w:hAnsi="Times New Roman"/>
          <w:bCs/>
          <w:i/>
          <w:sz w:val="24"/>
          <w:szCs w:val="24"/>
          <w:vertAlign w:val="subscript"/>
        </w:rPr>
        <w:t>t</w:t>
      </w:r>
      <w:r w:rsidRPr="001E1999">
        <w:rPr>
          <w:rFonts w:ascii="Times New Roman" w:hAnsi="Times New Roman"/>
          <w:bCs/>
          <w:sz w:val="24"/>
          <w:szCs w:val="24"/>
        </w:rPr>
        <w:t xml:space="preserve">  =  </w:t>
      </w:r>
      <w:r w:rsidR="002141BD" w:rsidRPr="001E1999">
        <w:rPr>
          <w:rFonts w:ascii="Times New Roman" w:hAnsi="Times New Roman"/>
          <w:bCs/>
          <w:sz w:val="24"/>
          <w:szCs w:val="24"/>
        </w:rPr>
        <w:fldChar w:fldCharType="begin"/>
      </w:r>
      <w:r w:rsidRPr="001E1999">
        <w:rPr>
          <w:rFonts w:ascii="Times New Roman" w:hAnsi="Times New Roman"/>
          <w:bCs/>
          <w:sz w:val="24"/>
          <w:szCs w:val="24"/>
        </w:rPr>
        <w:instrText xml:space="preserve"> QUOTE </w:instrText>
      </w:r>
      <w:r w:rsidR="00C36273">
        <w:rPr>
          <w:sz w:val="24"/>
          <w:szCs w:val="24"/>
        </w:rPr>
        <w:pict>
          <v:shape id="_x0000_i1028" type="#_x0000_t75" style="width:129.6pt;height:21.6pt" equationxml="&lt;">
            <v:imagedata r:id="rId12" o:title="" chromakey="white"/>
          </v:shape>
        </w:pict>
      </w:r>
      <w:r w:rsidRPr="001E1999">
        <w:rPr>
          <w:rFonts w:ascii="Times New Roman" w:hAnsi="Times New Roman"/>
          <w:bCs/>
          <w:sz w:val="24"/>
          <w:szCs w:val="24"/>
        </w:rPr>
        <w:instrText xml:space="preserve"> </w:instrText>
      </w:r>
      <w:r w:rsidR="002141BD" w:rsidRPr="001E1999">
        <w:rPr>
          <w:rFonts w:ascii="Times New Roman" w:hAnsi="Times New Roman"/>
          <w:bCs/>
          <w:sz w:val="24"/>
          <w:szCs w:val="24"/>
        </w:rPr>
        <w:fldChar w:fldCharType="separate"/>
      </w:r>
      <w:r w:rsidR="00C36273">
        <w:rPr>
          <w:sz w:val="24"/>
          <w:szCs w:val="24"/>
        </w:rPr>
        <w:pict>
          <v:shape id="_x0000_i1029" type="#_x0000_t75" style="width:129.6pt;height:21.6pt" equationxml="&lt;">
            <v:imagedata r:id="rId12" o:title="" chromakey="white"/>
          </v:shape>
        </w:pict>
      </w:r>
      <w:r w:rsidR="002141BD" w:rsidRPr="001E1999">
        <w:rPr>
          <w:rFonts w:ascii="Times New Roman" w:hAnsi="Times New Roman"/>
          <w:bCs/>
          <w:sz w:val="24"/>
          <w:szCs w:val="24"/>
        </w:rPr>
        <w:fldChar w:fldCharType="end"/>
      </w:r>
      <w:r w:rsidRPr="001E1999">
        <w:rPr>
          <w:rFonts w:ascii="Times New Roman" w:hAnsi="Times New Roman"/>
          <w:bCs/>
          <w:sz w:val="24"/>
          <w:szCs w:val="24"/>
        </w:rPr>
        <w:t xml:space="preserve"> .</w:t>
      </w:r>
      <w:r w:rsidRPr="001E1999">
        <w:rPr>
          <w:rFonts w:ascii="Times New Roman" w:hAnsi="Times New Roman"/>
          <w:bCs/>
          <w:sz w:val="24"/>
          <w:szCs w:val="24"/>
        </w:rPr>
        <w:tab/>
      </w:r>
      <w:r w:rsidRPr="001E1999">
        <w:rPr>
          <w:rFonts w:ascii="Times New Roman" w:hAnsi="Times New Roman"/>
          <w:bCs/>
          <w:sz w:val="24"/>
          <w:szCs w:val="24"/>
        </w:rPr>
        <w:tab/>
        <w:t>(3)</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rPr>
        <w:t xml:space="preserve">Solving for real income,          </w:t>
      </w:r>
      <w:r w:rsidRPr="001E1999">
        <w:rPr>
          <w:rFonts w:ascii="Times New Roman" w:hAnsi="Times New Roman"/>
          <w:bCs/>
          <w:i/>
          <w:sz w:val="24"/>
          <w:szCs w:val="24"/>
        </w:rPr>
        <w:t>y</w:t>
      </w:r>
      <w:r w:rsidRPr="001E1999">
        <w:rPr>
          <w:rFonts w:ascii="Times New Roman" w:hAnsi="Times New Roman"/>
          <w:bCs/>
          <w:i/>
          <w:sz w:val="24"/>
          <w:szCs w:val="24"/>
          <w:vertAlign w:val="subscript"/>
        </w:rPr>
        <w:t>t</w:t>
      </w:r>
      <w:r w:rsidRPr="001E1999">
        <w:rPr>
          <w:rFonts w:ascii="Times New Roman" w:hAnsi="Times New Roman"/>
          <w:bCs/>
          <w:i/>
          <w:sz w:val="24"/>
          <w:szCs w:val="24"/>
        </w:rPr>
        <w:t xml:space="preserve"> =</w:t>
      </w:r>
      <w:r w:rsidRPr="001E1999">
        <w:rPr>
          <w:rFonts w:ascii="Times New Roman" w:hAnsi="Times New Roman"/>
          <w:bCs/>
          <w:sz w:val="24"/>
          <w:szCs w:val="24"/>
        </w:rPr>
        <w:t xml:space="preserve">  </w:t>
      </w:r>
      <w:r w:rsidR="002141BD" w:rsidRPr="001E1999">
        <w:rPr>
          <w:rFonts w:ascii="Times New Roman" w:hAnsi="Times New Roman"/>
          <w:bCs/>
          <w:sz w:val="24"/>
          <w:szCs w:val="24"/>
        </w:rPr>
        <w:fldChar w:fldCharType="begin"/>
      </w:r>
      <w:r w:rsidRPr="001E1999">
        <w:rPr>
          <w:rFonts w:ascii="Times New Roman" w:hAnsi="Times New Roman"/>
          <w:bCs/>
          <w:sz w:val="24"/>
          <w:szCs w:val="24"/>
        </w:rPr>
        <w:instrText xml:space="preserve"> QUOTE </w:instrText>
      </w:r>
      <w:r w:rsidR="00C36273">
        <w:rPr>
          <w:sz w:val="24"/>
          <w:szCs w:val="24"/>
        </w:rPr>
        <w:pict>
          <v:shape id="_x0000_i1030" type="#_x0000_t75" style="width:136.8pt;height:23.4pt" equationxml="&lt;">
            <v:imagedata r:id="rId13" o:title="" chromakey="white"/>
          </v:shape>
        </w:pict>
      </w:r>
      <w:r w:rsidRPr="001E1999">
        <w:rPr>
          <w:rFonts w:ascii="Times New Roman" w:hAnsi="Times New Roman"/>
          <w:bCs/>
          <w:sz w:val="24"/>
          <w:szCs w:val="24"/>
        </w:rPr>
        <w:instrText xml:space="preserve"> </w:instrText>
      </w:r>
      <w:r w:rsidR="002141BD" w:rsidRPr="001E1999">
        <w:rPr>
          <w:rFonts w:ascii="Times New Roman" w:hAnsi="Times New Roman"/>
          <w:bCs/>
          <w:sz w:val="24"/>
          <w:szCs w:val="24"/>
        </w:rPr>
        <w:fldChar w:fldCharType="separate"/>
      </w:r>
      <w:r w:rsidR="00C36273">
        <w:rPr>
          <w:sz w:val="24"/>
          <w:szCs w:val="24"/>
        </w:rPr>
        <w:pict>
          <v:shape id="_x0000_i1031" type="#_x0000_t75" style="width:136.8pt;height:23.4pt" equationxml="&lt;">
            <v:imagedata r:id="rId13" o:title="" chromakey="white"/>
          </v:shape>
        </w:pict>
      </w:r>
      <w:r w:rsidR="002141BD" w:rsidRPr="001E1999">
        <w:rPr>
          <w:rFonts w:ascii="Times New Roman" w:hAnsi="Times New Roman"/>
          <w:bCs/>
          <w:sz w:val="24"/>
          <w:szCs w:val="24"/>
        </w:rPr>
        <w:fldChar w:fldCharType="end"/>
      </w:r>
      <w:r w:rsidRPr="001E1999">
        <w:rPr>
          <w:rFonts w:ascii="Times New Roman" w:hAnsi="Times New Roman"/>
          <w:bCs/>
          <w:sz w:val="24"/>
          <w:szCs w:val="24"/>
        </w:rPr>
        <w:t xml:space="preserve"> .</w:t>
      </w:r>
      <w:r w:rsidRPr="001E1999">
        <w:rPr>
          <w:rFonts w:ascii="Times New Roman" w:hAnsi="Times New Roman"/>
          <w:bCs/>
          <w:sz w:val="24"/>
          <w:szCs w:val="24"/>
        </w:rPr>
        <w:tab/>
      </w:r>
      <w:r w:rsidRPr="001E1999">
        <w:rPr>
          <w:rFonts w:ascii="Times New Roman" w:hAnsi="Times New Roman"/>
          <w:bCs/>
          <w:sz w:val="24"/>
          <w:szCs w:val="24"/>
        </w:rPr>
        <w:tab/>
        <w:t>(4)</w:t>
      </w:r>
    </w:p>
    <w:p w:rsidR="001751C4" w:rsidRPr="001E1999" w:rsidRDefault="001751C4" w:rsidP="00715300">
      <w:pPr>
        <w:rPr>
          <w:rFonts w:ascii="Times New Roman" w:hAnsi="Times New Roman"/>
          <w:bCs/>
          <w:sz w:val="24"/>
          <w:szCs w:val="24"/>
        </w:rPr>
      </w:pPr>
      <w:r w:rsidRPr="001E1999">
        <w:rPr>
          <w:rFonts w:ascii="Times New Roman" w:hAnsi="Times New Roman"/>
          <w:bCs/>
          <w:sz w:val="24"/>
          <w:szCs w:val="24"/>
        </w:rPr>
        <w:t xml:space="preserve">Equations (3) and (4) can be thought of as the base case where the money supply or other indicator of the monetary policy stance is set for the year.  We could solve for one alternative case when monetary policy is varied so as to keep the price level </w:t>
      </w:r>
      <w:r w:rsidRPr="001E1999">
        <w:rPr>
          <w:rFonts w:ascii="Times New Roman" w:hAnsi="Times New Roman"/>
          <w:bCs/>
          <w:i/>
          <w:sz w:val="24"/>
          <w:szCs w:val="24"/>
        </w:rPr>
        <w:t>p</w:t>
      </w:r>
      <w:r w:rsidRPr="001E1999">
        <w:rPr>
          <w:rFonts w:ascii="Times New Roman" w:hAnsi="Times New Roman"/>
          <w:bCs/>
          <w:i/>
          <w:sz w:val="24"/>
          <w:szCs w:val="24"/>
          <w:vertAlign w:val="subscript"/>
        </w:rPr>
        <w:t>t</w:t>
      </w:r>
      <w:r w:rsidRPr="001E1999">
        <w:rPr>
          <w:rFonts w:ascii="Times New Roman" w:hAnsi="Times New Roman"/>
          <w:bCs/>
          <w:sz w:val="24"/>
          <w:szCs w:val="24"/>
        </w:rPr>
        <w:t xml:space="preserve"> equal to an announced </w:t>
      </w:r>
      <w:r>
        <w:rPr>
          <w:rFonts w:ascii="Times New Roman" w:hAnsi="Times New Roman"/>
          <w:bCs/>
          <w:sz w:val="24"/>
          <w:szCs w:val="24"/>
        </w:rPr>
        <w:t xml:space="preserve">inflation </w:t>
      </w:r>
      <w:r w:rsidRPr="001E1999">
        <w:rPr>
          <w:rFonts w:ascii="Times New Roman" w:hAnsi="Times New Roman"/>
          <w:bCs/>
          <w:sz w:val="24"/>
          <w:szCs w:val="24"/>
        </w:rPr>
        <w:t>target (IT) and a second alternative case when it is varied so as to keep nominal GDP equal to an announced target (</w:t>
      </w:r>
      <w:r w:rsidRPr="001E1999">
        <w:rPr>
          <w:rFonts w:ascii="Times New Roman" w:hAnsi="Times New Roman"/>
          <w:bCs/>
          <w:i/>
          <w:sz w:val="24"/>
          <w:szCs w:val="24"/>
        </w:rPr>
        <w:t>y</w:t>
      </w:r>
      <w:r w:rsidRPr="001E1999">
        <w:rPr>
          <w:rFonts w:ascii="Times New Roman" w:hAnsi="Times New Roman"/>
          <w:bCs/>
          <w:i/>
          <w:sz w:val="24"/>
          <w:szCs w:val="24"/>
          <w:vertAlign w:val="subscript"/>
        </w:rPr>
        <w:t>t</w:t>
      </w:r>
      <w:r w:rsidRPr="001E1999">
        <w:rPr>
          <w:rFonts w:ascii="Times New Roman" w:hAnsi="Times New Roman"/>
          <w:bCs/>
          <w:sz w:val="24"/>
          <w:szCs w:val="24"/>
        </w:rPr>
        <w:t xml:space="preserve"> + </w:t>
      </w:r>
      <w:r w:rsidRPr="001E1999">
        <w:rPr>
          <w:rFonts w:ascii="Times New Roman" w:hAnsi="Times New Roman"/>
          <w:bCs/>
          <w:i/>
          <w:sz w:val="24"/>
          <w:szCs w:val="24"/>
        </w:rPr>
        <w:t>p</w:t>
      </w:r>
      <w:r w:rsidRPr="001E1999">
        <w:rPr>
          <w:rFonts w:ascii="Times New Roman" w:hAnsi="Times New Roman"/>
          <w:bCs/>
          <w:i/>
          <w:sz w:val="24"/>
          <w:szCs w:val="24"/>
          <w:vertAlign w:val="subscript"/>
        </w:rPr>
        <w:t>t</w:t>
      </w:r>
      <w:r w:rsidRPr="001E1999">
        <w:rPr>
          <w:rFonts w:ascii="Times New Roman" w:hAnsi="Times New Roman"/>
          <w:bCs/>
          <w:sz w:val="24"/>
          <w:szCs w:val="24"/>
        </w:rPr>
        <w:t xml:space="preserve"> ). </w:t>
      </w:r>
    </w:p>
    <w:p w:rsidR="001751C4" w:rsidRPr="001E1999" w:rsidRDefault="001751C4" w:rsidP="00715300">
      <w:pPr>
        <w:rPr>
          <w:rFonts w:ascii="Times New Roman" w:hAnsi="Times New Roman"/>
          <w:b/>
          <w:bCs/>
          <w:iCs/>
          <w:sz w:val="24"/>
          <w:szCs w:val="24"/>
        </w:rPr>
      </w:pPr>
      <w:r>
        <w:rPr>
          <w:rFonts w:ascii="Times New Roman" w:hAnsi="Times New Roman"/>
          <w:bCs/>
          <w:sz w:val="24"/>
          <w:szCs w:val="24"/>
        </w:rPr>
        <w:t xml:space="preserve">The government is assumed to have a price stability objective and an output stability objective.  </w:t>
      </w:r>
      <w:r w:rsidRPr="001E1999">
        <w:rPr>
          <w:rFonts w:ascii="Times New Roman" w:hAnsi="Times New Roman"/>
          <w:bCs/>
          <w:sz w:val="24"/>
          <w:szCs w:val="24"/>
        </w:rPr>
        <w:t>The two regimes</w:t>
      </w:r>
      <w:r>
        <w:rPr>
          <w:rFonts w:ascii="Times New Roman" w:hAnsi="Times New Roman"/>
          <w:bCs/>
          <w:sz w:val="24"/>
          <w:szCs w:val="24"/>
        </w:rPr>
        <w:t>, IT and NGDP targeting,</w:t>
      </w:r>
      <w:r w:rsidRPr="001E1999">
        <w:rPr>
          <w:rFonts w:ascii="Times New Roman" w:hAnsi="Times New Roman"/>
          <w:bCs/>
          <w:sz w:val="24"/>
          <w:szCs w:val="24"/>
        </w:rPr>
        <w:t xml:space="preserve"> can then be evaluated by their ability to minimize a quadratic loss function in inflation and output:  </w:t>
      </w:r>
      <w:r w:rsidRPr="001E1999">
        <w:rPr>
          <w:bCs/>
          <w:sz w:val="24"/>
          <w:szCs w:val="24"/>
        </w:rPr>
        <w:t>Λ</w:t>
      </w:r>
      <w:r w:rsidRPr="001E1999">
        <w:rPr>
          <w:rFonts w:ascii="Times New Roman" w:hAnsi="Times New Roman"/>
          <w:b/>
          <w:bCs/>
          <w:i/>
          <w:iCs/>
          <w:sz w:val="24"/>
          <w:szCs w:val="24"/>
        </w:rPr>
        <w:t xml:space="preserve"> = a p</w:t>
      </w:r>
      <w:r w:rsidRPr="001E1999">
        <w:rPr>
          <w:rFonts w:ascii="Times New Roman" w:hAnsi="Times New Roman"/>
          <w:b/>
          <w:bCs/>
          <w:i/>
          <w:iCs/>
          <w:sz w:val="24"/>
          <w:szCs w:val="24"/>
          <w:vertAlign w:val="superscript"/>
        </w:rPr>
        <w:t>2</w:t>
      </w:r>
      <w:r w:rsidRPr="001E1999">
        <w:rPr>
          <w:rFonts w:ascii="Times New Roman" w:hAnsi="Times New Roman"/>
          <w:b/>
          <w:bCs/>
          <w:i/>
          <w:iCs/>
          <w:sz w:val="24"/>
          <w:szCs w:val="24"/>
        </w:rPr>
        <w:t xml:space="preserve"> + (y - </w:t>
      </w:r>
      <w:r w:rsidR="002141BD" w:rsidRPr="001E1999">
        <w:rPr>
          <w:rFonts w:ascii="Times New Roman" w:hAnsi="Times New Roman"/>
          <w:b/>
          <w:bCs/>
          <w:iCs/>
          <w:sz w:val="24"/>
          <w:szCs w:val="24"/>
        </w:rPr>
        <w:fldChar w:fldCharType="begin"/>
      </w:r>
      <w:r w:rsidRPr="001E1999">
        <w:rPr>
          <w:rFonts w:ascii="Times New Roman" w:hAnsi="Times New Roman"/>
          <w:b/>
          <w:bCs/>
          <w:iCs/>
          <w:sz w:val="24"/>
          <w:szCs w:val="24"/>
        </w:rPr>
        <w:instrText xml:space="preserve"> QUOTE </w:instrText>
      </w:r>
      <w:r w:rsidR="00C36273">
        <w:rPr>
          <w:sz w:val="24"/>
          <w:szCs w:val="24"/>
        </w:rPr>
        <w:pict>
          <v:shape id="_x0000_i1032" type="#_x0000_t75" style="width:8.4pt;height:12pt" equationxml="&lt;">
            <v:imagedata r:id="rId14" o:title="" chromakey="white"/>
          </v:shape>
        </w:pict>
      </w:r>
      <w:r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33" type="#_x0000_t75" style="width:8.4pt;height:12pt" equationxml="&lt;">
            <v:imagedata r:id="rId14" o:title="" chromakey="white"/>
          </v:shape>
        </w:pict>
      </w:r>
      <w:r w:rsidR="002141BD" w:rsidRPr="001E1999">
        <w:rPr>
          <w:rFonts w:ascii="Times New Roman" w:hAnsi="Times New Roman"/>
          <w:b/>
          <w:bCs/>
          <w:iCs/>
          <w:sz w:val="24"/>
          <w:szCs w:val="24"/>
        </w:rPr>
        <w:fldChar w:fldCharType="end"/>
      </w:r>
      <w:r w:rsidRPr="001E1999">
        <w:rPr>
          <w:rFonts w:ascii="Times New Roman" w:hAnsi="Times New Roman"/>
          <w:b/>
          <w:bCs/>
          <w:i/>
          <w:iCs/>
          <w:sz w:val="24"/>
          <w:szCs w:val="24"/>
        </w:rPr>
        <w:t>)</w:t>
      </w:r>
      <w:r w:rsidRPr="001E1999">
        <w:rPr>
          <w:rFonts w:ascii="Times New Roman" w:hAnsi="Times New Roman"/>
          <w:b/>
          <w:bCs/>
          <w:i/>
          <w:iCs/>
          <w:sz w:val="24"/>
          <w:szCs w:val="24"/>
          <w:vertAlign w:val="superscript"/>
        </w:rPr>
        <w:t>2</w:t>
      </w:r>
      <w:r w:rsidRPr="001E1999">
        <w:rPr>
          <w:rFonts w:ascii="Times New Roman" w:hAnsi="Times New Roman"/>
          <w:sz w:val="24"/>
          <w:szCs w:val="24"/>
        </w:rPr>
        <w:t xml:space="preserve">,  where </w:t>
      </w:r>
      <w:r w:rsidRPr="001E1999">
        <w:rPr>
          <w:rFonts w:ascii="Times New Roman" w:hAnsi="Times New Roman"/>
          <w:b/>
          <w:bCs/>
          <w:i/>
          <w:iCs/>
          <w:sz w:val="24"/>
          <w:szCs w:val="24"/>
        </w:rPr>
        <w:t>a</w:t>
      </w:r>
      <w:r w:rsidRPr="001E1999">
        <w:rPr>
          <w:rFonts w:ascii="Times New Roman" w:hAnsi="Times New Roman"/>
          <w:sz w:val="24"/>
          <w:szCs w:val="24"/>
        </w:rPr>
        <w:t xml:space="preserve"> is the weight assigned to the price stability objective, and we assume that the lagged or expected price level relative to which </w:t>
      </w:r>
      <w:r w:rsidRPr="001E1999">
        <w:rPr>
          <w:rFonts w:ascii="Times New Roman" w:hAnsi="Times New Roman"/>
          <w:b/>
          <w:bCs/>
          <w:i/>
          <w:iCs/>
          <w:sz w:val="24"/>
          <w:szCs w:val="24"/>
        </w:rPr>
        <w:t>p</w:t>
      </w:r>
      <w:r w:rsidRPr="001E1999">
        <w:rPr>
          <w:rFonts w:ascii="Times New Roman" w:hAnsi="Times New Roman"/>
          <w:sz w:val="24"/>
          <w:szCs w:val="24"/>
        </w:rPr>
        <w:t xml:space="preserve"> is measured can be normalized to zero.  The preferred level of output is </w:t>
      </w:r>
      <w:r w:rsidR="002141BD" w:rsidRPr="001E1999">
        <w:rPr>
          <w:rFonts w:ascii="Times New Roman" w:hAnsi="Times New Roman"/>
          <w:b/>
          <w:bCs/>
          <w:iCs/>
          <w:sz w:val="24"/>
          <w:szCs w:val="24"/>
        </w:rPr>
        <w:fldChar w:fldCharType="begin"/>
      </w:r>
      <w:r w:rsidRPr="001E1999">
        <w:rPr>
          <w:rFonts w:ascii="Times New Roman" w:hAnsi="Times New Roman"/>
          <w:b/>
          <w:bCs/>
          <w:iCs/>
          <w:sz w:val="24"/>
          <w:szCs w:val="24"/>
        </w:rPr>
        <w:instrText xml:space="preserve"> QUOTE </w:instrText>
      </w:r>
      <w:r w:rsidR="00C36273">
        <w:rPr>
          <w:sz w:val="24"/>
          <w:szCs w:val="24"/>
        </w:rPr>
        <w:pict>
          <v:shape id="_x0000_i1034" type="#_x0000_t75" style="width:8.4pt;height:12pt" equationxml="&lt;">
            <v:imagedata r:id="rId14" o:title="" chromakey="white"/>
          </v:shape>
        </w:pict>
      </w:r>
      <w:r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35" type="#_x0000_t75" style="width:8.4pt;height:12pt" equationxml="&lt;">
            <v:imagedata r:id="rId14" o:title="" chromakey="white"/>
          </v:shape>
        </w:pict>
      </w:r>
      <w:r w:rsidR="002141BD" w:rsidRPr="001E1999">
        <w:rPr>
          <w:rFonts w:ascii="Times New Roman" w:hAnsi="Times New Roman"/>
          <w:b/>
          <w:bCs/>
          <w:iCs/>
          <w:sz w:val="24"/>
          <w:szCs w:val="24"/>
        </w:rPr>
        <w:fldChar w:fldCharType="end"/>
      </w:r>
      <w:r w:rsidRPr="001E1999">
        <w:rPr>
          <w:rFonts w:ascii="Times New Roman" w:hAnsi="Times New Roman"/>
          <w:b/>
          <w:bCs/>
          <w:iCs/>
          <w:sz w:val="24"/>
          <w:szCs w:val="24"/>
        </w:rPr>
        <w:t>.</w:t>
      </w:r>
    </w:p>
    <w:p w:rsidR="001751C4" w:rsidRPr="001E1999" w:rsidRDefault="00F55FC8" w:rsidP="00D27709">
      <w:pPr>
        <w:tabs>
          <w:tab w:val="left" w:pos="-720"/>
        </w:tabs>
        <w:suppressAutoHyphens/>
        <w:rPr>
          <w:rFonts w:ascii="Times New Roman" w:hAnsi="Times New Roman"/>
          <w:sz w:val="24"/>
          <w:szCs w:val="24"/>
        </w:rPr>
      </w:pPr>
      <w:r>
        <w:rPr>
          <w:rFonts w:ascii="Times New Roman" w:hAnsi="Times New Roman"/>
          <w:bCs/>
          <w:iCs/>
          <w:sz w:val="24"/>
          <w:szCs w:val="24"/>
        </w:rPr>
        <w:t xml:space="preserve">One good way to model the advantages of transparency and credible commitment is the framework of dynamic inconsistency and inflation bias.  </w:t>
      </w:r>
      <w:r w:rsidR="001751C4" w:rsidRPr="001E1999">
        <w:rPr>
          <w:rFonts w:ascii="Times New Roman" w:hAnsi="Times New Roman"/>
          <w:bCs/>
          <w:iCs/>
          <w:sz w:val="24"/>
          <w:szCs w:val="24"/>
        </w:rPr>
        <w:t xml:space="preserve">Barro and Gordon </w:t>
      </w:r>
      <w:r>
        <w:rPr>
          <w:rFonts w:ascii="Times New Roman" w:hAnsi="Times New Roman"/>
          <w:bCs/>
          <w:iCs/>
          <w:sz w:val="24"/>
          <w:szCs w:val="24"/>
        </w:rPr>
        <w:t xml:space="preserve">(1982) </w:t>
      </w:r>
      <w:r w:rsidR="001751C4" w:rsidRPr="001E1999">
        <w:rPr>
          <w:rFonts w:ascii="Times New Roman" w:hAnsi="Times New Roman"/>
          <w:bCs/>
          <w:iCs/>
          <w:sz w:val="24"/>
          <w:szCs w:val="24"/>
        </w:rPr>
        <w:t xml:space="preserve">showed that if </w:t>
      </w:r>
      <w:r w:rsidR="001751C4" w:rsidRPr="001E1999">
        <w:rPr>
          <w:rFonts w:ascii="Times New Roman" w:hAnsi="Times New Roman"/>
          <w:bCs/>
          <w:iCs/>
          <w:sz w:val="24"/>
          <w:szCs w:val="24"/>
        </w:rPr>
        <w:lastRenderedPageBreak/>
        <w:t>the central bank has full discretion to minimize the loss function in this model, there is an inflationary bias</w:t>
      </w:r>
      <w:r w:rsidR="001751C4" w:rsidRPr="001E1999">
        <w:rPr>
          <w:rFonts w:ascii="Times New Roman" w:hAnsi="Times New Roman"/>
          <w:b/>
          <w:bCs/>
          <w:iCs/>
          <w:sz w:val="24"/>
          <w:szCs w:val="24"/>
        </w:rPr>
        <w:t xml:space="preserve"> </w:t>
      </w:r>
      <w:r w:rsidR="001751C4" w:rsidRPr="001E1999">
        <w:rPr>
          <w:rFonts w:ascii="Times New Roman" w:hAnsi="Times New Roman"/>
          <w:sz w:val="24"/>
          <w:szCs w:val="24"/>
        </w:rPr>
        <w:t xml:space="preserve">under rational expectations or in the long run:  </w:t>
      </w:r>
      <w:r w:rsidR="001751C4" w:rsidRPr="001E1999">
        <w:rPr>
          <w:rFonts w:ascii="Times New Roman" w:hAnsi="Times New Roman"/>
          <w:b/>
          <w:bCs/>
          <w:i/>
          <w:iCs/>
          <w:sz w:val="24"/>
          <w:szCs w:val="24"/>
        </w:rPr>
        <w:t>p</w:t>
      </w:r>
      <w:r w:rsidR="001751C4" w:rsidRPr="001E1999">
        <w:rPr>
          <w:rFonts w:ascii="Times New Roman" w:hAnsi="Times New Roman"/>
          <w:b/>
          <w:bCs/>
          <w:i/>
          <w:iCs/>
          <w:sz w:val="24"/>
          <w:szCs w:val="24"/>
          <w:vertAlign w:val="superscript"/>
        </w:rPr>
        <w:t>e</w:t>
      </w:r>
      <w:r w:rsidR="001751C4" w:rsidRPr="001E1999">
        <w:rPr>
          <w:rFonts w:ascii="Times New Roman" w:hAnsi="Times New Roman"/>
          <w:b/>
          <w:bCs/>
          <w:i/>
          <w:iCs/>
          <w:sz w:val="24"/>
          <w:szCs w:val="24"/>
        </w:rPr>
        <w:t xml:space="preserve"> = Ep = (</w:t>
      </w:r>
      <w:r w:rsidR="002141BD" w:rsidRPr="001E1999">
        <w:rPr>
          <w:rFonts w:ascii="Times New Roman" w:hAnsi="Times New Roman"/>
          <w:b/>
          <w:bCs/>
          <w:iCs/>
          <w:sz w:val="24"/>
          <w:szCs w:val="24"/>
        </w:rPr>
        <w:fldChar w:fldCharType="begin"/>
      </w:r>
      <w:r w:rsidR="001751C4" w:rsidRPr="001E1999">
        <w:rPr>
          <w:rFonts w:ascii="Times New Roman" w:hAnsi="Times New Roman"/>
          <w:b/>
          <w:bCs/>
          <w:iCs/>
          <w:sz w:val="24"/>
          <w:szCs w:val="24"/>
        </w:rPr>
        <w:instrText xml:space="preserve"> QUOTE </w:instrText>
      </w:r>
      <w:r w:rsidR="00C36273">
        <w:rPr>
          <w:sz w:val="24"/>
          <w:szCs w:val="24"/>
        </w:rPr>
        <w:pict>
          <v:shape id="_x0000_i1036" type="#_x0000_t75" style="width:30.6pt;height:12pt" equationxml="&lt;">
            <v:imagedata r:id="rId15" o:title="" chromakey="white"/>
          </v:shape>
        </w:pict>
      </w:r>
      <w:r w:rsidR="001751C4"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37" type="#_x0000_t75" style="width:30.6pt;height:12pt" equationxml="&lt;">
            <v:imagedata r:id="rId15" o:title="" chromakey="white"/>
          </v:shape>
        </w:pict>
      </w:r>
      <w:r w:rsidR="002141BD" w:rsidRPr="001E1999">
        <w:rPr>
          <w:rFonts w:ascii="Times New Roman" w:hAnsi="Times New Roman"/>
          <w:b/>
          <w:bCs/>
          <w:iCs/>
          <w:sz w:val="24"/>
          <w:szCs w:val="24"/>
        </w:rPr>
        <w:fldChar w:fldCharType="end"/>
      </w:r>
      <w:r w:rsidR="001751C4" w:rsidRPr="001E1999">
        <w:rPr>
          <w:rFonts w:ascii="Times New Roman" w:hAnsi="Times New Roman"/>
          <w:b/>
          <w:bCs/>
          <w:i/>
          <w:iCs/>
          <w:sz w:val="24"/>
          <w:szCs w:val="24"/>
        </w:rPr>
        <w:t>) b/a</w:t>
      </w:r>
      <w:r w:rsidR="001751C4" w:rsidRPr="001E1999">
        <w:rPr>
          <w:rFonts w:ascii="Times New Roman" w:hAnsi="Times New Roman"/>
          <w:sz w:val="24"/>
          <w:szCs w:val="24"/>
        </w:rPr>
        <w:t>.  The point of a credible nominal target is to eliminate the inflationary bias.  But the economy is still vulnerable to short-run shocks, and their impact depends on which variable has chosen to be the nominal target, as shown by Rogoff (1985)</w:t>
      </w:r>
      <w:r>
        <w:rPr>
          <w:rFonts w:ascii="Times New Roman" w:hAnsi="Times New Roman"/>
          <w:sz w:val="24"/>
          <w:szCs w:val="24"/>
        </w:rPr>
        <w:t xml:space="preserve"> and Fischer (1990)</w:t>
      </w:r>
      <w:r w:rsidR="001751C4" w:rsidRPr="001E1999">
        <w:rPr>
          <w:rFonts w:ascii="Times New Roman" w:hAnsi="Times New Roman"/>
          <w:sz w:val="24"/>
          <w:szCs w:val="24"/>
        </w:rPr>
        <w:t>.</w:t>
      </w:r>
    </w:p>
    <w:p w:rsidR="001751C4" w:rsidRPr="001E1999" w:rsidRDefault="001751C4" w:rsidP="00715300">
      <w:pPr>
        <w:tabs>
          <w:tab w:val="left" w:pos="-720"/>
        </w:tabs>
        <w:suppressAutoHyphens/>
        <w:rPr>
          <w:rFonts w:ascii="Times New Roman" w:hAnsi="Times New Roman"/>
          <w:sz w:val="24"/>
          <w:szCs w:val="24"/>
        </w:rPr>
      </w:pPr>
      <w:r w:rsidRPr="001E1999">
        <w:rPr>
          <w:rFonts w:ascii="Times New Roman" w:hAnsi="Times New Roman"/>
          <w:sz w:val="24"/>
          <w:szCs w:val="24"/>
        </w:rPr>
        <w:t xml:space="preserve">If the money supply is the nominal anchor, then </w:t>
      </w:r>
      <w:r w:rsidRPr="001E1999">
        <w:rPr>
          <w:rFonts w:ascii="Times New Roman" w:hAnsi="Times New Roman"/>
          <w:b/>
          <w:bCs/>
          <w:i/>
          <w:iCs/>
          <w:sz w:val="24"/>
          <w:szCs w:val="24"/>
        </w:rPr>
        <w:t xml:space="preserve">p + y = </w:t>
      </w:r>
      <w:r w:rsidR="002141BD" w:rsidRPr="001E1999">
        <w:rPr>
          <w:rFonts w:ascii="Times New Roman" w:hAnsi="Times New Roman"/>
          <w:b/>
          <w:bCs/>
          <w:iCs/>
          <w:sz w:val="24"/>
          <w:szCs w:val="24"/>
        </w:rPr>
        <w:fldChar w:fldCharType="begin"/>
      </w:r>
      <w:r w:rsidRPr="001E1999">
        <w:rPr>
          <w:rFonts w:ascii="Times New Roman" w:hAnsi="Times New Roman"/>
          <w:b/>
          <w:bCs/>
          <w:iCs/>
          <w:sz w:val="24"/>
          <w:szCs w:val="24"/>
        </w:rPr>
        <w:instrText xml:space="preserve"> QUOTE </w:instrText>
      </w:r>
      <w:r w:rsidR="00C36273">
        <w:rPr>
          <w:sz w:val="24"/>
          <w:szCs w:val="24"/>
        </w:rPr>
        <w:pict>
          <v:shape id="_x0000_i1038" type="#_x0000_t75" style="width:8.4pt;height:11.4pt" equationxml="&lt;">
            <v:imagedata r:id="rId16" o:title="" chromakey="white"/>
          </v:shape>
        </w:pict>
      </w:r>
      <w:r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39" type="#_x0000_t75" style="width:8.4pt;height:11.4pt" equationxml="&lt;">
            <v:imagedata r:id="rId16" o:title="" chromakey="white"/>
          </v:shape>
        </w:pict>
      </w:r>
      <w:r w:rsidR="002141BD" w:rsidRPr="001E1999">
        <w:rPr>
          <w:rFonts w:ascii="Times New Roman" w:hAnsi="Times New Roman"/>
          <w:b/>
          <w:bCs/>
          <w:iCs/>
          <w:sz w:val="24"/>
          <w:szCs w:val="24"/>
        </w:rPr>
        <w:fldChar w:fldCharType="end"/>
      </w:r>
      <w:r w:rsidRPr="001E1999">
        <w:rPr>
          <w:rFonts w:ascii="Times New Roman" w:hAnsi="Times New Roman"/>
          <w:b/>
          <w:bCs/>
          <w:i/>
          <w:iCs/>
          <w:sz w:val="24"/>
          <w:szCs w:val="24"/>
        </w:rPr>
        <w:t xml:space="preserve"> + v</w:t>
      </w:r>
      <w:r w:rsidRPr="001E1999">
        <w:rPr>
          <w:rFonts w:ascii="Times New Roman" w:hAnsi="Times New Roman"/>
          <w:sz w:val="24"/>
          <w:szCs w:val="24"/>
        </w:rPr>
        <w:t>.   Combining with the Aggregate Supply relationship, the equilibrium is given by</w:t>
      </w:r>
      <w:r w:rsidRPr="001E1999">
        <w:rPr>
          <w:rFonts w:ascii="Times New Roman" w:hAnsi="Times New Roman"/>
          <w:b/>
          <w:bCs/>
          <w:i/>
          <w:iCs/>
          <w:sz w:val="24"/>
          <w:szCs w:val="24"/>
        </w:rPr>
        <w:tab/>
      </w:r>
      <w:r w:rsidRPr="001E1999">
        <w:rPr>
          <w:rFonts w:ascii="Times New Roman" w:hAnsi="Times New Roman"/>
          <w:b/>
          <w:bCs/>
          <w:i/>
          <w:iCs/>
          <w:sz w:val="24"/>
          <w:szCs w:val="24"/>
        </w:rPr>
        <w:br/>
        <w:t xml:space="preserve">                              y =  </w:t>
      </w:r>
      <w:r w:rsidR="002141BD" w:rsidRPr="001E1999">
        <w:rPr>
          <w:rFonts w:ascii="Times New Roman" w:hAnsi="Times New Roman"/>
          <w:b/>
          <w:bCs/>
          <w:iCs/>
          <w:sz w:val="24"/>
          <w:szCs w:val="24"/>
        </w:rPr>
        <w:fldChar w:fldCharType="begin"/>
      </w:r>
      <w:r w:rsidRPr="001E1999">
        <w:rPr>
          <w:rFonts w:ascii="Times New Roman" w:hAnsi="Times New Roman"/>
          <w:b/>
          <w:bCs/>
          <w:iCs/>
          <w:sz w:val="24"/>
          <w:szCs w:val="24"/>
        </w:rPr>
        <w:instrText xml:space="preserve"> QUOTE </w:instrText>
      </w:r>
      <w:r w:rsidR="00C36273">
        <w:rPr>
          <w:sz w:val="24"/>
          <w:szCs w:val="24"/>
        </w:rPr>
        <w:pict>
          <v:shape id="_x0000_i1040" type="#_x0000_t75" style="width:8.4pt;height:11.4pt" equationxml="&lt;">
            <v:imagedata r:id="rId16" o:title="" chromakey="white"/>
          </v:shape>
        </w:pict>
      </w:r>
      <w:r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41" type="#_x0000_t75" style="width:8.4pt;height:11.4pt" equationxml="&lt;">
            <v:imagedata r:id="rId16" o:title="" chromakey="white"/>
          </v:shape>
        </w:pict>
      </w:r>
      <w:r w:rsidR="002141BD" w:rsidRPr="001E1999">
        <w:rPr>
          <w:rFonts w:ascii="Times New Roman" w:hAnsi="Times New Roman"/>
          <w:b/>
          <w:bCs/>
          <w:iCs/>
          <w:sz w:val="24"/>
          <w:szCs w:val="24"/>
        </w:rPr>
        <w:fldChar w:fldCharType="end"/>
      </w:r>
      <w:r w:rsidRPr="001E1999">
        <w:rPr>
          <w:rFonts w:ascii="Times New Roman" w:hAnsi="Times New Roman"/>
          <w:b/>
          <w:bCs/>
          <w:i/>
          <w:iCs/>
          <w:sz w:val="24"/>
          <w:szCs w:val="24"/>
        </w:rPr>
        <w:t xml:space="preserve"> + (u + bv)/(1+b),</w:t>
      </w:r>
      <w:r w:rsidRPr="001E1999">
        <w:rPr>
          <w:rFonts w:ascii="Times New Roman" w:hAnsi="Times New Roman"/>
          <w:b/>
          <w:bCs/>
          <w:i/>
          <w:iCs/>
          <w:sz w:val="24"/>
          <w:szCs w:val="24"/>
        </w:rPr>
        <w:tab/>
      </w:r>
      <w:r w:rsidRPr="001E1999">
        <w:rPr>
          <w:rFonts w:ascii="Times New Roman" w:hAnsi="Times New Roman"/>
          <w:bCs/>
          <w:iCs/>
          <w:sz w:val="24"/>
          <w:szCs w:val="24"/>
        </w:rPr>
        <w:t>and</w:t>
      </w:r>
      <w:r w:rsidRPr="001E1999">
        <w:rPr>
          <w:rFonts w:ascii="Times New Roman" w:hAnsi="Times New Roman"/>
          <w:b/>
          <w:bCs/>
          <w:i/>
          <w:iCs/>
          <w:sz w:val="24"/>
          <w:szCs w:val="24"/>
        </w:rPr>
        <w:tab/>
        <w:t>p = (v - u)/(1+b)</w:t>
      </w:r>
      <w:r w:rsidRPr="001E1999">
        <w:rPr>
          <w:rFonts w:ascii="Times New Roman" w:hAnsi="Times New Roman"/>
          <w:sz w:val="24"/>
          <w:szCs w:val="24"/>
        </w:rPr>
        <w:t>.                      (5)</w:t>
      </w:r>
      <w:r w:rsidRPr="001E1999">
        <w:rPr>
          <w:rFonts w:ascii="Times New Roman" w:hAnsi="Times New Roman"/>
          <w:sz w:val="24"/>
          <w:szCs w:val="24"/>
        </w:rPr>
        <w:br/>
        <w:t>Which regime minimizes the loss function?  It depends on how big the shocks are, and how big a weight (</w:t>
      </w:r>
      <w:r w:rsidRPr="001E1999">
        <w:rPr>
          <w:rFonts w:ascii="Times New Roman" w:hAnsi="Times New Roman"/>
          <w:b/>
          <w:bCs/>
          <w:i/>
          <w:iCs/>
          <w:sz w:val="24"/>
          <w:szCs w:val="24"/>
        </w:rPr>
        <w:t>a</w:t>
      </w:r>
      <w:r w:rsidRPr="001E1999">
        <w:rPr>
          <w:rFonts w:ascii="Times New Roman" w:hAnsi="Times New Roman"/>
          <w:sz w:val="24"/>
          <w:szCs w:val="24"/>
        </w:rPr>
        <w:t xml:space="preserve">) is placed on inflation-fighting.   In the case of a nominal GDP rule, the authorities vary the money supply in such a way as to accommodate velocity shocks. The equation </w:t>
      </w:r>
      <w:r w:rsidRPr="001E1999">
        <w:rPr>
          <w:rFonts w:ascii="Times New Roman" w:hAnsi="Times New Roman"/>
          <w:b/>
          <w:bCs/>
          <w:i/>
          <w:iCs/>
          <w:sz w:val="24"/>
          <w:szCs w:val="24"/>
        </w:rPr>
        <w:t xml:space="preserve">p + y = </w:t>
      </w:r>
      <w:r w:rsidR="002141BD" w:rsidRPr="001E1999">
        <w:rPr>
          <w:rFonts w:ascii="Times New Roman" w:hAnsi="Times New Roman"/>
          <w:b/>
          <w:bCs/>
          <w:iCs/>
          <w:sz w:val="24"/>
          <w:szCs w:val="24"/>
        </w:rPr>
        <w:fldChar w:fldCharType="begin"/>
      </w:r>
      <w:r w:rsidRPr="001E1999">
        <w:rPr>
          <w:rFonts w:ascii="Times New Roman" w:hAnsi="Times New Roman"/>
          <w:b/>
          <w:bCs/>
          <w:iCs/>
          <w:sz w:val="24"/>
          <w:szCs w:val="24"/>
        </w:rPr>
        <w:instrText xml:space="preserve"> QUOTE </w:instrText>
      </w:r>
      <w:r w:rsidR="00C36273">
        <w:rPr>
          <w:sz w:val="24"/>
          <w:szCs w:val="24"/>
        </w:rPr>
        <w:pict>
          <v:shape id="_x0000_i1042" type="#_x0000_t75" style="width:8.4pt;height:11.4pt" equationxml="&lt;">
            <v:imagedata r:id="rId16" o:title="" chromakey="white"/>
          </v:shape>
        </w:pict>
      </w:r>
      <w:r w:rsidRPr="001E1999">
        <w:rPr>
          <w:rFonts w:ascii="Times New Roman" w:hAnsi="Times New Roman"/>
          <w:b/>
          <w:bCs/>
          <w:iCs/>
          <w:sz w:val="24"/>
          <w:szCs w:val="24"/>
        </w:rPr>
        <w:instrText xml:space="preserve"> </w:instrText>
      </w:r>
      <w:r w:rsidR="002141BD" w:rsidRPr="001E1999">
        <w:rPr>
          <w:rFonts w:ascii="Times New Roman" w:hAnsi="Times New Roman"/>
          <w:b/>
          <w:bCs/>
          <w:iCs/>
          <w:sz w:val="24"/>
          <w:szCs w:val="24"/>
        </w:rPr>
        <w:fldChar w:fldCharType="separate"/>
      </w:r>
      <w:r w:rsidR="00C36273">
        <w:rPr>
          <w:sz w:val="24"/>
          <w:szCs w:val="24"/>
        </w:rPr>
        <w:pict>
          <v:shape id="_x0000_i1043" type="#_x0000_t75" style="width:8.4pt;height:11.4pt" equationxml="&lt;">
            <v:imagedata r:id="rId16" o:title="" chromakey="white"/>
          </v:shape>
        </w:pict>
      </w:r>
      <w:r w:rsidR="002141BD" w:rsidRPr="001E1999">
        <w:rPr>
          <w:rFonts w:ascii="Times New Roman" w:hAnsi="Times New Roman"/>
          <w:b/>
          <w:bCs/>
          <w:iCs/>
          <w:sz w:val="24"/>
          <w:szCs w:val="24"/>
        </w:rPr>
        <w:fldChar w:fldCharType="end"/>
      </w:r>
      <w:r w:rsidRPr="001E1999">
        <w:rPr>
          <w:rFonts w:ascii="Times New Roman" w:hAnsi="Times New Roman"/>
          <w:b/>
          <w:bCs/>
          <w:i/>
          <w:iCs/>
          <w:sz w:val="24"/>
          <w:szCs w:val="24"/>
        </w:rPr>
        <w:t xml:space="preserve"> + v</w:t>
      </w:r>
      <w:r w:rsidRPr="001E1999">
        <w:rPr>
          <w:rFonts w:ascii="Times New Roman" w:hAnsi="Times New Roman"/>
          <w:sz w:val="24"/>
          <w:szCs w:val="24"/>
        </w:rPr>
        <w:t xml:space="preserve">  is replaced by the condition that </w:t>
      </w:r>
      <w:r w:rsidRPr="001E1999">
        <w:rPr>
          <w:rFonts w:ascii="Times New Roman" w:hAnsi="Times New Roman"/>
          <w:b/>
          <w:bCs/>
          <w:i/>
          <w:iCs/>
          <w:sz w:val="24"/>
          <w:szCs w:val="24"/>
        </w:rPr>
        <w:t>p + y</w:t>
      </w:r>
      <w:r w:rsidRPr="001E1999">
        <w:rPr>
          <w:rFonts w:ascii="Times New Roman" w:hAnsi="Times New Roman"/>
          <w:sz w:val="24"/>
          <w:szCs w:val="24"/>
        </w:rPr>
        <w:t xml:space="preserve"> is constant.  The solution is the same as in the monetarist case, except that the </w:t>
      </w:r>
      <w:r w:rsidRPr="001E1999">
        <w:rPr>
          <w:rFonts w:ascii="Times New Roman" w:hAnsi="Times New Roman"/>
          <w:b/>
          <w:bCs/>
          <w:i/>
          <w:iCs/>
          <w:sz w:val="24"/>
          <w:szCs w:val="24"/>
        </w:rPr>
        <w:t>v</w:t>
      </w:r>
      <w:r w:rsidRPr="001E1999">
        <w:rPr>
          <w:rFonts w:ascii="Times New Roman" w:hAnsi="Times New Roman"/>
          <w:sz w:val="24"/>
          <w:szCs w:val="24"/>
        </w:rPr>
        <w:t xml:space="preserve"> disturbance drops out.  The loss function is unambiguously better than in the money rule case, as long as there are any velocity shocks.</w:t>
      </w:r>
      <w:r w:rsidR="00737A1A">
        <w:rPr>
          <w:rFonts w:ascii="Times New Roman" w:hAnsi="Times New Roman"/>
          <w:sz w:val="24"/>
          <w:szCs w:val="24"/>
        </w:rPr>
        <w:t xml:space="preserve">  This was the basis of the original argument for NGDP targeting in the 1980s. </w:t>
      </w:r>
      <w:r w:rsidRPr="001E1999">
        <w:rPr>
          <w:rFonts w:ascii="Times New Roman" w:hAnsi="Times New Roman"/>
          <w:sz w:val="24"/>
          <w:szCs w:val="24"/>
        </w:rPr>
        <w:t xml:space="preserve"> </w:t>
      </w:r>
      <w:r>
        <w:rPr>
          <w:rFonts w:ascii="Times New Roman" w:hAnsi="Times New Roman"/>
          <w:sz w:val="24"/>
          <w:szCs w:val="24"/>
        </w:rPr>
        <w:t>(</w:t>
      </w:r>
      <w:r w:rsidR="003A1392">
        <w:rPr>
          <w:rFonts w:ascii="Times New Roman" w:hAnsi="Times New Roman"/>
          <w:sz w:val="24"/>
          <w:szCs w:val="24"/>
        </w:rPr>
        <w:t>One needs to know</w:t>
      </w:r>
      <w:r w:rsidRPr="001E1999">
        <w:rPr>
          <w:rFonts w:ascii="Times New Roman" w:hAnsi="Times New Roman"/>
          <w:sz w:val="24"/>
          <w:szCs w:val="24"/>
        </w:rPr>
        <w:t xml:space="preserve"> </w:t>
      </w:r>
      <w:r w:rsidR="003A1392">
        <w:rPr>
          <w:rFonts w:ascii="Times New Roman" w:hAnsi="Times New Roman"/>
          <w:sz w:val="24"/>
          <w:szCs w:val="24"/>
        </w:rPr>
        <w:t xml:space="preserve">both </w:t>
      </w:r>
      <w:r w:rsidRPr="001E1999">
        <w:rPr>
          <w:rFonts w:ascii="Times New Roman" w:hAnsi="Times New Roman"/>
          <w:b/>
          <w:bCs/>
          <w:i/>
          <w:iCs/>
          <w:sz w:val="24"/>
          <w:szCs w:val="24"/>
        </w:rPr>
        <w:t>var(u)</w:t>
      </w:r>
      <w:r w:rsidRPr="001E1999">
        <w:rPr>
          <w:rFonts w:ascii="Times New Roman" w:hAnsi="Times New Roman"/>
          <w:sz w:val="24"/>
          <w:szCs w:val="24"/>
        </w:rPr>
        <w:t xml:space="preserve"> </w:t>
      </w:r>
      <w:r w:rsidR="003A1392">
        <w:rPr>
          <w:rFonts w:ascii="Times New Roman" w:hAnsi="Times New Roman"/>
          <w:sz w:val="24"/>
          <w:szCs w:val="24"/>
        </w:rPr>
        <w:t>and</w:t>
      </w:r>
      <w:r w:rsidRPr="001E1999">
        <w:rPr>
          <w:rFonts w:ascii="Times New Roman" w:hAnsi="Times New Roman"/>
          <w:sz w:val="24"/>
          <w:szCs w:val="24"/>
        </w:rPr>
        <w:t xml:space="preserve"> </w:t>
      </w:r>
      <w:r w:rsidRPr="001E1999">
        <w:rPr>
          <w:rFonts w:ascii="Times New Roman" w:hAnsi="Times New Roman"/>
          <w:b/>
          <w:bCs/>
          <w:i/>
          <w:iCs/>
          <w:sz w:val="24"/>
          <w:szCs w:val="24"/>
        </w:rPr>
        <w:t>a</w:t>
      </w:r>
      <w:r w:rsidRPr="001E1999">
        <w:rPr>
          <w:rFonts w:ascii="Times New Roman" w:hAnsi="Times New Roman"/>
          <w:sz w:val="24"/>
          <w:szCs w:val="24"/>
        </w:rPr>
        <w:t xml:space="preserve">, </w:t>
      </w:r>
      <w:r w:rsidR="003A1392">
        <w:rPr>
          <w:rFonts w:ascii="Times New Roman" w:hAnsi="Times New Roman"/>
          <w:sz w:val="24"/>
          <w:szCs w:val="24"/>
        </w:rPr>
        <w:t xml:space="preserve">in order to be able </w:t>
      </w:r>
      <w:r w:rsidRPr="001E1999">
        <w:rPr>
          <w:rFonts w:ascii="Times New Roman" w:hAnsi="Times New Roman"/>
          <w:sz w:val="24"/>
          <w:szCs w:val="24"/>
        </w:rPr>
        <w:t>to say that the rule dominates discretion.</w:t>
      </w:r>
      <w:r>
        <w:rPr>
          <w:rFonts w:ascii="Times New Roman" w:hAnsi="Times New Roman"/>
          <w:sz w:val="24"/>
          <w:szCs w:val="24"/>
        </w:rPr>
        <w:t>)</w:t>
      </w:r>
      <w:r w:rsidRPr="001E1999">
        <w:rPr>
          <w:rFonts w:ascii="Times New Roman" w:hAnsi="Times New Roman"/>
          <w:sz w:val="24"/>
          <w:szCs w:val="24"/>
        </w:rPr>
        <w:t xml:space="preserve">   </w:t>
      </w:r>
    </w:p>
    <w:p w:rsidR="001751C4" w:rsidRPr="001E1999" w:rsidRDefault="001751C4" w:rsidP="00715300">
      <w:pPr>
        <w:tabs>
          <w:tab w:val="left" w:pos="-720"/>
        </w:tabs>
        <w:suppressAutoHyphens/>
        <w:rPr>
          <w:rFonts w:ascii="Times New Roman" w:hAnsi="Times New Roman"/>
          <w:sz w:val="24"/>
          <w:szCs w:val="24"/>
        </w:rPr>
      </w:pPr>
      <w:r w:rsidRPr="001E1999">
        <w:rPr>
          <w:rFonts w:ascii="Times New Roman" w:hAnsi="Times New Roman"/>
          <w:sz w:val="24"/>
          <w:szCs w:val="24"/>
        </w:rPr>
        <w:t>Under a price level rule, the authorities set monetary policy so that the price level is not just zero in expectation, but is zero regardless of later shocks.  The price level rule is likely to dominate the money supply rule if velocity shocks are large. (If velocity shocks are small, the money supply rule collapses to the nominal</w:t>
      </w:r>
      <w:r>
        <w:rPr>
          <w:rFonts w:ascii="Times New Roman" w:hAnsi="Times New Roman"/>
          <w:sz w:val="24"/>
          <w:szCs w:val="24"/>
        </w:rPr>
        <w:t xml:space="preserve"> GDP rule</w:t>
      </w:r>
      <w:r w:rsidRPr="001E1999">
        <w:rPr>
          <w:rFonts w:ascii="Times New Roman" w:hAnsi="Times New Roman"/>
          <w:sz w:val="24"/>
          <w:szCs w:val="24"/>
        </w:rPr>
        <w:t xml:space="preserve">.) </w:t>
      </w:r>
    </w:p>
    <w:p w:rsidR="001751C4" w:rsidRPr="001E1999" w:rsidRDefault="001751C4" w:rsidP="00715300">
      <w:pPr>
        <w:tabs>
          <w:tab w:val="left" w:pos="-720"/>
        </w:tabs>
        <w:suppressAutoHyphens/>
        <w:rPr>
          <w:rFonts w:ascii="Times New Roman" w:hAnsi="Times New Roman"/>
          <w:sz w:val="24"/>
          <w:szCs w:val="24"/>
        </w:rPr>
      </w:pPr>
      <w:r w:rsidRPr="001E1999">
        <w:rPr>
          <w:rFonts w:ascii="Times New Roman" w:hAnsi="Times New Roman"/>
          <w:sz w:val="24"/>
          <w:szCs w:val="24"/>
        </w:rPr>
        <w:t xml:space="preserve">The price level rule is in turn dominated by the nominal GDP rule if </w:t>
      </w:r>
      <w:r w:rsidRPr="001E1999">
        <w:rPr>
          <w:rFonts w:ascii="Times New Roman" w:hAnsi="Times New Roman"/>
          <w:sz w:val="24"/>
          <w:szCs w:val="24"/>
        </w:rPr>
        <w:br/>
      </w:r>
      <w:r w:rsidRPr="001E1999">
        <w:rPr>
          <w:rFonts w:ascii="Times New Roman" w:hAnsi="Times New Roman"/>
          <w:sz w:val="24"/>
          <w:szCs w:val="24"/>
        </w:rPr>
        <w:br/>
        <w:t xml:space="preserve"> </w:t>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b/>
          <w:bCs/>
          <w:i/>
          <w:iCs/>
          <w:sz w:val="24"/>
          <w:szCs w:val="24"/>
        </w:rPr>
        <w:t xml:space="preserve"> a &lt; (2 + b)b</w:t>
      </w:r>
      <w:r w:rsidRPr="001E1999">
        <w:rPr>
          <w:rFonts w:ascii="Times New Roman" w:hAnsi="Times New Roman"/>
          <w:sz w:val="24"/>
          <w:szCs w:val="24"/>
        </w:rPr>
        <w:t>.</w:t>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r>
      <w:r w:rsidRPr="001E1999">
        <w:rPr>
          <w:rFonts w:ascii="Times New Roman" w:hAnsi="Times New Roman"/>
          <w:sz w:val="24"/>
          <w:szCs w:val="24"/>
        </w:rPr>
        <w:tab/>
        <w:t>(6)</w:t>
      </w:r>
      <w:r w:rsidRPr="001E1999">
        <w:rPr>
          <w:rFonts w:ascii="Times New Roman" w:hAnsi="Times New Roman"/>
          <w:sz w:val="24"/>
          <w:szCs w:val="24"/>
        </w:rPr>
        <w:br/>
      </w:r>
      <w:r w:rsidRPr="001E1999">
        <w:rPr>
          <w:rFonts w:ascii="Times New Roman" w:hAnsi="Times New Roman"/>
          <w:sz w:val="24"/>
          <w:szCs w:val="24"/>
        </w:rPr>
        <w:br/>
        <w:t>This condition does not automatically hold.  The question is whether the inverse slope of the Aggregate Supply curve is high relative to the priority placed on price stability.  This corresponds nicely to what we learned</w:t>
      </w:r>
      <w:r>
        <w:rPr>
          <w:rFonts w:ascii="Times New Roman" w:hAnsi="Times New Roman"/>
          <w:sz w:val="24"/>
          <w:szCs w:val="24"/>
        </w:rPr>
        <w:t xml:space="preserve"> from looking at Figures 2 and 3</w:t>
      </w:r>
      <w:r w:rsidRPr="001E1999">
        <w:rPr>
          <w:rFonts w:ascii="Times New Roman" w:hAnsi="Times New Roman"/>
          <w:sz w:val="24"/>
          <w:szCs w:val="24"/>
        </w:rPr>
        <w:t>.  For example, if the condition</w:t>
      </w:r>
      <w:r w:rsidRPr="001E1999">
        <w:rPr>
          <w:rFonts w:ascii="Times New Roman" w:hAnsi="Times New Roman"/>
          <w:b/>
          <w:bCs/>
          <w:i/>
          <w:iCs/>
          <w:sz w:val="24"/>
          <w:szCs w:val="24"/>
        </w:rPr>
        <w:t xml:space="preserve"> a &lt; b</w:t>
      </w:r>
      <w:r w:rsidRPr="001E1999">
        <w:rPr>
          <w:rFonts w:ascii="Times New Roman" w:hAnsi="Times New Roman"/>
          <w:sz w:val="24"/>
          <w:szCs w:val="24"/>
        </w:rPr>
        <w:t xml:space="preserve"> holds, the necessary condition easily follows; nominal GDP targeting dominates.  (The results asserted in the last three paragraphs are derived in Frankel, 1995a,b, 2011</w:t>
      </w:r>
      <w:r w:rsidR="00CA1514">
        <w:rPr>
          <w:rFonts w:ascii="Times New Roman" w:hAnsi="Times New Roman"/>
          <w:sz w:val="24"/>
          <w:szCs w:val="24"/>
        </w:rPr>
        <w:t>; and Bhandari and Frankel, 2014</w:t>
      </w:r>
      <w:r w:rsidRPr="001E1999">
        <w:rPr>
          <w:rFonts w:ascii="Times New Roman" w:hAnsi="Times New Roman"/>
          <w:sz w:val="24"/>
          <w:szCs w:val="24"/>
        </w:rPr>
        <w:t>).</w:t>
      </w:r>
    </w:p>
    <w:p w:rsidR="001751C4" w:rsidRPr="001E1999" w:rsidRDefault="001751C4" w:rsidP="00715300">
      <w:pPr>
        <w:tabs>
          <w:tab w:val="left" w:pos="-720"/>
        </w:tabs>
        <w:suppressAutoHyphens/>
        <w:rPr>
          <w:rFonts w:ascii="Times New Roman" w:hAnsi="Times New Roman"/>
          <w:sz w:val="24"/>
          <w:szCs w:val="24"/>
        </w:rPr>
      </w:pPr>
      <w:r w:rsidRPr="001E1999">
        <w:rPr>
          <w:rFonts w:ascii="Times New Roman" w:hAnsi="Times New Roman"/>
          <w:sz w:val="24"/>
          <w:szCs w:val="24"/>
        </w:rPr>
        <w:t xml:space="preserve">The original Taylor Rule from Taylor (1993), which is still the form in which it is most commonly presented, gives equal weight to output and price stability in determining how the monetary authorities should adjust their policy instrument, the real interest rate, in response to shocks:  </w:t>
      </w:r>
      <w:r w:rsidRPr="001E1999">
        <w:rPr>
          <w:rFonts w:ascii="Times New Roman" w:hAnsi="Times New Roman"/>
          <w:b/>
          <w:bCs/>
          <w:i/>
          <w:iCs/>
          <w:sz w:val="24"/>
          <w:szCs w:val="24"/>
        </w:rPr>
        <w:t>a</w:t>
      </w:r>
      <w:r w:rsidRPr="001E1999">
        <w:rPr>
          <w:rFonts w:ascii="Times New Roman" w:hAnsi="Times New Roman"/>
          <w:sz w:val="24"/>
          <w:szCs w:val="24"/>
        </w:rPr>
        <w:t xml:space="preserve"> = 1.  In that case, </w:t>
      </w:r>
      <w:r w:rsidR="00737A1A">
        <w:rPr>
          <w:rFonts w:ascii="Times New Roman" w:hAnsi="Times New Roman"/>
          <w:sz w:val="24"/>
          <w:szCs w:val="24"/>
        </w:rPr>
        <w:t xml:space="preserve">the criterion (6) becomes </w:t>
      </w:r>
      <w:r w:rsidRPr="001E1999">
        <w:rPr>
          <w:rFonts w:ascii="Times New Roman" w:hAnsi="Times New Roman"/>
          <w:sz w:val="24"/>
          <w:szCs w:val="24"/>
        </w:rPr>
        <w:t xml:space="preserve">the question is whether </w:t>
      </w:r>
      <w:r w:rsidRPr="001E1999">
        <w:rPr>
          <w:rFonts w:ascii="Times New Roman" w:hAnsi="Times New Roman"/>
          <w:b/>
          <w:bCs/>
          <w:i/>
          <w:iCs/>
          <w:sz w:val="24"/>
          <w:szCs w:val="24"/>
        </w:rPr>
        <w:t>b</w:t>
      </w:r>
      <w:r w:rsidRPr="001E1999">
        <w:rPr>
          <w:rFonts w:ascii="Times New Roman" w:hAnsi="Times New Roman"/>
          <w:sz w:val="24"/>
          <w:szCs w:val="24"/>
        </w:rPr>
        <w:t xml:space="preserve"> &gt; </w:t>
      </w:r>
      <w:r w:rsidR="002141BD" w:rsidRPr="001E1999">
        <w:rPr>
          <w:rFonts w:ascii="Times New Roman" w:hAnsi="Times New Roman"/>
          <w:sz w:val="24"/>
          <w:szCs w:val="24"/>
        </w:rPr>
        <w:fldChar w:fldCharType="begin"/>
      </w:r>
      <w:r w:rsidRPr="001E1999">
        <w:rPr>
          <w:rFonts w:ascii="Times New Roman" w:hAnsi="Times New Roman"/>
          <w:sz w:val="24"/>
          <w:szCs w:val="24"/>
        </w:rPr>
        <w:instrText xml:space="preserve"> QUOTE </w:instrText>
      </w:r>
      <w:r w:rsidR="00C36273">
        <w:rPr>
          <w:sz w:val="24"/>
          <w:szCs w:val="24"/>
        </w:rPr>
        <w:pict>
          <v:shape id="_x0000_i1044" type="#_x0000_t75" style="width:36pt;height:13.8pt" equationxml="&lt;">
            <v:imagedata r:id="rId17" o:title="" chromakey="white"/>
          </v:shape>
        </w:pict>
      </w:r>
      <w:r w:rsidRPr="001E1999">
        <w:rPr>
          <w:rFonts w:ascii="Times New Roman" w:hAnsi="Times New Roman"/>
          <w:sz w:val="24"/>
          <w:szCs w:val="24"/>
        </w:rPr>
        <w:instrText xml:space="preserve"> </w:instrText>
      </w:r>
      <w:r w:rsidR="002141BD" w:rsidRPr="001E1999">
        <w:rPr>
          <w:rFonts w:ascii="Times New Roman" w:hAnsi="Times New Roman"/>
          <w:sz w:val="24"/>
          <w:szCs w:val="24"/>
        </w:rPr>
        <w:fldChar w:fldCharType="separate"/>
      </w:r>
      <w:r w:rsidR="00C36273">
        <w:rPr>
          <w:sz w:val="24"/>
          <w:szCs w:val="24"/>
        </w:rPr>
        <w:pict>
          <v:shape id="_x0000_i1045" type="#_x0000_t75" style="width:36pt;height:13.8pt" equationxml="&lt;">
            <v:imagedata r:id="rId17" o:title="" chromakey="white"/>
          </v:shape>
        </w:pict>
      </w:r>
      <w:r w:rsidR="002141BD" w:rsidRPr="001E1999">
        <w:rPr>
          <w:rFonts w:ascii="Times New Roman" w:hAnsi="Times New Roman"/>
          <w:sz w:val="24"/>
          <w:szCs w:val="24"/>
        </w:rPr>
        <w:fldChar w:fldCharType="end"/>
      </w:r>
      <w:r w:rsidRPr="001E1999">
        <w:rPr>
          <w:rFonts w:ascii="Times New Roman" w:hAnsi="Times New Roman"/>
          <w:sz w:val="24"/>
          <w:szCs w:val="24"/>
        </w:rPr>
        <w:t xml:space="preserve">.  The important parameter that we need to estimate is </w:t>
      </w:r>
      <w:r w:rsidRPr="001E1999">
        <w:rPr>
          <w:rFonts w:ascii="Times New Roman" w:hAnsi="Times New Roman"/>
          <w:i/>
          <w:sz w:val="24"/>
          <w:szCs w:val="24"/>
        </w:rPr>
        <w:t>b</w:t>
      </w:r>
      <w:r w:rsidRPr="001E1999">
        <w:rPr>
          <w:rFonts w:ascii="Times New Roman" w:hAnsi="Times New Roman"/>
          <w:sz w:val="24"/>
          <w:szCs w:val="24"/>
        </w:rPr>
        <w:t>, the inverse slope of the supply curve.  Is the AS curve flat enough?  Is 1/</w:t>
      </w:r>
      <w:r w:rsidRPr="001E1999">
        <w:rPr>
          <w:rFonts w:ascii="Times New Roman" w:hAnsi="Times New Roman"/>
          <w:i/>
          <w:sz w:val="24"/>
          <w:szCs w:val="24"/>
        </w:rPr>
        <w:t xml:space="preserve">b  </w:t>
      </w:r>
      <w:r w:rsidRPr="001E1999">
        <w:rPr>
          <w:rFonts w:ascii="Times New Roman" w:hAnsi="Times New Roman"/>
          <w:sz w:val="24"/>
          <w:szCs w:val="24"/>
        </w:rPr>
        <w:t xml:space="preserve">&lt;  1/( </w:t>
      </w:r>
      <w:r w:rsidR="002141BD" w:rsidRPr="001E1999">
        <w:rPr>
          <w:rFonts w:ascii="Times New Roman" w:hAnsi="Times New Roman"/>
          <w:sz w:val="24"/>
          <w:szCs w:val="24"/>
        </w:rPr>
        <w:fldChar w:fldCharType="begin"/>
      </w:r>
      <w:r w:rsidRPr="001E1999">
        <w:rPr>
          <w:rFonts w:ascii="Times New Roman" w:hAnsi="Times New Roman"/>
          <w:sz w:val="24"/>
          <w:szCs w:val="24"/>
        </w:rPr>
        <w:instrText xml:space="preserve"> QUOTE </w:instrText>
      </w:r>
      <w:r w:rsidR="00C36273">
        <w:rPr>
          <w:sz w:val="24"/>
          <w:szCs w:val="24"/>
        </w:rPr>
        <w:pict>
          <v:shape id="_x0000_i1046" type="#_x0000_t75" style="width:36pt;height:13.8pt" equationxml="&lt;">
            <v:imagedata r:id="rId17" o:title="" chromakey="white"/>
          </v:shape>
        </w:pict>
      </w:r>
      <w:r w:rsidRPr="001E1999">
        <w:rPr>
          <w:rFonts w:ascii="Times New Roman" w:hAnsi="Times New Roman"/>
          <w:sz w:val="24"/>
          <w:szCs w:val="24"/>
        </w:rPr>
        <w:instrText xml:space="preserve"> </w:instrText>
      </w:r>
      <w:r w:rsidR="002141BD" w:rsidRPr="001E1999">
        <w:rPr>
          <w:rFonts w:ascii="Times New Roman" w:hAnsi="Times New Roman"/>
          <w:sz w:val="24"/>
          <w:szCs w:val="24"/>
        </w:rPr>
        <w:fldChar w:fldCharType="separate"/>
      </w:r>
      <w:r w:rsidR="00C36273">
        <w:rPr>
          <w:sz w:val="24"/>
          <w:szCs w:val="24"/>
        </w:rPr>
        <w:pict>
          <v:shape id="_x0000_i1047" type="#_x0000_t75" style="width:36pt;height:13.8pt" equationxml="&lt;">
            <v:imagedata r:id="rId17" o:title="" chromakey="white"/>
          </v:shape>
        </w:pict>
      </w:r>
      <w:r w:rsidR="002141BD" w:rsidRPr="001E1999">
        <w:rPr>
          <w:rFonts w:ascii="Times New Roman" w:hAnsi="Times New Roman"/>
          <w:sz w:val="24"/>
          <w:szCs w:val="24"/>
        </w:rPr>
        <w:fldChar w:fldCharType="end"/>
      </w:r>
      <w:r w:rsidRPr="001E1999">
        <w:rPr>
          <w:rFonts w:ascii="Times New Roman" w:hAnsi="Times New Roman"/>
          <w:sz w:val="24"/>
          <w:szCs w:val="24"/>
        </w:rPr>
        <w:t xml:space="preserve">) = 1+ </w:t>
      </w:r>
      <w:r w:rsidR="002141BD" w:rsidRPr="001E1999">
        <w:rPr>
          <w:rFonts w:ascii="Times New Roman" w:hAnsi="Times New Roman"/>
          <w:sz w:val="24"/>
          <w:szCs w:val="24"/>
        </w:rPr>
        <w:fldChar w:fldCharType="begin"/>
      </w:r>
      <w:r w:rsidRPr="001E1999">
        <w:rPr>
          <w:rFonts w:ascii="Times New Roman" w:hAnsi="Times New Roman"/>
          <w:sz w:val="24"/>
          <w:szCs w:val="24"/>
        </w:rPr>
        <w:instrText xml:space="preserve"> QUOTE </w:instrText>
      </w:r>
      <w:r w:rsidR="00C36273">
        <w:rPr>
          <w:sz w:val="24"/>
          <w:szCs w:val="24"/>
        </w:rPr>
        <w:pict>
          <v:shape id="_x0000_i1048" type="#_x0000_t75" style="width:14.4pt;height:13.8pt" equationxml="&lt;">
            <v:imagedata r:id="rId18" o:title="" chromakey="white"/>
          </v:shape>
        </w:pict>
      </w:r>
      <w:r w:rsidRPr="001E1999">
        <w:rPr>
          <w:rFonts w:ascii="Times New Roman" w:hAnsi="Times New Roman"/>
          <w:sz w:val="24"/>
          <w:szCs w:val="24"/>
        </w:rPr>
        <w:instrText xml:space="preserve"> </w:instrText>
      </w:r>
      <w:r w:rsidR="002141BD" w:rsidRPr="001E1999">
        <w:rPr>
          <w:rFonts w:ascii="Times New Roman" w:hAnsi="Times New Roman"/>
          <w:sz w:val="24"/>
          <w:szCs w:val="24"/>
        </w:rPr>
        <w:fldChar w:fldCharType="separate"/>
      </w:r>
      <w:r w:rsidR="00C36273">
        <w:rPr>
          <w:sz w:val="24"/>
          <w:szCs w:val="24"/>
        </w:rPr>
        <w:pict>
          <v:shape id="_x0000_i1049" type="#_x0000_t75" style="width:14.4pt;height:13.8pt" equationxml="&lt;">
            <v:imagedata r:id="rId18" o:title="" chromakey="white"/>
          </v:shape>
        </w:pict>
      </w:r>
      <w:r w:rsidR="002141BD" w:rsidRPr="001E1999">
        <w:rPr>
          <w:rFonts w:ascii="Times New Roman" w:hAnsi="Times New Roman"/>
          <w:sz w:val="24"/>
          <w:szCs w:val="24"/>
        </w:rPr>
        <w:fldChar w:fldCharType="end"/>
      </w:r>
      <w:r w:rsidRPr="001E1999">
        <w:rPr>
          <w:rFonts w:ascii="Times New Roman" w:hAnsi="Times New Roman"/>
          <w:sz w:val="24"/>
          <w:szCs w:val="24"/>
        </w:rPr>
        <w:t xml:space="preserve">  =  2.414? </w:t>
      </w:r>
    </w:p>
    <w:p w:rsidR="001751C4" w:rsidRPr="001E1999" w:rsidRDefault="00A322F7" w:rsidP="00715300">
      <w:pPr>
        <w:tabs>
          <w:tab w:val="left" w:pos="-720"/>
        </w:tabs>
        <w:suppressAutoHyphens/>
        <w:rPr>
          <w:rFonts w:ascii="Times New Roman" w:hAnsi="Times New Roman"/>
          <w:b/>
          <w:sz w:val="24"/>
          <w:szCs w:val="24"/>
        </w:rPr>
      </w:pPr>
      <w:r>
        <w:rPr>
          <w:rFonts w:ascii="Times New Roman" w:hAnsi="Times New Roman"/>
          <w:b/>
          <w:sz w:val="24"/>
          <w:szCs w:val="24"/>
        </w:rPr>
        <w:t>Parameter E</w:t>
      </w:r>
      <w:r w:rsidR="001751C4" w:rsidRPr="001E1999">
        <w:rPr>
          <w:rFonts w:ascii="Times New Roman" w:hAnsi="Times New Roman"/>
          <w:b/>
          <w:sz w:val="24"/>
          <w:szCs w:val="24"/>
        </w:rPr>
        <w:t>stimation</w:t>
      </w:r>
    </w:p>
    <w:p w:rsidR="001751C4" w:rsidRPr="001E1999" w:rsidRDefault="00737A1A" w:rsidP="00715300">
      <w:pPr>
        <w:rPr>
          <w:rFonts w:ascii="Times New Roman" w:hAnsi="Times New Roman"/>
          <w:sz w:val="24"/>
          <w:szCs w:val="24"/>
        </w:rPr>
      </w:pPr>
      <w:r>
        <w:rPr>
          <w:rFonts w:ascii="Times New Roman" w:hAnsi="Times New Roman"/>
          <w:bCs/>
          <w:sz w:val="24"/>
          <w:szCs w:val="24"/>
        </w:rPr>
        <w:t>We need to</w:t>
      </w:r>
      <w:r w:rsidR="001751C4" w:rsidRPr="001E1999">
        <w:rPr>
          <w:rFonts w:ascii="Times New Roman" w:hAnsi="Times New Roman"/>
          <w:bCs/>
          <w:sz w:val="24"/>
          <w:szCs w:val="24"/>
        </w:rPr>
        <w:t xml:space="preserve"> know the parameters, especially the slope of the AS curve.  (It would also be good to know how big the variance of the supply shocks is.  If they are small, then the difference </w:t>
      </w:r>
      <w:r w:rsidR="001751C4" w:rsidRPr="001E1999">
        <w:rPr>
          <w:rFonts w:ascii="Times New Roman" w:hAnsi="Times New Roman"/>
          <w:bCs/>
          <w:sz w:val="24"/>
          <w:szCs w:val="24"/>
        </w:rPr>
        <w:lastRenderedPageBreak/>
        <w:t xml:space="preserve">between NGDP targeting and IT is small.)  In principle, these parameters can be estimated, so long as we have good instrumental variables to identify the two equations.  </w:t>
      </w:r>
      <w:r w:rsidR="003A1392">
        <w:rPr>
          <w:rFonts w:ascii="Times New Roman" w:hAnsi="Times New Roman"/>
          <w:sz w:val="24"/>
          <w:szCs w:val="24"/>
        </w:rPr>
        <w:t>E</w:t>
      </w:r>
      <w:r w:rsidR="001751C4" w:rsidRPr="001E1999">
        <w:rPr>
          <w:rFonts w:ascii="Times New Roman" w:hAnsi="Times New Roman"/>
          <w:sz w:val="24"/>
          <w:szCs w:val="24"/>
        </w:rPr>
        <w:t>xogenous instruments to identify shifts in the Aggregate Supply curve include natural disasters such as droughts, hurricanes and earthquakes</w:t>
      </w:r>
      <w:r w:rsidR="001751C4" w:rsidRPr="001E1999">
        <w:rPr>
          <w:rStyle w:val="FootnoteReference"/>
          <w:rFonts w:ascii="Times New Roman" w:hAnsi="Times New Roman"/>
          <w:sz w:val="24"/>
          <w:szCs w:val="24"/>
        </w:rPr>
        <w:footnoteReference w:id="8"/>
      </w:r>
      <w:r w:rsidR="001751C4" w:rsidRPr="001E1999">
        <w:rPr>
          <w:rFonts w:ascii="Times New Roman" w:hAnsi="Times New Roman"/>
          <w:sz w:val="24"/>
          <w:szCs w:val="24"/>
        </w:rPr>
        <w:t xml:space="preserve"> and </w:t>
      </w:r>
      <w:r w:rsidR="001751C4">
        <w:rPr>
          <w:rFonts w:ascii="Times New Roman" w:hAnsi="Times New Roman"/>
          <w:sz w:val="24"/>
          <w:szCs w:val="24"/>
        </w:rPr>
        <w:t>terms of trade</w:t>
      </w:r>
      <w:r w:rsidR="001751C4" w:rsidRPr="001E1999">
        <w:rPr>
          <w:rFonts w:ascii="Times New Roman" w:hAnsi="Times New Roman"/>
          <w:sz w:val="24"/>
          <w:szCs w:val="24"/>
        </w:rPr>
        <w:t xml:space="preserve"> shocks such as increases in import prices.   </w:t>
      </w:r>
      <w:r w:rsidR="003A1392">
        <w:rPr>
          <w:rFonts w:ascii="Times New Roman" w:hAnsi="Times New Roman"/>
          <w:sz w:val="24"/>
          <w:szCs w:val="24"/>
        </w:rPr>
        <w:t>E</w:t>
      </w:r>
      <w:r w:rsidR="001751C4" w:rsidRPr="001E1999">
        <w:rPr>
          <w:rFonts w:ascii="Times New Roman" w:hAnsi="Times New Roman"/>
          <w:sz w:val="24"/>
          <w:szCs w:val="24"/>
        </w:rPr>
        <w:t>xogenous instruments to identify shifts in the Aggregate Demand curve include fluctuations in the incomes of major trading partners (weighted by bilateral trade) and military spending.   The equations can be estimated by Instrumental Variables.</w:t>
      </w:r>
      <w:r w:rsidR="001751C4" w:rsidRPr="001E1999">
        <w:rPr>
          <w:rStyle w:val="FootnoteReference"/>
          <w:rFonts w:ascii="Times New Roman" w:hAnsi="Times New Roman"/>
          <w:sz w:val="24"/>
          <w:szCs w:val="24"/>
        </w:rPr>
        <w:footnoteReference w:id="9"/>
      </w:r>
      <w:r w:rsidR="001751C4" w:rsidRPr="001E1999">
        <w:rPr>
          <w:rFonts w:ascii="Times New Roman" w:hAnsi="Times New Roman"/>
          <w:sz w:val="24"/>
          <w:szCs w:val="24"/>
        </w:rPr>
        <w:t xml:space="preserve">   </w:t>
      </w:r>
    </w:p>
    <w:p w:rsidR="001751C4" w:rsidRPr="001E1999" w:rsidRDefault="001751C4" w:rsidP="00715300">
      <w:pPr>
        <w:rPr>
          <w:rFonts w:ascii="Times New Roman" w:hAnsi="Times New Roman"/>
          <w:bCs/>
          <w:sz w:val="24"/>
          <w:szCs w:val="24"/>
        </w:rPr>
      </w:pPr>
      <w:r w:rsidRPr="00291323">
        <w:rPr>
          <w:rFonts w:ascii="Times New Roman" w:hAnsi="Times New Roman"/>
          <w:bCs/>
          <w:sz w:val="24"/>
          <w:szCs w:val="24"/>
        </w:rPr>
        <w:t xml:space="preserve">AS:    </w:t>
      </w:r>
      <w:r w:rsidRPr="00291323">
        <w:rPr>
          <w:rFonts w:ascii="Times New Roman" w:hAnsi="Times New Roman"/>
          <w:bCs/>
          <w:i/>
          <w:sz w:val="24"/>
          <w:szCs w:val="24"/>
        </w:rPr>
        <w:t>p</w:t>
      </w:r>
      <w:r w:rsidRPr="00291323">
        <w:rPr>
          <w:rFonts w:ascii="Times New Roman" w:hAnsi="Times New Roman"/>
          <w:bCs/>
          <w:i/>
          <w:sz w:val="24"/>
          <w:szCs w:val="24"/>
          <w:vertAlign w:val="subscript"/>
        </w:rPr>
        <w:t>t</w:t>
      </w:r>
      <w:r w:rsidRPr="00291323">
        <w:rPr>
          <w:rFonts w:ascii="Times New Roman" w:hAnsi="Times New Roman"/>
          <w:bCs/>
          <w:i/>
          <w:sz w:val="24"/>
          <w:szCs w:val="24"/>
        </w:rPr>
        <w:t xml:space="preserve"> = (1/b) y</w:t>
      </w:r>
      <w:r w:rsidRPr="00291323">
        <w:rPr>
          <w:rFonts w:ascii="Times New Roman" w:hAnsi="Times New Roman"/>
          <w:bCs/>
          <w:i/>
          <w:sz w:val="24"/>
          <w:szCs w:val="24"/>
          <w:vertAlign w:val="subscript"/>
        </w:rPr>
        <w:t xml:space="preserve"> t</w:t>
      </w:r>
      <w:r w:rsidRPr="00291323">
        <w:rPr>
          <w:rFonts w:ascii="Times New Roman" w:hAnsi="Times New Roman"/>
          <w:bCs/>
          <w:sz w:val="24"/>
          <w:szCs w:val="24"/>
        </w:rPr>
        <w:t xml:space="preserve">  +</w:t>
      </w:r>
      <w:r w:rsidRPr="00291323">
        <w:rPr>
          <w:rFonts w:ascii="Times New Roman" w:hAnsi="Times New Roman"/>
          <w:bCs/>
          <w:i/>
          <w:sz w:val="24"/>
          <w:szCs w:val="24"/>
        </w:rPr>
        <w:t>(</w:t>
      </w:r>
      <w:r w:rsidRPr="001E1999">
        <w:rPr>
          <w:rFonts w:ascii="Times New Roman" w:hAnsi="Times New Roman"/>
          <w:bCs/>
          <w:i/>
          <w:sz w:val="24"/>
          <w:szCs w:val="24"/>
          <w:lang w:val="fr-FR"/>
        </w:rPr>
        <w:t>α</w:t>
      </w:r>
      <w:r w:rsidRPr="00291323">
        <w:rPr>
          <w:rFonts w:ascii="Times New Roman" w:hAnsi="Times New Roman"/>
          <w:bCs/>
          <w:i/>
          <w:sz w:val="24"/>
          <w:szCs w:val="24"/>
        </w:rPr>
        <w:t xml:space="preserve"> /b)x</w:t>
      </w:r>
      <w:r w:rsidRPr="00291323">
        <w:rPr>
          <w:rFonts w:ascii="Times New Roman" w:hAnsi="Times New Roman"/>
          <w:bCs/>
          <w:i/>
          <w:sz w:val="24"/>
          <w:szCs w:val="24"/>
          <w:vertAlign w:val="subscript"/>
        </w:rPr>
        <w:t xml:space="preserve"> t</w:t>
      </w:r>
      <w:r w:rsidRPr="00291323">
        <w:rPr>
          <w:rFonts w:ascii="Times New Roman" w:hAnsi="Times New Roman"/>
          <w:bCs/>
          <w:i/>
          <w:sz w:val="24"/>
          <w:szCs w:val="24"/>
        </w:rPr>
        <w:t xml:space="preserve">  </w:t>
      </w:r>
      <w:r w:rsidRPr="00291323">
        <w:rPr>
          <w:rFonts w:ascii="Times New Roman" w:hAnsi="Times New Roman"/>
          <w:bCs/>
          <w:sz w:val="24"/>
          <w:szCs w:val="24"/>
        </w:rPr>
        <w:t>+</w:t>
      </w:r>
      <w:r w:rsidRPr="00291323">
        <w:rPr>
          <w:rFonts w:ascii="Times New Roman" w:hAnsi="Times New Roman"/>
          <w:bCs/>
          <w:i/>
          <w:sz w:val="24"/>
          <w:szCs w:val="24"/>
        </w:rPr>
        <w:t>(</w:t>
      </w:r>
      <w:r w:rsidRPr="001E1999">
        <w:rPr>
          <w:rFonts w:ascii="Times New Roman" w:hAnsi="Times New Roman"/>
          <w:bCs/>
          <w:i/>
          <w:sz w:val="24"/>
          <w:szCs w:val="24"/>
          <w:lang w:val="fr-FR"/>
        </w:rPr>
        <w:t>β</w:t>
      </w:r>
      <w:r w:rsidRPr="00291323">
        <w:rPr>
          <w:rFonts w:ascii="Times New Roman" w:hAnsi="Times New Roman"/>
          <w:bCs/>
          <w:i/>
          <w:sz w:val="24"/>
          <w:szCs w:val="24"/>
        </w:rPr>
        <w:t>/b)w</w:t>
      </w:r>
      <w:r w:rsidRPr="00291323">
        <w:rPr>
          <w:rFonts w:ascii="Times New Roman" w:hAnsi="Times New Roman"/>
          <w:bCs/>
          <w:i/>
          <w:sz w:val="24"/>
          <w:szCs w:val="24"/>
          <w:vertAlign w:val="subscript"/>
        </w:rPr>
        <w:t xml:space="preserve"> t</w:t>
      </w:r>
      <w:r w:rsidRPr="00291323">
        <w:rPr>
          <w:rFonts w:ascii="Times New Roman" w:hAnsi="Times New Roman"/>
          <w:bCs/>
          <w:i/>
          <w:sz w:val="24"/>
          <w:szCs w:val="24"/>
        </w:rPr>
        <w:t xml:space="preserve">  </w:t>
      </w:r>
      <w:r w:rsidRPr="00291323">
        <w:rPr>
          <w:rFonts w:ascii="Times New Roman" w:hAnsi="Times New Roman"/>
          <w:bCs/>
          <w:sz w:val="24"/>
          <w:szCs w:val="24"/>
        </w:rPr>
        <w:t>+</w:t>
      </w:r>
      <w:r w:rsidRPr="00291323">
        <w:rPr>
          <w:rFonts w:ascii="Times New Roman" w:hAnsi="Times New Roman"/>
          <w:bCs/>
          <w:i/>
          <w:sz w:val="24"/>
          <w:szCs w:val="24"/>
        </w:rPr>
        <w:t>(1/b)  u</w:t>
      </w:r>
      <w:r w:rsidRPr="00291323">
        <w:rPr>
          <w:rFonts w:ascii="Times New Roman" w:hAnsi="Times New Roman"/>
          <w:bCs/>
          <w:i/>
          <w:sz w:val="24"/>
          <w:szCs w:val="24"/>
          <w:vertAlign w:val="subscript"/>
        </w:rPr>
        <w:t xml:space="preserve"> t</w:t>
      </w:r>
      <w:r w:rsidRPr="00291323">
        <w:rPr>
          <w:rFonts w:ascii="Times New Roman" w:hAnsi="Times New Roman"/>
          <w:bCs/>
          <w:sz w:val="24"/>
          <w:szCs w:val="24"/>
        </w:rPr>
        <w:tab/>
        <w:t>.</w:t>
      </w:r>
      <w:r w:rsidRPr="00291323">
        <w:rPr>
          <w:rFonts w:ascii="Times New Roman" w:hAnsi="Times New Roman"/>
          <w:b/>
          <w:bCs/>
          <w:sz w:val="24"/>
          <w:szCs w:val="24"/>
        </w:rPr>
        <w:tab/>
      </w:r>
      <w:r w:rsidRPr="00291323">
        <w:rPr>
          <w:rFonts w:ascii="Times New Roman" w:hAnsi="Times New Roman"/>
          <w:b/>
          <w:bCs/>
          <w:sz w:val="24"/>
          <w:szCs w:val="24"/>
        </w:rPr>
        <w:tab/>
      </w:r>
      <w:r w:rsidRPr="00291323">
        <w:rPr>
          <w:rFonts w:ascii="Times New Roman" w:hAnsi="Times New Roman"/>
          <w:bCs/>
          <w:sz w:val="24"/>
          <w:szCs w:val="24"/>
        </w:rPr>
        <w:tab/>
      </w:r>
      <w:r w:rsidRPr="00291323">
        <w:rPr>
          <w:rFonts w:ascii="Times New Roman" w:hAnsi="Times New Roman"/>
          <w:bCs/>
          <w:sz w:val="24"/>
          <w:szCs w:val="24"/>
        </w:rPr>
        <w:tab/>
      </w:r>
      <w:r w:rsidRPr="001E1999">
        <w:rPr>
          <w:rFonts w:ascii="Times New Roman" w:hAnsi="Times New Roman"/>
          <w:bCs/>
          <w:sz w:val="24"/>
          <w:szCs w:val="24"/>
        </w:rPr>
        <w:t>(1’)</w:t>
      </w:r>
      <w:r w:rsidRPr="001E1999">
        <w:rPr>
          <w:rFonts w:ascii="Times New Roman" w:hAnsi="Times New Roman"/>
          <w:bCs/>
          <w:sz w:val="24"/>
          <w:szCs w:val="24"/>
        </w:rPr>
        <w:br/>
        <w:t xml:space="preserve">where  </w:t>
      </w:r>
      <w:r w:rsidRPr="001E1999">
        <w:rPr>
          <w:rFonts w:ascii="Times New Roman" w:hAnsi="Times New Roman"/>
          <w:bCs/>
          <w:i/>
          <w:sz w:val="24"/>
          <w:szCs w:val="24"/>
        </w:rPr>
        <w:t>x</w:t>
      </w:r>
      <w:r w:rsidRPr="001E1999">
        <w:rPr>
          <w:rFonts w:ascii="Times New Roman" w:hAnsi="Times New Roman"/>
          <w:bCs/>
          <w:i/>
          <w:sz w:val="24"/>
          <w:szCs w:val="24"/>
          <w:vertAlign w:val="subscript"/>
        </w:rPr>
        <w:t xml:space="preserve"> t  </w:t>
      </w:r>
      <w:r w:rsidRPr="001E1999">
        <w:rPr>
          <w:rFonts w:ascii="Times New Roman" w:hAnsi="Times New Roman"/>
          <w:bCs/>
          <w:sz w:val="24"/>
          <w:szCs w:val="24"/>
        </w:rPr>
        <w:t>≡ adverse terms of trade shock;</w:t>
      </w:r>
      <w:r w:rsidRPr="001E1999">
        <w:rPr>
          <w:rFonts w:ascii="Times New Roman" w:hAnsi="Times New Roman"/>
          <w:bCs/>
          <w:sz w:val="24"/>
          <w:szCs w:val="24"/>
        </w:rPr>
        <w:br/>
      </w:r>
      <w:r w:rsidRPr="001E1999">
        <w:rPr>
          <w:rFonts w:ascii="Times New Roman" w:hAnsi="Times New Roman"/>
          <w:bCs/>
          <w:i/>
          <w:sz w:val="24"/>
          <w:szCs w:val="24"/>
        </w:rPr>
        <w:t>w</w:t>
      </w:r>
      <w:r w:rsidRPr="001E1999">
        <w:rPr>
          <w:rFonts w:ascii="Times New Roman" w:hAnsi="Times New Roman"/>
          <w:bCs/>
          <w:i/>
          <w:sz w:val="24"/>
          <w:szCs w:val="24"/>
          <w:vertAlign w:val="subscript"/>
        </w:rPr>
        <w:t xml:space="preserve"> t</w:t>
      </w:r>
      <w:r w:rsidR="00AC5EC4">
        <w:rPr>
          <w:rFonts w:ascii="Times New Roman" w:hAnsi="Times New Roman"/>
          <w:bCs/>
          <w:i/>
          <w:sz w:val="24"/>
          <w:szCs w:val="24"/>
        </w:rPr>
        <w:t xml:space="preserve">  </w:t>
      </w:r>
      <w:r w:rsidRPr="001E1999">
        <w:rPr>
          <w:rFonts w:ascii="Times New Roman" w:hAnsi="Times New Roman"/>
          <w:bCs/>
          <w:sz w:val="24"/>
          <w:szCs w:val="24"/>
        </w:rPr>
        <w:t xml:space="preserve">≡ adverse weather shock or other natural disaster; and </w:t>
      </w:r>
      <w:r w:rsidRPr="001E1999">
        <w:rPr>
          <w:rFonts w:ascii="Times New Roman" w:hAnsi="Times New Roman"/>
          <w:bCs/>
          <w:sz w:val="24"/>
          <w:szCs w:val="24"/>
        </w:rPr>
        <w:br/>
      </w:r>
      <w:r w:rsidRPr="001E1999">
        <w:rPr>
          <w:rFonts w:ascii="Times New Roman" w:hAnsi="Times New Roman"/>
          <w:bCs/>
          <w:i/>
          <w:sz w:val="24"/>
          <w:szCs w:val="24"/>
        </w:rPr>
        <w:t>u</w:t>
      </w:r>
      <w:r w:rsidRPr="001E1999">
        <w:rPr>
          <w:rFonts w:ascii="Times New Roman" w:hAnsi="Times New Roman"/>
          <w:bCs/>
          <w:i/>
          <w:sz w:val="24"/>
          <w:szCs w:val="24"/>
          <w:vertAlign w:val="subscript"/>
        </w:rPr>
        <w:t xml:space="preserve"> t  </w:t>
      </w:r>
      <w:r w:rsidR="00AC5EC4">
        <w:rPr>
          <w:rFonts w:ascii="Times New Roman" w:hAnsi="Times New Roman"/>
          <w:bCs/>
          <w:i/>
          <w:sz w:val="24"/>
          <w:szCs w:val="24"/>
          <w:vertAlign w:val="subscript"/>
        </w:rPr>
        <w:t xml:space="preserve"> </w:t>
      </w:r>
      <w:r w:rsidRPr="001E1999">
        <w:rPr>
          <w:rFonts w:ascii="Times New Roman" w:hAnsi="Times New Roman"/>
          <w:bCs/>
          <w:sz w:val="24"/>
          <w:szCs w:val="24"/>
        </w:rPr>
        <w:t>≡ other adverse supply shock.</w:t>
      </w:r>
    </w:p>
    <w:p w:rsidR="001751C4" w:rsidRPr="004139AD" w:rsidRDefault="001751C4" w:rsidP="00715300">
      <w:pPr>
        <w:rPr>
          <w:rFonts w:ascii="Times New Roman" w:hAnsi="Times New Roman"/>
          <w:bCs/>
          <w:sz w:val="24"/>
          <w:szCs w:val="24"/>
        </w:rPr>
      </w:pPr>
      <w:r w:rsidRPr="001E1999">
        <w:rPr>
          <w:rFonts w:ascii="Times New Roman" w:hAnsi="Times New Roman"/>
          <w:bCs/>
          <w:sz w:val="24"/>
          <w:szCs w:val="24"/>
        </w:rPr>
        <w:t xml:space="preserve">AD:  </w:t>
      </w:r>
      <w:r w:rsidRPr="001E1999">
        <w:rPr>
          <w:rFonts w:ascii="Times New Roman" w:hAnsi="Times New Roman"/>
          <w:bCs/>
          <w:i/>
          <w:sz w:val="24"/>
          <w:szCs w:val="24"/>
        </w:rPr>
        <w:t xml:space="preserve"> y</w:t>
      </w:r>
      <w:r w:rsidRPr="001E1999">
        <w:rPr>
          <w:rFonts w:ascii="Times New Roman" w:hAnsi="Times New Roman"/>
          <w:bCs/>
          <w:i/>
          <w:sz w:val="24"/>
          <w:szCs w:val="24"/>
          <w:vertAlign w:val="subscript"/>
        </w:rPr>
        <w:t>t</w:t>
      </w:r>
      <w:r w:rsidRPr="001E1999">
        <w:rPr>
          <w:rFonts w:ascii="Times New Roman" w:hAnsi="Times New Roman"/>
          <w:bCs/>
          <w:i/>
          <w:sz w:val="24"/>
          <w:szCs w:val="24"/>
        </w:rPr>
        <w:t xml:space="preserve">  = -(1/d)</w:t>
      </w:r>
      <w:r w:rsidRPr="001E1999">
        <w:rPr>
          <w:rFonts w:ascii="Times New Roman" w:hAnsi="Times New Roman"/>
          <w:bCs/>
          <w:sz w:val="24"/>
          <w:szCs w:val="24"/>
        </w:rPr>
        <w:t xml:space="preserve"> </w:t>
      </w:r>
      <w:r w:rsidRPr="001E1999">
        <w:rPr>
          <w:rFonts w:ascii="Times New Roman" w:hAnsi="Times New Roman"/>
          <w:bCs/>
          <w:i/>
          <w:sz w:val="24"/>
          <w:szCs w:val="24"/>
        </w:rPr>
        <w:t>p</w:t>
      </w:r>
      <w:r w:rsidRPr="001E1999">
        <w:rPr>
          <w:rFonts w:ascii="Times New Roman" w:hAnsi="Times New Roman"/>
          <w:bCs/>
          <w:i/>
          <w:sz w:val="24"/>
          <w:szCs w:val="24"/>
          <w:vertAlign w:val="subscript"/>
        </w:rPr>
        <w:t xml:space="preserve"> t</w:t>
      </w:r>
      <w:r w:rsidRPr="001E1999">
        <w:rPr>
          <w:rFonts w:ascii="Times New Roman" w:hAnsi="Times New Roman"/>
          <w:bCs/>
          <w:i/>
          <w:sz w:val="24"/>
          <w:szCs w:val="24"/>
        </w:rPr>
        <w:t xml:space="preserve"> + (1/d)  m</w:t>
      </w:r>
      <w:r w:rsidRPr="001E1999">
        <w:rPr>
          <w:rFonts w:ascii="Times New Roman" w:hAnsi="Times New Roman"/>
          <w:bCs/>
          <w:i/>
          <w:sz w:val="24"/>
          <w:szCs w:val="24"/>
          <w:vertAlign w:val="subscript"/>
        </w:rPr>
        <w:t xml:space="preserve"> t</w:t>
      </w:r>
      <w:r w:rsidRPr="001E1999">
        <w:rPr>
          <w:rFonts w:ascii="Times New Roman" w:hAnsi="Times New Roman"/>
          <w:bCs/>
          <w:i/>
          <w:sz w:val="24"/>
          <w:szCs w:val="24"/>
        </w:rPr>
        <w:t xml:space="preserve">  +  (</w:t>
      </w:r>
      <w:r w:rsidRPr="001E1999">
        <w:rPr>
          <w:rFonts w:ascii="Times New Roman" w:hAnsi="Times New Roman"/>
          <w:bCs/>
          <w:i/>
          <w:sz w:val="24"/>
          <w:szCs w:val="24"/>
          <w:lang w:val="fr-FR"/>
        </w:rPr>
        <w:t>δ</w:t>
      </w:r>
      <w:r w:rsidRPr="001E1999">
        <w:rPr>
          <w:rFonts w:ascii="Times New Roman" w:hAnsi="Times New Roman"/>
          <w:bCs/>
          <w:i/>
          <w:sz w:val="24"/>
          <w:szCs w:val="24"/>
        </w:rPr>
        <w:t>/d)</w:t>
      </w:r>
      <w:r w:rsidRPr="001E1999">
        <w:rPr>
          <w:rFonts w:ascii="Times New Roman" w:hAnsi="Times New Roman"/>
          <w:bCs/>
          <w:sz w:val="24"/>
          <w:szCs w:val="24"/>
        </w:rPr>
        <w:t xml:space="preserve"> </w:t>
      </w:r>
      <w:r w:rsidRPr="001E1999">
        <w:rPr>
          <w:rFonts w:ascii="Times New Roman" w:hAnsi="Times New Roman"/>
          <w:bCs/>
          <w:i/>
          <w:sz w:val="24"/>
          <w:szCs w:val="24"/>
        </w:rPr>
        <w:t>y</w:t>
      </w:r>
      <w:r w:rsidRPr="001E1999">
        <w:rPr>
          <w:rFonts w:ascii="Times New Roman" w:hAnsi="Times New Roman"/>
          <w:bCs/>
          <w:i/>
          <w:sz w:val="24"/>
          <w:szCs w:val="24"/>
          <w:vertAlign w:val="superscript"/>
        </w:rPr>
        <w:t>*</w:t>
      </w:r>
      <w:r w:rsidRPr="001E1999">
        <w:rPr>
          <w:rFonts w:ascii="Times New Roman" w:hAnsi="Times New Roman"/>
          <w:bCs/>
          <w:i/>
          <w:sz w:val="24"/>
          <w:szCs w:val="24"/>
          <w:vertAlign w:val="subscript"/>
        </w:rPr>
        <w:t xml:space="preserve"> t </w:t>
      </w:r>
      <w:r w:rsidRPr="001E1999">
        <w:rPr>
          <w:rFonts w:ascii="Times New Roman" w:hAnsi="Times New Roman"/>
          <w:bCs/>
          <w:i/>
          <w:sz w:val="24"/>
          <w:szCs w:val="24"/>
        </w:rPr>
        <w:t xml:space="preserve"> + (</w:t>
      </w:r>
      <w:r w:rsidRPr="001E1999">
        <w:rPr>
          <w:rFonts w:ascii="Times New Roman" w:hAnsi="Times New Roman"/>
          <w:bCs/>
          <w:i/>
          <w:sz w:val="24"/>
          <w:szCs w:val="24"/>
          <w:lang w:val="fr-FR"/>
        </w:rPr>
        <w:t>γ</w:t>
      </w:r>
      <w:r w:rsidRPr="001E1999">
        <w:rPr>
          <w:rFonts w:ascii="Times New Roman" w:hAnsi="Times New Roman"/>
          <w:bCs/>
          <w:i/>
          <w:sz w:val="24"/>
          <w:szCs w:val="24"/>
        </w:rPr>
        <w:t xml:space="preserve">/d) g </w:t>
      </w:r>
      <w:r w:rsidRPr="001E1999">
        <w:rPr>
          <w:rFonts w:ascii="Times New Roman" w:hAnsi="Times New Roman"/>
          <w:bCs/>
          <w:i/>
          <w:sz w:val="24"/>
          <w:szCs w:val="24"/>
          <w:vertAlign w:val="subscript"/>
        </w:rPr>
        <w:t>t</w:t>
      </w:r>
      <w:r w:rsidRPr="001E1999">
        <w:rPr>
          <w:rFonts w:ascii="Times New Roman" w:hAnsi="Times New Roman"/>
          <w:bCs/>
          <w:i/>
          <w:sz w:val="24"/>
          <w:szCs w:val="24"/>
        </w:rPr>
        <w:t xml:space="preserve"> + (1/d) v</w:t>
      </w:r>
      <w:r w:rsidRPr="001E1999">
        <w:rPr>
          <w:rFonts w:ascii="Times New Roman" w:hAnsi="Times New Roman"/>
          <w:bCs/>
          <w:i/>
          <w:sz w:val="24"/>
          <w:szCs w:val="24"/>
          <w:vertAlign w:val="subscript"/>
        </w:rPr>
        <w:t xml:space="preserve"> t</w:t>
      </w:r>
      <w:r w:rsidRPr="001E1999">
        <w:rPr>
          <w:rFonts w:ascii="Times New Roman" w:hAnsi="Times New Roman"/>
          <w:bCs/>
          <w:sz w:val="24"/>
          <w:szCs w:val="24"/>
        </w:rPr>
        <w:t xml:space="preserve">,      </w:t>
      </w:r>
      <w:r w:rsidRPr="001E1999">
        <w:rPr>
          <w:rFonts w:ascii="Times New Roman" w:hAnsi="Times New Roman"/>
          <w:bCs/>
          <w:sz w:val="24"/>
          <w:szCs w:val="24"/>
        </w:rPr>
        <w:tab/>
      </w:r>
      <w:r w:rsidRPr="001E1999">
        <w:rPr>
          <w:rFonts w:ascii="Times New Roman" w:hAnsi="Times New Roman"/>
          <w:bCs/>
          <w:sz w:val="24"/>
          <w:szCs w:val="24"/>
        </w:rPr>
        <w:tab/>
        <w:t>(2’)</w:t>
      </w:r>
      <w:r w:rsidRPr="001E1999">
        <w:rPr>
          <w:rFonts w:ascii="Times New Roman" w:hAnsi="Times New Roman"/>
          <w:bCs/>
          <w:sz w:val="24"/>
          <w:szCs w:val="24"/>
        </w:rPr>
        <w:br/>
        <w:t>where</w:t>
      </w:r>
      <w:r w:rsidRPr="001E1999">
        <w:rPr>
          <w:rFonts w:ascii="Times New Roman" w:hAnsi="Times New Roman"/>
          <w:bCs/>
          <w:sz w:val="24"/>
          <w:szCs w:val="24"/>
        </w:rPr>
        <w:br/>
      </w:r>
      <w:r w:rsidRPr="001E1999">
        <w:rPr>
          <w:rFonts w:ascii="Times New Roman" w:hAnsi="Times New Roman"/>
          <w:bCs/>
          <w:i/>
          <w:sz w:val="24"/>
          <w:szCs w:val="24"/>
        </w:rPr>
        <w:t>y</w:t>
      </w:r>
      <w:r w:rsidRPr="001E1999">
        <w:rPr>
          <w:rFonts w:ascii="Times New Roman" w:hAnsi="Times New Roman"/>
          <w:bCs/>
          <w:i/>
          <w:sz w:val="24"/>
          <w:szCs w:val="24"/>
          <w:vertAlign w:val="superscript"/>
        </w:rPr>
        <w:t>*</w:t>
      </w:r>
      <w:r w:rsidRPr="001E1999">
        <w:rPr>
          <w:rFonts w:ascii="Times New Roman" w:hAnsi="Times New Roman"/>
          <w:bCs/>
          <w:i/>
          <w:sz w:val="24"/>
          <w:szCs w:val="24"/>
          <w:vertAlign w:val="subscript"/>
        </w:rPr>
        <w:t xml:space="preserve"> t </w:t>
      </w:r>
      <w:r w:rsidRPr="001E1999">
        <w:rPr>
          <w:rFonts w:ascii="Times New Roman" w:hAnsi="Times New Roman"/>
          <w:bCs/>
          <w:i/>
          <w:sz w:val="24"/>
          <w:szCs w:val="24"/>
        </w:rPr>
        <w:t xml:space="preserve"> </w:t>
      </w:r>
      <w:r w:rsidRPr="001E1999">
        <w:rPr>
          <w:rFonts w:ascii="Times New Roman" w:hAnsi="Times New Roman"/>
          <w:bCs/>
          <w:sz w:val="24"/>
          <w:szCs w:val="24"/>
        </w:rPr>
        <w:t>≡ income shock among a weighted average of trading partners;</w:t>
      </w:r>
      <w:r w:rsidRPr="001E1999">
        <w:rPr>
          <w:rFonts w:ascii="Times New Roman" w:hAnsi="Times New Roman"/>
          <w:bCs/>
          <w:sz w:val="24"/>
          <w:szCs w:val="24"/>
        </w:rPr>
        <w:br/>
      </w:r>
      <w:r w:rsidRPr="001E1999">
        <w:rPr>
          <w:rFonts w:ascii="Times New Roman" w:hAnsi="Times New Roman"/>
          <w:bCs/>
          <w:i/>
          <w:sz w:val="24"/>
          <w:szCs w:val="24"/>
        </w:rPr>
        <w:t xml:space="preserve">g </w:t>
      </w:r>
      <w:r w:rsidRPr="001E1999">
        <w:rPr>
          <w:rFonts w:ascii="Times New Roman" w:hAnsi="Times New Roman"/>
          <w:bCs/>
          <w:i/>
          <w:sz w:val="24"/>
          <w:szCs w:val="24"/>
          <w:vertAlign w:val="subscript"/>
        </w:rPr>
        <w:t>t</w:t>
      </w:r>
      <w:r w:rsidRPr="001E1999">
        <w:rPr>
          <w:rFonts w:ascii="Times New Roman" w:hAnsi="Times New Roman"/>
          <w:bCs/>
          <w:i/>
          <w:sz w:val="24"/>
          <w:szCs w:val="24"/>
        </w:rPr>
        <w:t xml:space="preserve"> </w:t>
      </w:r>
      <w:r w:rsidRPr="001E1999">
        <w:rPr>
          <w:rFonts w:ascii="Times New Roman" w:hAnsi="Times New Roman"/>
          <w:bCs/>
          <w:sz w:val="24"/>
          <w:szCs w:val="24"/>
        </w:rPr>
        <w:t xml:space="preserve">≡ </w:t>
      </w:r>
      <w:r w:rsidRPr="001E1999">
        <w:rPr>
          <w:rFonts w:ascii="Times New Roman" w:hAnsi="Times New Roman"/>
          <w:bCs/>
          <w:i/>
          <w:sz w:val="24"/>
          <w:szCs w:val="24"/>
        </w:rPr>
        <w:t xml:space="preserve"> </w:t>
      </w:r>
      <w:r w:rsidRPr="001E1999">
        <w:rPr>
          <w:rFonts w:ascii="Times New Roman" w:hAnsi="Times New Roman"/>
          <w:bCs/>
          <w:sz w:val="24"/>
          <w:szCs w:val="24"/>
        </w:rPr>
        <w:t>shock in</w:t>
      </w:r>
      <w:r w:rsidRPr="001E1999">
        <w:rPr>
          <w:rFonts w:ascii="Times New Roman" w:hAnsi="Times New Roman"/>
          <w:bCs/>
          <w:i/>
          <w:sz w:val="24"/>
          <w:szCs w:val="24"/>
        </w:rPr>
        <w:t xml:space="preserve"> </w:t>
      </w:r>
      <w:r w:rsidRPr="001E1999">
        <w:rPr>
          <w:rFonts w:ascii="Times New Roman" w:hAnsi="Times New Roman"/>
          <w:bCs/>
          <w:sz w:val="24"/>
          <w:szCs w:val="24"/>
        </w:rPr>
        <w:t>government military spending as a share of GDP;</w:t>
      </w:r>
      <w:r w:rsidRPr="001E1999">
        <w:rPr>
          <w:rFonts w:ascii="Times New Roman" w:hAnsi="Times New Roman"/>
          <w:bCs/>
          <w:sz w:val="24"/>
          <w:szCs w:val="24"/>
        </w:rPr>
        <w:br/>
      </w:r>
      <w:r w:rsidRPr="001E1999">
        <w:rPr>
          <w:rFonts w:ascii="Times New Roman" w:hAnsi="Times New Roman"/>
          <w:bCs/>
          <w:i/>
          <w:sz w:val="24"/>
          <w:szCs w:val="24"/>
        </w:rPr>
        <w:t>v</w:t>
      </w:r>
      <w:r w:rsidRPr="001E1999">
        <w:rPr>
          <w:rFonts w:ascii="Times New Roman" w:hAnsi="Times New Roman"/>
          <w:bCs/>
          <w:i/>
          <w:sz w:val="24"/>
          <w:szCs w:val="24"/>
          <w:vertAlign w:val="subscript"/>
        </w:rPr>
        <w:t xml:space="preserve"> t  </w:t>
      </w:r>
      <w:r w:rsidRPr="001E1999">
        <w:rPr>
          <w:rFonts w:ascii="Times New Roman" w:hAnsi="Times New Roman"/>
          <w:bCs/>
          <w:sz w:val="24"/>
          <w:szCs w:val="24"/>
        </w:rPr>
        <w:t>≡ other positive demand shock.</w:t>
      </w:r>
      <w:r w:rsidR="00AC5EC4">
        <w:rPr>
          <w:rFonts w:ascii="Times New Roman" w:hAnsi="Times New Roman"/>
          <w:bCs/>
          <w:sz w:val="24"/>
          <w:szCs w:val="24"/>
        </w:rPr>
        <w:br/>
      </w:r>
      <w:r w:rsidR="004139AD">
        <w:rPr>
          <w:rFonts w:ascii="Times New Roman" w:hAnsi="Times New Roman"/>
          <w:bCs/>
          <w:sz w:val="24"/>
          <w:szCs w:val="24"/>
        </w:rPr>
        <w:t>When we estimate the AD relationship, we</w:t>
      </w:r>
      <w:r w:rsidR="00AC5EC4">
        <w:rPr>
          <w:rFonts w:ascii="Times New Roman" w:hAnsi="Times New Roman"/>
          <w:bCs/>
          <w:sz w:val="24"/>
          <w:szCs w:val="24"/>
        </w:rPr>
        <w:t xml:space="preserve"> do not include a measure of </w:t>
      </w:r>
      <w:r w:rsidR="00AC5EC4" w:rsidRPr="001E1999">
        <w:rPr>
          <w:rFonts w:ascii="Times New Roman" w:hAnsi="Times New Roman"/>
          <w:bCs/>
          <w:i/>
          <w:sz w:val="24"/>
          <w:szCs w:val="24"/>
        </w:rPr>
        <w:t>m</w:t>
      </w:r>
      <w:r w:rsidR="00AC5EC4" w:rsidRPr="001E1999">
        <w:rPr>
          <w:rFonts w:ascii="Times New Roman" w:hAnsi="Times New Roman"/>
          <w:bCs/>
          <w:i/>
          <w:sz w:val="24"/>
          <w:szCs w:val="24"/>
          <w:vertAlign w:val="subscript"/>
        </w:rPr>
        <w:t xml:space="preserve"> t</w:t>
      </w:r>
      <w:r w:rsidR="004139AD">
        <w:rPr>
          <w:rFonts w:ascii="Times New Roman" w:hAnsi="Times New Roman"/>
          <w:bCs/>
          <w:sz w:val="24"/>
          <w:szCs w:val="24"/>
        </w:rPr>
        <w:t>, which we implicitly solve</w:t>
      </w:r>
      <w:r w:rsidR="00AC5EC4">
        <w:rPr>
          <w:rFonts w:ascii="Times New Roman" w:hAnsi="Times New Roman"/>
          <w:bCs/>
          <w:sz w:val="24"/>
          <w:szCs w:val="24"/>
        </w:rPr>
        <w:t xml:space="preserve"> out by means of a monetary reaction function.</w:t>
      </w:r>
      <w:r w:rsidR="004139AD">
        <w:rPr>
          <w:rFonts w:ascii="Times New Roman" w:hAnsi="Times New Roman"/>
          <w:bCs/>
          <w:sz w:val="24"/>
          <w:szCs w:val="24"/>
        </w:rPr>
        <w:t xml:space="preserve">  For example, if the </w:t>
      </w:r>
      <w:r w:rsidR="003A6A67">
        <w:rPr>
          <w:rFonts w:ascii="Times New Roman" w:hAnsi="Times New Roman"/>
          <w:bCs/>
          <w:sz w:val="24"/>
          <w:szCs w:val="24"/>
        </w:rPr>
        <w:t xml:space="preserve">monetary </w:t>
      </w:r>
      <w:r w:rsidR="004139AD">
        <w:rPr>
          <w:rFonts w:ascii="Times New Roman" w:hAnsi="Times New Roman"/>
          <w:bCs/>
          <w:sz w:val="24"/>
          <w:szCs w:val="24"/>
        </w:rPr>
        <w:t>authorities were targeting inflation during the sample period, weather shocks should</w:t>
      </w:r>
      <w:r w:rsidR="004139AD" w:rsidRPr="004139AD">
        <w:rPr>
          <w:rFonts w:ascii="Times New Roman" w:hAnsi="Times New Roman"/>
          <w:bCs/>
          <w:sz w:val="24"/>
          <w:szCs w:val="24"/>
        </w:rPr>
        <w:t xml:space="preserve"> </w:t>
      </w:r>
      <w:r w:rsidR="004139AD">
        <w:rPr>
          <w:rFonts w:ascii="Times New Roman" w:hAnsi="Times New Roman"/>
          <w:bCs/>
          <w:sz w:val="24"/>
          <w:szCs w:val="24"/>
        </w:rPr>
        <w:t xml:space="preserve">in theory show up entirely in </w:t>
      </w:r>
      <w:r w:rsidR="004139AD" w:rsidRPr="001E1999">
        <w:rPr>
          <w:rFonts w:ascii="Times New Roman" w:hAnsi="Times New Roman"/>
          <w:bCs/>
          <w:i/>
          <w:sz w:val="24"/>
          <w:szCs w:val="24"/>
        </w:rPr>
        <w:t>y</w:t>
      </w:r>
      <w:r w:rsidR="004139AD" w:rsidRPr="001E1999">
        <w:rPr>
          <w:rFonts w:ascii="Times New Roman" w:hAnsi="Times New Roman"/>
          <w:bCs/>
          <w:i/>
          <w:sz w:val="24"/>
          <w:szCs w:val="24"/>
          <w:vertAlign w:val="subscript"/>
        </w:rPr>
        <w:t>t</w:t>
      </w:r>
      <w:r w:rsidR="004139AD">
        <w:rPr>
          <w:rFonts w:ascii="Times New Roman" w:hAnsi="Times New Roman"/>
          <w:bCs/>
          <w:sz w:val="24"/>
          <w:szCs w:val="24"/>
        </w:rPr>
        <w:t xml:space="preserve">  and not at all in</w:t>
      </w:r>
      <w:r w:rsidR="004139AD" w:rsidRPr="004139AD">
        <w:rPr>
          <w:rFonts w:ascii="Times New Roman" w:hAnsi="Times New Roman"/>
          <w:bCs/>
          <w:i/>
          <w:sz w:val="24"/>
          <w:szCs w:val="24"/>
        </w:rPr>
        <w:t xml:space="preserve"> </w:t>
      </w:r>
      <w:r w:rsidR="004139AD" w:rsidRPr="001E1999">
        <w:rPr>
          <w:rFonts w:ascii="Times New Roman" w:hAnsi="Times New Roman"/>
          <w:bCs/>
          <w:i/>
          <w:sz w:val="24"/>
          <w:szCs w:val="24"/>
        </w:rPr>
        <w:t>p</w:t>
      </w:r>
      <w:r w:rsidR="004139AD" w:rsidRPr="001E1999">
        <w:rPr>
          <w:rFonts w:ascii="Times New Roman" w:hAnsi="Times New Roman"/>
          <w:bCs/>
          <w:i/>
          <w:sz w:val="24"/>
          <w:szCs w:val="24"/>
          <w:vertAlign w:val="subscript"/>
        </w:rPr>
        <w:t xml:space="preserve"> t</w:t>
      </w:r>
      <w:r w:rsidR="004139AD">
        <w:rPr>
          <w:rFonts w:ascii="Times New Roman" w:hAnsi="Times New Roman"/>
          <w:bCs/>
          <w:i/>
          <w:sz w:val="24"/>
          <w:szCs w:val="24"/>
          <w:vertAlign w:val="subscript"/>
        </w:rPr>
        <w:t xml:space="preserve"> . </w:t>
      </w:r>
      <w:r w:rsidR="004139AD">
        <w:rPr>
          <w:rFonts w:ascii="Times New Roman" w:hAnsi="Times New Roman"/>
          <w:bCs/>
          <w:sz w:val="24"/>
          <w:szCs w:val="24"/>
        </w:rPr>
        <w:t xml:space="preserve">  But if they were followin</w:t>
      </w:r>
      <w:r w:rsidR="00D200BC">
        <w:rPr>
          <w:rFonts w:ascii="Times New Roman" w:hAnsi="Times New Roman"/>
          <w:bCs/>
          <w:sz w:val="24"/>
          <w:szCs w:val="24"/>
        </w:rPr>
        <w:t>g one of the other regimes,</w:t>
      </w:r>
      <w:r w:rsidR="004139AD">
        <w:rPr>
          <w:rFonts w:ascii="Times New Roman" w:hAnsi="Times New Roman"/>
          <w:bCs/>
          <w:sz w:val="24"/>
          <w:szCs w:val="24"/>
        </w:rPr>
        <w:t xml:space="preserve"> exogenous supply shocks should show in </w:t>
      </w:r>
      <w:r w:rsidR="004139AD" w:rsidRPr="001E1999">
        <w:rPr>
          <w:rFonts w:ascii="Times New Roman" w:hAnsi="Times New Roman"/>
          <w:bCs/>
          <w:i/>
          <w:sz w:val="24"/>
          <w:szCs w:val="24"/>
        </w:rPr>
        <w:t>p</w:t>
      </w:r>
      <w:r w:rsidR="004139AD" w:rsidRPr="001E1999">
        <w:rPr>
          <w:rFonts w:ascii="Times New Roman" w:hAnsi="Times New Roman"/>
          <w:bCs/>
          <w:i/>
          <w:sz w:val="24"/>
          <w:szCs w:val="24"/>
          <w:vertAlign w:val="subscript"/>
        </w:rPr>
        <w:t xml:space="preserve"> t</w:t>
      </w:r>
      <w:r w:rsidR="004139AD">
        <w:rPr>
          <w:rFonts w:ascii="Times New Roman" w:hAnsi="Times New Roman"/>
          <w:bCs/>
          <w:i/>
          <w:sz w:val="24"/>
          <w:szCs w:val="24"/>
          <w:vertAlign w:val="subscript"/>
        </w:rPr>
        <w:t xml:space="preserve"> </w:t>
      </w:r>
      <w:r w:rsidR="004139AD">
        <w:rPr>
          <w:rFonts w:ascii="Times New Roman" w:hAnsi="Times New Roman"/>
          <w:bCs/>
          <w:sz w:val="24"/>
          <w:szCs w:val="24"/>
        </w:rPr>
        <w:t xml:space="preserve"> as well as </w:t>
      </w:r>
      <w:r w:rsidR="004139AD" w:rsidRPr="001E1999">
        <w:rPr>
          <w:rFonts w:ascii="Times New Roman" w:hAnsi="Times New Roman"/>
          <w:bCs/>
          <w:i/>
          <w:sz w:val="24"/>
          <w:szCs w:val="24"/>
        </w:rPr>
        <w:t>y</w:t>
      </w:r>
      <w:r w:rsidR="004139AD" w:rsidRPr="001E1999">
        <w:rPr>
          <w:rFonts w:ascii="Times New Roman" w:hAnsi="Times New Roman"/>
          <w:bCs/>
          <w:i/>
          <w:sz w:val="24"/>
          <w:szCs w:val="24"/>
          <w:vertAlign w:val="subscript"/>
        </w:rPr>
        <w:t>t</w:t>
      </w:r>
      <w:r w:rsidR="004139AD">
        <w:rPr>
          <w:rFonts w:ascii="Times New Roman" w:hAnsi="Times New Roman"/>
          <w:bCs/>
          <w:sz w:val="24"/>
          <w:szCs w:val="24"/>
        </w:rPr>
        <w:t xml:space="preserve"> .</w:t>
      </w:r>
    </w:p>
    <w:p w:rsidR="001751C4" w:rsidRPr="001E1999" w:rsidRDefault="001751C4" w:rsidP="00715300">
      <w:pPr>
        <w:contextualSpacing/>
        <w:rPr>
          <w:rFonts w:ascii="Times New Roman" w:hAnsi="Times New Roman"/>
          <w:sz w:val="24"/>
          <w:szCs w:val="24"/>
        </w:rPr>
      </w:pPr>
      <w:r w:rsidRPr="001E1999">
        <w:rPr>
          <w:rFonts w:ascii="Times New Roman" w:hAnsi="Times New Roman"/>
          <w:sz w:val="24"/>
          <w:szCs w:val="24"/>
        </w:rPr>
        <w:t>Frankel (201</w:t>
      </w:r>
      <w:r w:rsidR="00715300">
        <w:rPr>
          <w:rFonts w:ascii="Times New Roman" w:hAnsi="Times New Roman"/>
          <w:sz w:val="24"/>
          <w:szCs w:val="24"/>
        </w:rPr>
        <w:t>3</w:t>
      </w:r>
      <w:r w:rsidR="00E27A33">
        <w:rPr>
          <w:rFonts w:ascii="Times New Roman" w:hAnsi="Times New Roman"/>
          <w:sz w:val="24"/>
          <w:szCs w:val="24"/>
        </w:rPr>
        <w:t>b</w:t>
      </w:r>
      <w:r w:rsidRPr="001E1999">
        <w:rPr>
          <w:rFonts w:ascii="Times New Roman" w:hAnsi="Times New Roman"/>
          <w:sz w:val="24"/>
          <w:szCs w:val="24"/>
        </w:rPr>
        <w:t>) reports</w:t>
      </w:r>
      <w:r w:rsidR="00737A1A">
        <w:rPr>
          <w:rFonts w:ascii="Times New Roman" w:hAnsi="Times New Roman"/>
          <w:sz w:val="24"/>
          <w:szCs w:val="24"/>
        </w:rPr>
        <w:t>, in the</w:t>
      </w:r>
      <w:r w:rsidR="00737A1A" w:rsidRPr="001E1999">
        <w:rPr>
          <w:rFonts w:ascii="Times New Roman" w:hAnsi="Times New Roman"/>
          <w:sz w:val="24"/>
          <w:szCs w:val="24"/>
        </w:rPr>
        <w:t xml:space="preserve"> context of an oil-exporting country</w:t>
      </w:r>
      <w:r w:rsidR="00737A1A">
        <w:rPr>
          <w:rFonts w:ascii="Times New Roman" w:hAnsi="Times New Roman"/>
          <w:sz w:val="24"/>
          <w:szCs w:val="24"/>
        </w:rPr>
        <w:t>,</w:t>
      </w:r>
      <w:r w:rsidRPr="001E1999">
        <w:rPr>
          <w:rFonts w:ascii="Times New Roman" w:hAnsi="Times New Roman"/>
          <w:sz w:val="24"/>
          <w:szCs w:val="24"/>
        </w:rPr>
        <w:t xml:space="preserve"> preliminary estimates of the coefficient in the Aggregate Supply equation, identified as such by means of the Instrumen</w:t>
      </w:r>
      <w:r w:rsidR="00E27A33">
        <w:rPr>
          <w:rFonts w:ascii="Times New Roman" w:hAnsi="Times New Roman"/>
          <w:sz w:val="24"/>
          <w:szCs w:val="24"/>
        </w:rPr>
        <w:t>tal Variables for demand shocks</w:t>
      </w:r>
      <w:r w:rsidRPr="001E1999">
        <w:rPr>
          <w:rFonts w:ascii="Times New Roman" w:hAnsi="Times New Roman"/>
          <w:sz w:val="24"/>
          <w:szCs w:val="24"/>
        </w:rPr>
        <w:t>.  In the case of Kazakhstan</w:t>
      </w:r>
      <w:r w:rsidR="00B70CDB">
        <w:rPr>
          <w:rFonts w:ascii="Times New Roman" w:hAnsi="Times New Roman"/>
          <w:sz w:val="24"/>
          <w:szCs w:val="24"/>
        </w:rPr>
        <w:t>, over the period 1993-2012</w:t>
      </w:r>
      <w:r w:rsidRPr="001E1999">
        <w:rPr>
          <w:rFonts w:ascii="Times New Roman" w:hAnsi="Times New Roman"/>
          <w:sz w:val="24"/>
          <w:szCs w:val="24"/>
        </w:rPr>
        <w:t xml:space="preserve">, the estimated Aggregate Supply slope at the one-year horizon is 1.66 and statistically significant.  The point estimate satisfies the condition of being less than 2.41, thereby satisfying the necessary condition.  (Its inverse, </w:t>
      </w:r>
      <w:r w:rsidRPr="001E1999">
        <w:rPr>
          <w:rFonts w:ascii="Times New Roman" w:hAnsi="Times New Roman"/>
          <w:i/>
          <w:sz w:val="24"/>
          <w:szCs w:val="24"/>
        </w:rPr>
        <w:t>b</w:t>
      </w:r>
      <w:r>
        <w:rPr>
          <w:rFonts w:ascii="Times New Roman" w:hAnsi="Times New Roman"/>
          <w:sz w:val="24"/>
          <w:szCs w:val="24"/>
        </w:rPr>
        <w:t>, is greater than .41.)</w:t>
      </w:r>
      <w:r w:rsidRPr="001E1999">
        <w:rPr>
          <w:rFonts w:ascii="Times New Roman" w:hAnsi="Times New Roman"/>
          <w:sz w:val="24"/>
          <w:szCs w:val="24"/>
        </w:rPr>
        <w:t xml:space="preserve">  </w:t>
      </w:r>
      <w:r>
        <w:rPr>
          <w:rFonts w:ascii="Times New Roman" w:hAnsi="Times New Roman"/>
          <w:sz w:val="24"/>
          <w:szCs w:val="24"/>
        </w:rPr>
        <w:t>Thus u</w:t>
      </w:r>
      <w:r w:rsidRPr="001E1999">
        <w:rPr>
          <w:rFonts w:ascii="Times New Roman" w:hAnsi="Times New Roman"/>
          <w:sz w:val="24"/>
          <w:szCs w:val="24"/>
        </w:rPr>
        <w:t xml:space="preserve">nder the assumptions we have made, </w:t>
      </w:r>
      <w:r w:rsidR="00737A1A">
        <w:rPr>
          <w:rFonts w:ascii="Times New Roman" w:hAnsi="Times New Roman"/>
          <w:sz w:val="24"/>
          <w:szCs w:val="24"/>
        </w:rPr>
        <w:t xml:space="preserve">it is estimated that </w:t>
      </w:r>
      <w:r w:rsidRPr="001E1999">
        <w:rPr>
          <w:rFonts w:ascii="Times New Roman" w:hAnsi="Times New Roman"/>
          <w:sz w:val="24"/>
          <w:szCs w:val="24"/>
        </w:rPr>
        <w:t>Nominal GDP Targeting dominates Inflation Targeting for Kazakhstan, in terms of achieving the objectives of output and price stability.</w:t>
      </w:r>
      <w:r w:rsidR="003A1392">
        <w:rPr>
          <w:rStyle w:val="FootnoteReference"/>
          <w:rFonts w:ascii="Times New Roman" w:hAnsi="Times New Roman"/>
          <w:sz w:val="24"/>
          <w:szCs w:val="24"/>
        </w:rPr>
        <w:footnoteReference w:id="10"/>
      </w:r>
      <w:r w:rsidRPr="001E1999">
        <w:rPr>
          <w:rFonts w:ascii="Times New Roman" w:hAnsi="Times New Roman"/>
          <w:sz w:val="24"/>
          <w:szCs w:val="24"/>
        </w:rPr>
        <w:t xml:space="preserve"> </w:t>
      </w:r>
    </w:p>
    <w:p w:rsidR="003A1392" w:rsidRDefault="003A1392" w:rsidP="00715300">
      <w:pPr>
        <w:contextualSpacing/>
        <w:rPr>
          <w:rFonts w:ascii="Times New Roman" w:hAnsi="Times New Roman"/>
          <w:sz w:val="24"/>
          <w:szCs w:val="24"/>
        </w:rPr>
      </w:pPr>
      <w:r>
        <w:rPr>
          <w:rFonts w:ascii="Times New Roman" w:hAnsi="Times New Roman"/>
          <w:sz w:val="24"/>
          <w:szCs w:val="24"/>
        </w:rPr>
        <w:t>Bhandari and Frankel (2014) report preliminary estimates in the case of a large developing country, India</w:t>
      </w:r>
      <w:r w:rsidR="00B70CDB">
        <w:rPr>
          <w:rFonts w:ascii="Times New Roman" w:hAnsi="Times New Roman"/>
          <w:sz w:val="24"/>
          <w:szCs w:val="24"/>
        </w:rPr>
        <w:t>, over the period 1996-2013</w:t>
      </w:r>
      <w:r>
        <w:rPr>
          <w:rFonts w:ascii="Times New Roman" w:hAnsi="Times New Roman"/>
          <w:sz w:val="24"/>
          <w:szCs w:val="24"/>
        </w:rPr>
        <w:t>.</w:t>
      </w:r>
      <w:r w:rsidRPr="003A1392">
        <w:rPr>
          <w:rFonts w:ascii="Times New Roman" w:hAnsi="Times New Roman"/>
          <w:sz w:val="24"/>
          <w:szCs w:val="24"/>
        </w:rPr>
        <w:t xml:space="preserve"> </w:t>
      </w:r>
      <w:r w:rsidR="00CA22B3">
        <w:rPr>
          <w:rFonts w:ascii="Times New Roman" w:hAnsi="Times New Roman"/>
          <w:sz w:val="24"/>
          <w:szCs w:val="24"/>
        </w:rPr>
        <w:t xml:space="preserve">  Here the extent of the annual monsoon rain is a particularly important supply shock.</w:t>
      </w:r>
      <w:r w:rsidR="00A53E4D">
        <w:rPr>
          <w:rStyle w:val="FootnoteReference"/>
          <w:rFonts w:ascii="Times New Roman" w:hAnsi="Times New Roman"/>
          <w:sz w:val="24"/>
          <w:szCs w:val="24"/>
        </w:rPr>
        <w:footnoteReference w:id="11"/>
      </w:r>
      <w:r w:rsidR="00CA22B3">
        <w:rPr>
          <w:rFonts w:ascii="Times New Roman" w:hAnsi="Times New Roman"/>
          <w:sz w:val="24"/>
          <w:szCs w:val="24"/>
        </w:rPr>
        <w:t xml:space="preserve"> </w:t>
      </w:r>
      <w:r>
        <w:rPr>
          <w:rFonts w:ascii="Times New Roman" w:hAnsi="Times New Roman"/>
          <w:sz w:val="24"/>
          <w:szCs w:val="24"/>
        </w:rPr>
        <w:t xml:space="preserve"> T</w:t>
      </w:r>
      <w:r w:rsidRPr="001E1999">
        <w:rPr>
          <w:rFonts w:ascii="Times New Roman" w:hAnsi="Times New Roman"/>
          <w:sz w:val="24"/>
          <w:szCs w:val="24"/>
        </w:rPr>
        <w:t>he estimated Aggregate Supply slope</w:t>
      </w:r>
      <w:r>
        <w:rPr>
          <w:rFonts w:ascii="Times New Roman" w:hAnsi="Times New Roman"/>
          <w:sz w:val="24"/>
          <w:szCs w:val="24"/>
        </w:rPr>
        <w:t xml:space="preserve"> at the </w:t>
      </w:r>
      <w:r>
        <w:rPr>
          <w:rFonts w:ascii="Times New Roman" w:hAnsi="Times New Roman"/>
          <w:sz w:val="24"/>
          <w:szCs w:val="24"/>
        </w:rPr>
        <w:lastRenderedPageBreak/>
        <w:t xml:space="preserve">one-year horizon ranges from </w:t>
      </w:r>
      <w:r w:rsidR="00CA22B3">
        <w:rPr>
          <w:rFonts w:ascii="Times New Roman" w:hAnsi="Times New Roman"/>
          <w:sz w:val="24"/>
          <w:szCs w:val="24"/>
        </w:rPr>
        <w:t xml:space="preserve">.38 to .67, depending on the measure of inflation.   Each estimate of the slope coefficient is not only significantly greater than zero </w:t>
      </w:r>
      <w:r w:rsidRPr="001E1999">
        <w:rPr>
          <w:rFonts w:ascii="Times New Roman" w:hAnsi="Times New Roman"/>
          <w:sz w:val="24"/>
          <w:szCs w:val="24"/>
        </w:rPr>
        <w:t>s</w:t>
      </w:r>
      <w:r w:rsidR="00CA22B3">
        <w:rPr>
          <w:rFonts w:ascii="Times New Roman" w:hAnsi="Times New Roman"/>
          <w:sz w:val="24"/>
          <w:szCs w:val="24"/>
        </w:rPr>
        <w:t>tatistically, but significantly less than 2.41.</w:t>
      </w:r>
    </w:p>
    <w:p w:rsidR="001751C4" w:rsidRPr="001E1999" w:rsidRDefault="001751C4" w:rsidP="00715300">
      <w:pPr>
        <w:contextualSpacing/>
        <w:rPr>
          <w:rFonts w:ascii="Times New Roman" w:hAnsi="Times New Roman"/>
          <w:sz w:val="24"/>
          <w:szCs w:val="24"/>
        </w:rPr>
      </w:pPr>
      <w:r w:rsidRPr="001E1999">
        <w:rPr>
          <w:rFonts w:ascii="Times New Roman" w:hAnsi="Times New Roman"/>
          <w:sz w:val="24"/>
          <w:szCs w:val="24"/>
        </w:rPr>
        <w:t>In other words, the estimate</w:t>
      </w:r>
      <w:r w:rsidR="00CA22B3">
        <w:rPr>
          <w:rFonts w:ascii="Times New Roman" w:hAnsi="Times New Roman"/>
          <w:sz w:val="24"/>
          <w:szCs w:val="24"/>
        </w:rPr>
        <w:t>s suggest</w:t>
      </w:r>
      <w:r w:rsidRPr="001E1999">
        <w:rPr>
          <w:rFonts w:ascii="Times New Roman" w:hAnsi="Times New Roman"/>
          <w:sz w:val="24"/>
          <w:szCs w:val="24"/>
        </w:rPr>
        <w:t xml:space="preserve"> that </w:t>
      </w:r>
      <w:r w:rsidR="00CA22B3">
        <w:rPr>
          <w:rFonts w:ascii="Times New Roman" w:hAnsi="Times New Roman"/>
          <w:sz w:val="24"/>
          <w:szCs w:val="24"/>
        </w:rPr>
        <w:t>India and Kazakhstan look</w:t>
      </w:r>
      <w:r w:rsidR="00B23DE3">
        <w:rPr>
          <w:rFonts w:ascii="Times New Roman" w:hAnsi="Times New Roman"/>
          <w:sz w:val="24"/>
          <w:szCs w:val="24"/>
        </w:rPr>
        <w:t xml:space="preserve"> more like Figure 2 than like Figure 3</w:t>
      </w:r>
      <w:r w:rsidRPr="001E1999">
        <w:rPr>
          <w:rFonts w:ascii="Times New Roman" w:hAnsi="Times New Roman"/>
          <w:sz w:val="24"/>
          <w:szCs w:val="24"/>
        </w:rPr>
        <w:t xml:space="preserve">: The short-run Aggregate Supply curve is relatively flat.  If inflation were not allowed to rise in response to an adverse aggregate supply shock, then the resulting loss in output would apparently be severe.   </w:t>
      </w:r>
      <w:r w:rsidR="00715300">
        <w:rPr>
          <w:rFonts w:ascii="Times New Roman" w:hAnsi="Times New Roman"/>
          <w:sz w:val="24"/>
          <w:szCs w:val="24"/>
        </w:rPr>
        <w:br/>
      </w:r>
    </w:p>
    <w:p w:rsidR="001751C4" w:rsidRPr="001E1999" w:rsidRDefault="001751C4" w:rsidP="00715300">
      <w:pPr>
        <w:contextualSpacing/>
        <w:rPr>
          <w:rFonts w:ascii="Times New Roman" w:hAnsi="Times New Roman"/>
          <w:sz w:val="24"/>
          <w:szCs w:val="24"/>
        </w:rPr>
      </w:pPr>
      <w:r w:rsidRPr="001E1999">
        <w:rPr>
          <w:rFonts w:ascii="Times New Roman" w:hAnsi="Times New Roman"/>
          <w:sz w:val="24"/>
          <w:szCs w:val="24"/>
        </w:rPr>
        <w:t>A truckload of qualifications is needed.  The statistical analysis is only preliminary; some might regard as heroic the assumptions that were made to arrive at this point; and much has been left out of the analysis.  But many other</w:t>
      </w:r>
      <w:r w:rsidR="00CA22B3">
        <w:rPr>
          <w:rFonts w:ascii="Times New Roman" w:hAnsi="Times New Roman"/>
          <w:sz w:val="24"/>
          <w:szCs w:val="24"/>
        </w:rPr>
        <w:t xml:space="preserve"> researcher</w:t>
      </w:r>
      <w:r w:rsidRPr="001E1999">
        <w:rPr>
          <w:rFonts w:ascii="Times New Roman" w:hAnsi="Times New Roman"/>
          <w:sz w:val="24"/>
          <w:szCs w:val="24"/>
        </w:rPr>
        <w:t xml:space="preserve">s have estimated short-run supply slopes as well.  Although the issue can be controversial, estimated coefficients are commonly less than 2 or 2.4.   </w:t>
      </w:r>
    </w:p>
    <w:p w:rsidR="001751C4" w:rsidRDefault="001751C4" w:rsidP="00715300">
      <w:pPr>
        <w:spacing w:after="0"/>
        <w:contextualSpacing/>
        <w:rPr>
          <w:rFonts w:ascii="Times New Roman" w:hAnsi="Times New Roman"/>
          <w:sz w:val="24"/>
          <w:szCs w:val="24"/>
        </w:rPr>
      </w:pPr>
      <w:r w:rsidRPr="001E1999">
        <w:rPr>
          <w:rFonts w:ascii="Times New Roman" w:hAnsi="Times New Roman"/>
          <w:sz w:val="24"/>
          <w:szCs w:val="24"/>
        </w:rPr>
        <w:t xml:space="preserve">Some later versions of the Taylor Rule assign a smaller weight to inflation than to output in the short-term reaction function.  Taylor (1999) has </w:t>
      </w:r>
      <w:r w:rsidRPr="001E1999">
        <w:rPr>
          <w:rFonts w:ascii="Times New Roman" w:hAnsi="Times New Roman"/>
          <w:b/>
          <w:bCs/>
          <w:i/>
          <w:iCs/>
          <w:sz w:val="24"/>
          <w:szCs w:val="24"/>
        </w:rPr>
        <w:t>a</w:t>
      </w:r>
      <w:r w:rsidRPr="001E1999">
        <w:rPr>
          <w:rFonts w:ascii="Times New Roman" w:hAnsi="Times New Roman"/>
          <w:sz w:val="24"/>
          <w:szCs w:val="24"/>
        </w:rPr>
        <w:t xml:space="preserve"> = 0.5.  This would make the condition </w:t>
      </w:r>
      <w:r w:rsidRPr="001E1999">
        <w:rPr>
          <w:rFonts w:ascii="Times New Roman" w:hAnsi="Times New Roman"/>
          <w:b/>
          <w:bCs/>
          <w:i/>
          <w:iCs/>
          <w:sz w:val="24"/>
          <w:szCs w:val="24"/>
        </w:rPr>
        <w:t xml:space="preserve"> a &lt; (2 + b)b </w:t>
      </w:r>
      <w:r w:rsidRPr="001E1999">
        <w:rPr>
          <w:rFonts w:ascii="Times New Roman" w:hAnsi="Times New Roman"/>
          <w:sz w:val="24"/>
          <w:szCs w:val="24"/>
        </w:rPr>
        <w:t xml:space="preserve">easier to satisfy:  </w:t>
      </w:r>
      <w:r w:rsidRPr="001E1999">
        <w:rPr>
          <w:rFonts w:ascii="Times New Roman" w:hAnsi="Times New Roman"/>
          <w:b/>
          <w:i/>
          <w:sz w:val="24"/>
          <w:szCs w:val="24"/>
        </w:rPr>
        <w:t>b</w:t>
      </w:r>
      <w:r w:rsidR="00CA22B3">
        <w:rPr>
          <w:rFonts w:ascii="Times New Roman" w:hAnsi="Times New Roman"/>
          <w:b/>
          <w:i/>
          <w:sz w:val="24"/>
          <w:szCs w:val="24"/>
        </w:rPr>
        <w:t xml:space="preserve"> </w:t>
      </w:r>
      <w:r w:rsidRPr="001E1999">
        <w:rPr>
          <w:rFonts w:ascii="Times New Roman" w:hAnsi="Times New Roman"/>
          <w:sz w:val="24"/>
          <w:szCs w:val="24"/>
          <w:u w:val="single"/>
        </w:rPr>
        <w:t>&gt;</w:t>
      </w:r>
      <w:r w:rsidR="00CA22B3">
        <w:rPr>
          <w:rFonts w:ascii="Times New Roman" w:hAnsi="Times New Roman"/>
          <w:sz w:val="24"/>
          <w:szCs w:val="24"/>
          <w:u w:val="single"/>
        </w:rPr>
        <w:t xml:space="preserve"> </w:t>
      </w:r>
      <w:r w:rsidRPr="001E1999">
        <w:rPr>
          <w:rFonts w:ascii="Times New Roman" w:hAnsi="Times New Roman"/>
          <w:sz w:val="24"/>
          <w:szCs w:val="24"/>
        </w:rPr>
        <w:t>0.1 would be sufficient.   In this case, it would be enough that the AS slope is less than 10.  To reject this condition one would need to believe in a very steep short-run supply curve indeed.</w:t>
      </w:r>
    </w:p>
    <w:p w:rsidR="00715300" w:rsidRDefault="00715300" w:rsidP="00715300">
      <w:pPr>
        <w:spacing w:after="0"/>
        <w:contextualSpacing/>
        <w:rPr>
          <w:rFonts w:ascii="Times New Roman" w:hAnsi="Times New Roman"/>
          <w:bCs/>
          <w:sz w:val="24"/>
          <w:szCs w:val="24"/>
        </w:rPr>
      </w:pPr>
    </w:p>
    <w:p w:rsidR="001751C4" w:rsidRDefault="001751C4" w:rsidP="00715300">
      <w:pPr>
        <w:spacing w:after="0"/>
        <w:contextualSpacing/>
        <w:rPr>
          <w:rFonts w:ascii="Times New Roman" w:hAnsi="Times New Roman"/>
          <w:bCs/>
          <w:sz w:val="24"/>
          <w:szCs w:val="24"/>
        </w:rPr>
      </w:pPr>
      <w:r>
        <w:rPr>
          <w:rFonts w:ascii="Times New Roman" w:hAnsi="Times New Roman"/>
          <w:bCs/>
          <w:sz w:val="24"/>
          <w:szCs w:val="24"/>
        </w:rPr>
        <w:t>Thus there are grounds for believing that NGDP targets accommodate supply shocks better than does Inflation Targeting.  For middle and low-income countries prone to large supply shocks, this is an important consideration.</w:t>
      </w:r>
    </w:p>
    <w:p w:rsidR="001751C4" w:rsidRPr="00805AC4" w:rsidRDefault="00DC3A34" w:rsidP="00715300">
      <w:pPr>
        <w:ind w:firstLine="0"/>
        <w:rPr>
          <w:rFonts w:ascii="Times New Roman" w:hAnsi="Times New Roman"/>
          <w:b/>
          <w:sz w:val="24"/>
          <w:szCs w:val="24"/>
        </w:rPr>
      </w:pPr>
      <w:r>
        <w:rPr>
          <w:rFonts w:ascii="Times New Roman" w:hAnsi="Times New Roman"/>
          <w:b/>
          <w:sz w:val="24"/>
          <w:szCs w:val="24"/>
        </w:rPr>
        <w:t xml:space="preserve">Summary </w:t>
      </w:r>
      <w:r w:rsidR="00715300" w:rsidRPr="00805AC4">
        <w:rPr>
          <w:rFonts w:ascii="Times New Roman" w:hAnsi="Times New Roman"/>
          <w:b/>
          <w:sz w:val="24"/>
          <w:szCs w:val="24"/>
        </w:rPr>
        <w:t>of conclusions</w:t>
      </w:r>
    </w:p>
    <w:p w:rsidR="00805AC4" w:rsidRDefault="00805AC4" w:rsidP="00173769">
      <w:pPr>
        <w:contextualSpacing/>
        <w:rPr>
          <w:rFonts w:ascii="Times New Roman" w:hAnsi="Times New Roman"/>
          <w:bCs/>
          <w:sz w:val="24"/>
          <w:szCs w:val="24"/>
        </w:rPr>
      </w:pPr>
      <w:r>
        <w:rPr>
          <w:rFonts w:ascii="Times New Roman" w:hAnsi="Times New Roman"/>
          <w:bCs/>
          <w:sz w:val="24"/>
          <w:szCs w:val="24"/>
        </w:rPr>
        <w:t>Pretty much everybody at least pays lip service to transparency, credibility, and anchoring of expectations. Perhaps some central bankers wish to retain full discretion de facto, even while declaring a monetary policy de jure.  If so, fine.  For example, it may be necessary to give the International Monetary Fund some sort of answer when the mission representative asks wha</w:t>
      </w:r>
      <w:r w:rsidR="00F56E8F">
        <w:rPr>
          <w:rFonts w:ascii="Times New Roman" w:hAnsi="Times New Roman"/>
          <w:bCs/>
          <w:sz w:val="24"/>
          <w:szCs w:val="24"/>
        </w:rPr>
        <w:t xml:space="preserve">t </w:t>
      </w:r>
      <w:r w:rsidR="00B11CE4">
        <w:rPr>
          <w:rFonts w:ascii="Times New Roman" w:hAnsi="Times New Roman"/>
          <w:bCs/>
          <w:sz w:val="24"/>
          <w:szCs w:val="24"/>
        </w:rPr>
        <w:t>the nominal anchor is</w:t>
      </w:r>
      <w:r>
        <w:rPr>
          <w:rFonts w:ascii="Times New Roman" w:hAnsi="Times New Roman"/>
          <w:bCs/>
          <w:sz w:val="24"/>
          <w:szCs w:val="24"/>
        </w:rPr>
        <w:t>.</w:t>
      </w:r>
    </w:p>
    <w:p w:rsidR="00805AC4" w:rsidRDefault="00805AC4" w:rsidP="00173769">
      <w:pPr>
        <w:contextualSpacing/>
        <w:rPr>
          <w:rFonts w:ascii="Times New Roman" w:hAnsi="Times New Roman"/>
          <w:bCs/>
          <w:sz w:val="24"/>
          <w:szCs w:val="24"/>
        </w:rPr>
      </w:pPr>
      <w:r>
        <w:rPr>
          <w:rFonts w:ascii="Times New Roman" w:hAnsi="Times New Roman"/>
          <w:bCs/>
          <w:sz w:val="24"/>
          <w:szCs w:val="24"/>
        </w:rPr>
        <w:t xml:space="preserve">But assuming that the desire for transparency, credibility, and anchoring of expectations is genuine, then surely it is desirable that the variable that is chosen is one that the country is likely to be able to live with.  There is not much point announcing an M1 target if is missed whenever there is a velocity shock.  </w:t>
      </w:r>
      <w:r w:rsidR="009D51F3">
        <w:rPr>
          <w:rFonts w:ascii="Times New Roman" w:hAnsi="Times New Roman"/>
          <w:bCs/>
          <w:sz w:val="24"/>
          <w:szCs w:val="24"/>
        </w:rPr>
        <w:t xml:space="preserve">Similarly, there is not much point announcing an inflation target if it is missed whenever there is a supply or trade shock.  </w:t>
      </w:r>
      <w:r>
        <w:rPr>
          <w:rFonts w:ascii="Times New Roman" w:hAnsi="Times New Roman"/>
          <w:bCs/>
          <w:sz w:val="24"/>
          <w:szCs w:val="24"/>
        </w:rPr>
        <w:t>The advantage of NGDP targeting, relative to Inflation Targeting, is that one is more likely to be able to stick with the target in the presence of supply or trade shocks.</w:t>
      </w:r>
      <w:r w:rsidR="00173769">
        <w:rPr>
          <w:rFonts w:ascii="Times New Roman" w:hAnsi="Times New Roman"/>
          <w:bCs/>
          <w:sz w:val="24"/>
          <w:szCs w:val="24"/>
        </w:rPr>
        <w:br/>
      </w:r>
    </w:p>
    <w:p w:rsidR="00805AC4" w:rsidRDefault="00805AC4" w:rsidP="00173769">
      <w:pPr>
        <w:contextualSpacing/>
        <w:rPr>
          <w:rFonts w:ascii="Times New Roman" w:hAnsi="Times New Roman"/>
          <w:bCs/>
          <w:sz w:val="24"/>
          <w:szCs w:val="24"/>
        </w:rPr>
      </w:pPr>
      <w:r>
        <w:rPr>
          <w:rFonts w:ascii="Times New Roman" w:hAnsi="Times New Roman"/>
          <w:bCs/>
          <w:sz w:val="24"/>
          <w:szCs w:val="24"/>
        </w:rPr>
        <w:t xml:space="preserve">The central point of this article is that the case for NGDP targeting is stronger for middle-income and low-income countries than for high-income countries.  The reason is that </w:t>
      </w:r>
      <w:r w:rsidR="00856B0D">
        <w:rPr>
          <w:rFonts w:ascii="Times New Roman" w:hAnsi="Times New Roman"/>
          <w:bCs/>
          <w:sz w:val="24"/>
          <w:szCs w:val="24"/>
        </w:rPr>
        <w:t xml:space="preserve">they tend to experience larger </w:t>
      </w:r>
      <w:r>
        <w:rPr>
          <w:rFonts w:ascii="Times New Roman" w:hAnsi="Times New Roman"/>
          <w:bCs/>
          <w:sz w:val="24"/>
          <w:szCs w:val="24"/>
        </w:rPr>
        <w:t>terms of trade shocks</w:t>
      </w:r>
      <w:r w:rsidR="00856B0D">
        <w:rPr>
          <w:rFonts w:ascii="Times New Roman" w:hAnsi="Times New Roman"/>
          <w:bCs/>
          <w:sz w:val="24"/>
          <w:szCs w:val="24"/>
        </w:rPr>
        <w:t xml:space="preserve"> and supply shocks.</w:t>
      </w:r>
    </w:p>
    <w:p w:rsidR="00580A87" w:rsidRDefault="00580A87" w:rsidP="00173769">
      <w:pPr>
        <w:contextualSpacing/>
        <w:rPr>
          <w:rFonts w:ascii="Times New Roman" w:hAnsi="Times New Roman"/>
          <w:bCs/>
          <w:sz w:val="24"/>
          <w:szCs w:val="24"/>
        </w:rPr>
      </w:pPr>
      <w:r>
        <w:rPr>
          <w:rFonts w:ascii="Times New Roman" w:hAnsi="Times New Roman"/>
          <w:bCs/>
          <w:sz w:val="24"/>
          <w:szCs w:val="24"/>
        </w:rPr>
        <w:t>The basic argument for NGDP targeting relative to IT holds regardless whether one favors the targeting of the level of the variable in question or the rate of change. It holds regardless whether the regime is instituted during a period when the goal is disinflation</w:t>
      </w:r>
      <w:r w:rsidR="00F56E8F">
        <w:rPr>
          <w:rFonts w:ascii="Times New Roman" w:hAnsi="Times New Roman"/>
          <w:bCs/>
          <w:sz w:val="24"/>
          <w:szCs w:val="24"/>
        </w:rPr>
        <w:t xml:space="preserve"> (e.g., India today; everyone in the 1980s)</w:t>
      </w:r>
      <w:r>
        <w:rPr>
          <w:rFonts w:ascii="Times New Roman" w:hAnsi="Times New Roman"/>
          <w:bCs/>
          <w:sz w:val="24"/>
          <w:szCs w:val="24"/>
        </w:rPr>
        <w:t>, monetary stimulus</w:t>
      </w:r>
      <w:r w:rsidR="00F56E8F">
        <w:rPr>
          <w:rFonts w:ascii="Times New Roman" w:hAnsi="Times New Roman"/>
          <w:bCs/>
          <w:sz w:val="24"/>
          <w:szCs w:val="24"/>
        </w:rPr>
        <w:t xml:space="preserve"> (e.g., the largest industrialized countries, </w:t>
      </w:r>
      <w:r w:rsidR="00F56E8F">
        <w:rPr>
          <w:rFonts w:ascii="Times New Roman" w:hAnsi="Times New Roman"/>
          <w:bCs/>
          <w:sz w:val="24"/>
          <w:szCs w:val="24"/>
        </w:rPr>
        <w:lastRenderedPageBreak/>
        <w:t>after 2008-09)</w:t>
      </w:r>
      <w:r>
        <w:rPr>
          <w:rFonts w:ascii="Times New Roman" w:hAnsi="Times New Roman"/>
          <w:bCs/>
          <w:sz w:val="24"/>
          <w:szCs w:val="24"/>
        </w:rPr>
        <w:t>, or holding a steady course</w:t>
      </w:r>
      <w:r w:rsidR="00F56E8F">
        <w:rPr>
          <w:rFonts w:ascii="Times New Roman" w:hAnsi="Times New Roman"/>
          <w:bCs/>
          <w:sz w:val="24"/>
          <w:szCs w:val="24"/>
        </w:rPr>
        <w:t xml:space="preserve"> (many emerging market countries)</w:t>
      </w:r>
      <w:r>
        <w:rPr>
          <w:rFonts w:ascii="Times New Roman" w:hAnsi="Times New Roman"/>
          <w:bCs/>
          <w:sz w:val="24"/>
          <w:szCs w:val="24"/>
        </w:rPr>
        <w:t xml:space="preserve">. It holds regardless whether one </w:t>
      </w:r>
      <w:r w:rsidR="00F1235D">
        <w:rPr>
          <w:rFonts w:ascii="Times New Roman" w:hAnsi="Times New Roman"/>
          <w:bCs/>
          <w:sz w:val="24"/>
          <w:szCs w:val="24"/>
        </w:rPr>
        <w:t>thinks that the central bank should</w:t>
      </w:r>
      <w:r>
        <w:rPr>
          <w:rFonts w:ascii="Times New Roman" w:hAnsi="Times New Roman"/>
          <w:bCs/>
          <w:sz w:val="24"/>
          <w:szCs w:val="24"/>
        </w:rPr>
        <w:t xml:space="preserve"> announc</w:t>
      </w:r>
      <w:r w:rsidR="00F1235D">
        <w:rPr>
          <w:rFonts w:ascii="Times New Roman" w:hAnsi="Times New Roman"/>
          <w:bCs/>
          <w:sz w:val="24"/>
          <w:szCs w:val="24"/>
        </w:rPr>
        <w:t>e</w:t>
      </w:r>
      <w:r>
        <w:rPr>
          <w:rFonts w:ascii="Times New Roman" w:hAnsi="Times New Roman"/>
          <w:bCs/>
          <w:sz w:val="24"/>
          <w:szCs w:val="24"/>
        </w:rPr>
        <w:t xml:space="preserve"> a target range for the ex post outcome, target </w:t>
      </w:r>
      <w:r w:rsidR="00F1235D">
        <w:rPr>
          <w:rFonts w:ascii="Times New Roman" w:hAnsi="Times New Roman"/>
          <w:bCs/>
          <w:sz w:val="24"/>
          <w:szCs w:val="24"/>
        </w:rPr>
        <w:t>an ex ante forecast, or offer</w:t>
      </w:r>
      <w:r>
        <w:rPr>
          <w:rFonts w:ascii="Times New Roman" w:hAnsi="Times New Roman"/>
          <w:bCs/>
          <w:sz w:val="24"/>
          <w:szCs w:val="24"/>
        </w:rPr>
        <w:t xml:space="preserve"> forward guidance in the form of a threshold for changing intere</w:t>
      </w:r>
      <w:r w:rsidR="00F1235D">
        <w:rPr>
          <w:rFonts w:ascii="Times New Roman" w:hAnsi="Times New Roman"/>
          <w:bCs/>
          <w:sz w:val="24"/>
          <w:szCs w:val="24"/>
        </w:rPr>
        <w:t>st rates</w:t>
      </w:r>
      <w:r>
        <w:rPr>
          <w:rFonts w:ascii="Times New Roman" w:hAnsi="Times New Roman"/>
          <w:bCs/>
          <w:sz w:val="24"/>
          <w:szCs w:val="24"/>
        </w:rPr>
        <w:t xml:space="preserve">.  </w:t>
      </w:r>
    </w:p>
    <w:p w:rsidR="00173769" w:rsidRDefault="00856B0D" w:rsidP="00173769">
      <w:pPr>
        <w:rPr>
          <w:rFonts w:ascii="Times New Roman" w:hAnsi="Times New Roman"/>
          <w:bCs/>
          <w:sz w:val="24"/>
          <w:szCs w:val="24"/>
        </w:rPr>
      </w:pPr>
      <w:r>
        <w:rPr>
          <w:rFonts w:ascii="Times New Roman" w:hAnsi="Times New Roman"/>
          <w:bCs/>
          <w:sz w:val="24"/>
          <w:szCs w:val="24"/>
        </w:rPr>
        <w:t>In a theoretical model where the ultimate objective is minimizing a quadratic loss function in output and inflation, NGDP targeting dominates IT unless the Aggregate Supply curve is especially steep or the weight placed on price stability is especially high.   The slopes of the Aggregate Supply and Aggregate Demand curves can be identified by using data on trading partner income and military spending as exogenous determinants of demand and data on natural disasters and commodity price fluctuations as exogenous determinants of supply.  Preliminary estimates of this nature, for India and Kazakhstan, suggest that the Aggregate Supply curve is flat enough to satisfy the necessary condition.</w:t>
      </w:r>
    </w:p>
    <w:p w:rsidR="00173769" w:rsidRDefault="00173769" w:rsidP="00173769">
      <w:pPr>
        <w:rPr>
          <w:rFonts w:ascii="Times New Roman" w:hAnsi="Times New Roman"/>
          <w:bCs/>
          <w:sz w:val="24"/>
          <w:szCs w:val="24"/>
        </w:rPr>
      </w:pPr>
    </w:p>
    <w:p w:rsidR="0092661C" w:rsidRDefault="0092661C" w:rsidP="00173769">
      <w:pPr>
        <w:rPr>
          <w:rFonts w:ascii="Times New Roman" w:hAnsi="Times New Roman"/>
          <w:bCs/>
          <w:sz w:val="24"/>
          <w:szCs w:val="24"/>
        </w:rPr>
      </w:pPr>
    </w:p>
    <w:p w:rsidR="0092661C" w:rsidRPr="00173769" w:rsidRDefault="0092661C" w:rsidP="00173769">
      <w:pPr>
        <w:rPr>
          <w:rFonts w:ascii="Times New Roman" w:hAnsi="Times New Roman"/>
          <w:bCs/>
          <w:sz w:val="24"/>
          <w:szCs w:val="24"/>
        </w:rPr>
      </w:pPr>
    </w:p>
    <w:p w:rsidR="001751C4" w:rsidRPr="00A322F7" w:rsidRDefault="001751C4" w:rsidP="001D5DF0">
      <w:pPr>
        <w:ind w:firstLine="0"/>
        <w:jc w:val="center"/>
        <w:rPr>
          <w:rFonts w:ascii="Times New Roman" w:hAnsi="Times New Roman"/>
          <w:b/>
          <w:bCs/>
          <w:sz w:val="20"/>
          <w:szCs w:val="20"/>
        </w:rPr>
      </w:pPr>
      <w:bookmarkStart w:id="0" w:name="_GoBack"/>
      <w:bookmarkEnd w:id="0"/>
      <w:r w:rsidRPr="00A322F7">
        <w:rPr>
          <w:rFonts w:ascii="Times New Roman" w:hAnsi="Times New Roman"/>
          <w:b/>
          <w:bCs/>
          <w:sz w:val="20"/>
          <w:szCs w:val="20"/>
        </w:rPr>
        <w:t>References</w:t>
      </w:r>
    </w:p>
    <w:p w:rsidR="00DF319D" w:rsidRPr="00DF319D" w:rsidRDefault="00DF319D" w:rsidP="00DF319D">
      <w:pPr>
        <w:contextualSpacing/>
        <w:rPr>
          <w:rFonts w:ascii="Times New Roman" w:hAnsi="Times New Roman"/>
          <w:color w:val="000000"/>
          <w:sz w:val="20"/>
          <w:szCs w:val="20"/>
        </w:rPr>
      </w:pPr>
    </w:p>
    <w:p w:rsidR="00DF319D" w:rsidRDefault="00DF319D" w:rsidP="00DF319D">
      <w:pPr>
        <w:contextualSpacing/>
        <w:rPr>
          <w:rFonts w:ascii="Times New Roman" w:hAnsi="Times New Roman"/>
          <w:color w:val="000000"/>
          <w:sz w:val="20"/>
          <w:szCs w:val="20"/>
        </w:rPr>
      </w:pPr>
      <w:r w:rsidRPr="00DF319D">
        <w:rPr>
          <w:rFonts w:ascii="Times New Roman" w:hAnsi="Times New Roman"/>
          <w:color w:val="000000"/>
          <w:sz w:val="20"/>
          <w:szCs w:val="20"/>
        </w:rPr>
        <w:t>Aguiar, Mark, and  Gita Gopinath, 2007, "</w:t>
      </w:r>
      <w:hyperlink r:id="rId19" w:history="1">
        <w:r w:rsidRPr="00DF319D">
          <w:rPr>
            <w:rStyle w:val="Hyperlink"/>
            <w:rFonts w:ascii="Times New Roman" w:hAnsi="Times New Roman"/>
            <w:bCs/>
            <w:sz w:val="20"/>
            <w:szCs w:val="20"/>
          </w:rPr>
          <w:t>Emerging Market Business Cycles: The Cycle Is the Trend</w:t>
        </w:r>
      </w:hyperlink>
      <w:r w:rsidRPr="00DF319D">
        <w:rPr>
          <w:rFonts w:ascii="Times New Roman" w:hAnsi="Times New Roman"/>
          <w:color w:val="000000"/>
          <w:sz w:val="20"/>
          <w:szCs w:val="20"/>
        </w:rPr>
        <w:t>," </w:t>
      </w:r>
      <w:r w:rsidRPr="00DF319D">
        <w:rPr>
          <w:rFonts w:ascii="Times New Roman" w:hAnsi="Times New Roman"/>
          <w:i/>
          <w:color w:val="000000"/>
          <w:sz w:val="20"/>
          <w:szCs w:val="20"/>
        </w:rPr>
        <w:t>Journal of Political Economy</w:t>
      </w:r>
      <w:r w:rsidRPr="00DF319D">
        <w:rPr>
          <w:rFonts w:ascii="Times New Roman" w:hAnsi="Times New Roman"/>
          <w:color w:val="000000"/>
          <w:sz w:val="20"/>
          <w:szCs w:val="20"/>
        </w:rPr>
        <w:t>, 115, pp 69-102.</w:t>
      </w:r>
    </w:p>
    <w:p w:rsidR="001751C4" w:rsidRPr="00A322F7" w:rsidRDefault="001751C4" w:rsidP="00DF319D">
      <w:pPr>
        <w:contextualSpacing/>
        <w:rPr>
          <w:rFonts w:ascii="Times New Roman" w:hAnsi="Times New Roman"/>
          <w:color w:val="000000"/>
          <w:sz w:val="20"/>
          <w:szCs w:val="20"/>
        </w:rPr>
      </w:pPr>
      <w:r w:rsidRPr="00A322F7">
        <w:rPr>
          <w:rFonts w:ascii="Times New Roman" w:hAnsi="Times New Roman"/>
          <w:color w:val="000000"/>
          <w:sz w:val="20"/>
          <w:szCs w:val="20"/>
        </w:rPr>
        <w:t xml:space="preserve">Barro, Robert, and David Gordon.1983, “A Positive Theory of Monetary Policy in a Natural Rate </w:t>
      </w:r>
      <w:r w:rsidR="005900E2" w:rsidRPr="00A322F7">
        <w:rPr>
          <w:rFonts w:ascii="Times New Roman" w:hAnsi="Times New Roman"/>
          <w:color w:val="000000"/>
          <w:sz w:val="20"/>
          <w:szCs w:val="20"/>
        </w:rPr>
        <w:t xml:space="preserve">Model, </w:t>
      </w:r>
      <w:r w:rsidR="005900E2" w:rsidRPr="00A322F7">
        <w:rPr>
          <w:rFonts w:ascii="Times New Roman" w:hAnsi="Times New Roman"/>
          <w:i/>
          <w:color w:val="000000"/>
          <w:sz w:val="20"/>
          <w:szCs w:val="20"/>
        </w:rPr>
        <w:t>“Journal</w:t>
      </w:r>
      <w:r w:rsidRPr="00A322F7">
        <w:rPr>
          <w:rFonts w:ascii="Times New Roman" w:hAnsi="Times New Roman"/>
          <w:i/>
          <w:color w:val="000000"/>
          <w:sz w:val="20"/>
          <w:szCs w:val="20"/>
        </w:rPr>
        <w:t xml:space="preserve"> of Political Economy</w:t>
      </w:r>
      <w:r w:rsidRPr="00A322F7">
        <w:rPr>
          <w:rFonts w:ascii="Times New Roman" w:hAnsi="Times New Roman"/>
          <w:color w:val="000000"/>
          <w:sz w:val="20"/>
          <w:szCs w:val="20"/>
        </w:rPr>
        <w:t xml:space="preserve"> 91, 4, August, 589-610.</w:t>
      </w:r>
    </w:p>
    <w:p w:rsidR="00CA1514" w:rsidRPr="00A322F7" w:rsidRDefault="00CA1514" w:rsidP="00E9342B">
      <w:pPr>
        <w:contextualSpacing/>
        <w:rPr>
          <w:rFonts w:ascii="Times New Roman" w:hAnsi="Times New Roman"/>
          <w:color w:val="000000"/>
          <w:sz w:val="20"/>
          <w:szCs w:val="20"/>
        </w:rPr>
      </w:pPr>
      <w:r w:rsidRPr="00A322F7">
        <w:rPr>
          <w:rFonts w:ascii="Times New Roman" w:hAnsi="Times New Roman"/>
          <w:color w:val="000000"/>
          <w:sz w:val="20"/>
          <w:szCs w:val="20"/>
        </w:rPr>
        <w:t xml:space="preserve">Bhandari, Pranjul, and Jeffrey Frankel, </w:t>
      </w:r>
      <w:r w:rsidRPr="00AC5EC4">
        <w:rPr>
          <w:rFonts w:ascii="Times New Roman" w:hAnsi="Times New Roman"/>
          <w:color w:val="000000"/>
          <w:sz w:val="20"/>
          <w:szCs w:val="20"/>
        </w:rPr>
        <w:t xml:space="preserve">2014, </w:t>
      </w:r>
      <w:hyperlink r:id="rId20" w:history="1">
        <w:r w:rsidR="00AC5EC4" w:rsidRPr="00AC5EC4">
          <w:rPr>
            <w:rFonts w:ascii="Times New Roman" w:hAnsi="Times New Roman"/>
            <w:color w:val="0000FF"/>
            <w:sz w:val="20"/>
            <w:szCs w:val="20"/>
            <w:u w:val="single"/>
          </w:rPr>
          <w:t>The Best of Rules and Discretion: A Case for Nominal GDP Targeting in India</w:t>
        </w:r>
      </w:hyperlink>
      <w:r w:rsidR="005B290E">
        <w:rPr>
          <w:rFonts w:ascii="Times New Roman" w:hAnsi="Times New Roman"/>
          <w:color w:val="000000"/>
          <w:sz w:val="20"/>
          <w:szCs w:val="20"/>
        </w:rPr>
        <w:t>,”</w:t>
      </w:r>
      <w:r w:rsidR="00AC5EC4" w:rsidRPr="00AC5EC4">
        <w:rPr>
          <w:rFonts w:ascii="Times New Roman" w:hAnsi="Times New Roman"/>
          <w:color w:val="000000"/>
          <w:sz w:val="20"/>
          <w:szCs w:val="20"/>
        </w:rPr>
        <w:t> </w:t>
      </w:r>
      <w:hyperlink r:id="rId21" w:history="1">
        <w:r w:rsidR="00AC5EC4" w:rsidRPr="00AC5EC4">
          <w:rPr>
            <w:rFonts w:ascii="Times New Roman" w:hAnsi="Times New Roman"/>
            <w:color w:val="0000FF"/>
            <w:sz w:val="20"/>
            <w:szCs w:val="20"/>
            <w:u w:val="single"/>
          </w:rPr>
          <w:t>CID WP No. 284</w:t>
        </w:r>
      </w:hyperlink>
      <w:r w:rsidR="00AC5EC4" w:rsidRPr="00AC5EC4">
        <w:rPr>
          <w:rFonts w:ascii="Times New Roman" w:hAnsi="Times New Roman"/>
          <w:color w:val="000000"/>
          <w:sz w:val="20"/>
          <w:szCs w:val="20"/>
        </w:rPr>
        <w:t>, July.</w:t>
      </w:r>
    </w:p>
    <w:p w:rsidR="001751C4" w:rsidRPr="00A322F7" w:rsidRDefault="00811145" w:rsidP="006B7888">
      <w:pPr>
        <w:contextualSpacing/>
        <w:jc w:val="both"/>
        <w:rPr>
          <w:rFonts w:ascii="Times New Roman" w:hAnsi="Times New Roman"/>
          <w:sz w:val="20"/>
          <w:szCs w:val="20"/>
        </w:rPr>
      </w:pPr>
      <w:r w:rsidRPr="00A322F7">
        <w:rPr>
          <w:rFonts w:ascii="Times New Roman" w:hAnsi="Times New Roman"/>
          <w:sz w:val="20"/>
          <w:szCs w:val="20"/>
        </w:rPr>
        <w:t xml:space="preserve"> Broda, </w:t>
      </w:r>
      <w:r w:rsidR="001751C4" w:rsidRPr="00A322F7">
        <w:rPr>
          <w:rFonts w:ascii="Times New Roman" w:hAnsi="Times New Roman"/>
          <w:sz w:val="20"/>
          <w:szCs w:val="20"/>
        </w:rPr>
        <w:t xml:space="preserve">Christian, 2004, "Terms of Trade and Exchange Rate Regimes in Developing Countries," </w:t>
      </w:r>
      <w:r w:rsidR="001751C4" w:rsidRPr="00A322F7">
        <w:rPr>
          <w:rFonts w:ascii="Times New Roman" w:hAnsi="Times New Roman"/>
          <w:i/>
          <w:sz w:val="20"/>
          <w:szCs w:val="20"/>
        </w:rPr>
        <w:t>Journal of International Economics</w:t>
      </w:r>
      <w:r w:rsidR="001751C4" w:rsidRPr="00A322F7">
        <w:rPr>
          <w:rFonts w:ascii="Times New Roman" w:hAnsi="Times New Roman"/>
          <w:sz w:val="20"/>
          <w:szCs w:val="20"/>
        </w:rPr>
        <w:t>, 63, no.1, pp. 31-58</w:t>
      </w:r>
    </w:p>
    <w:p w:rsidR="001751C4" w:rsidRPr="00A322F7" w:rsidRDefault="001751C4" w:rsidP="006B7888">
      <w:pPr>
        <w:contextualSpacing/>
        <w:jc w:val="both"/>
        <w:rPr>
          <w:rFonts w:ascii="Times New Roman" w:hAnsi="Times New Roman"/>
          <w:sz w:val="20"/>
          <w:szCs w:val="20"/>
        </w:rPr>
      </w:pPr>
      <w:r w:rsidRPr="00A322F7">
        <w:rPr>
          <w:rFonts w:ascii="Times New Roman" w:hAnsi="Times New Roman"/>
          <w:sz w:val="20"/>
          <w:szCs w:val="20"/>
        </w:rPr>
        <w:t xml:space="preserve">Cavallo, Eduardo, and Ilan Noy, 2011, “Natural Disasters and the Economy – A Survey,” </w:t>
      </w:r>
      <w:r w:rsidRPr="00A322F7">
        <w:rPr>
          <w:rFonts w:ascii="Times New Roman" w:hAnsi="Times New Roman"/>
          <w:i/>
          <w:sz w:val="20"/>
          <w:szCs w:val="20"/>
        </w:rPr>
        <w:t>International Review of Environmental and Resource Economics</w:t>
      </w:r>
      <w:r w:rsidRPr="00A322F7">
        <w:rPr>
          <w:rFonts w:ascii="Times New Roman" w:hAnsi="Times New Roman"/>
          <w:sz w:val="20"/>
          <w:szCs w:val="20"/>
        </w:rPr>
        <w:t>, 5, 63-102.</w:t>
      </w:r>
    </w:p>
    <w:p w:rsidR="001751C4" w:rsidRDefault="001751C4" w:rsidP="006B7888">
      <w:pPr>
        <w:contextualSpacing/>
        <w:jc w:val="both"/>
        <w:rPr>
          <w:rFonts w:ascii="Times New Roman" w:hAnsi="Times New Roman"/>
          <w:bCs/>
          <w:sz w:val="20"/>
          <w:szCs w:val="20"/>
        </w:rPr>
      </w:pPr>
      <w:r w:rsidRPr="00A322F7">
        <w:rPr>
          <w:rFonts w:ascii="Times New Roman" w:hAnsi="Times New Roman"/>
          <w:bCs/>
          <w:sz w:val="20"/>
          <w:szCs w:val="20"/>
        </w:rPr>
        <w:t>Céspedes, Luis Felipe, and Andrés Velasco, 2012, “</w:t>
      </w:r>
      <w:r w:rsidRPr="00A322F7">
        <w:rPr>
          <w:rFonts w:ascii="Times New Roman" w:hAnsi="Times New Roman"/>
          <w:bCs/>
          <w:kern w:val="36"/>
          <w:sz w:val="20"/>
          <w:szCs w:val="20"/>
        </w:rPr>
        <w:t xml:space="preserve">Macroeconomic Performance During Commodity Price Booms and Busts,” </w:t>
      </w:r>
      <w:hyperlink r:id="rId22" w:history="1">
        <w:r w:rsidRPr="00A322F7">
          <w:rPr>
            <w:rStyle w:val="Hyperlink"/>
            <w:rFonts w:ascii="Times New Roman" w:hAnsi="Times New Roman"/>
            <w:bCs/>
            <w:sz w:val="20"/>
            <w:szCs w:val="20"/>
          </w:rPr>
          <w:t>NBER Working Paper No.18569</w:t>
        </w:r>
      </w:hyperlink>
      <w:r w:rsidRPr="00A322F7">
        <w:rPr>
          <w:rFonts w:ascii="Times New Roman" w:hAnsi="Times New Roman"/>
          <w:bCs/>
          <w:sz w:val="20"/>
          <w:szCs w:val="20"/>
        </w:rPr>
        <w:t>, November.</w:t>
      </w:r>
    </w:p>
    <w:p w:rsidR="00EA1DE1" w:rsidRPr="00EA1DE1" w:rsidRDefault="00EA1DE1" w:rsidP="00EA1DE1">
      <w:pPr>
        <w:contextualSpacing/>
        <w:jc w:val="both"/>
        <w:rPr>
          <w:rFonts w:ascii="Times New Roman" w:hAnsi="Times New Roman"/>
          <w:sz w:val="20"/>
          <w:szCs w:val="20"/>
        </w:rPr>
      </w:pPr>
      <w:r w:rsidRPr="00EA1DE1">
        <w:rPr>
          <w:rFonts w:ascii="Times New Roman" w:hAnsi="Times New Roman"/>
          <w:bCs/>
          <w:sz w:val="20"/>
          <w:szCs w:val="20"/>
        </w:rPr>
        <w:t>Christensen, Lars, 2013, “</w:t>
      </w:r>
      <w:hyperlink r:id="rId23" w:history="1">
        <w:r w:rsidRPr="00EA1DE1">
          <w:rPr>
            <w:rStyle w:val="Hyperlink"/>
            <w:rFonts w:ascii="Times New Roman" w:hAnsi="Times New Roman"/>
            <w:bCs/>
            <w:sz w:val="20"/>
            <w:szCs w:val="20"/>
          </w:rPr>
          <w:t>In India, Inflation is Everywhere and Always a Rainy Phenomenon</w:t>
        </w:r>
      </w:hyperlink>
      <w:r w:rsidRPr="00EA1DE1">
        <w:rPr>
          <w:rFonts w:ascii="Times New Roman" w:hAnsi="Times New Roman"/>
          <w:bCs/>
          <w:sz w:val="20"/>
          <w:szCs w:val="20"/>
        </w:rPr>
        <w:t xml:space="preserve">,” </w:t>
      </w:r>
      <w:r w:rsidRPr="00EA1DE1">
        <w:rPr>
          <w:rFonts w:ascii="Times New Roman" w:hAnsi="Times New Roman"/>
          <w:bCs/>
          <w:i/>
          <w:sz w:val="20"/>
          <w:szCs w:val="20"/>
        </w:rPr>
        <w:t>The Market Monetarist</w:t>
      </w:r>
      <w:r w:rsidRPr="00EA1DE1">
        <w:rPr>
          <w:rFonts w:ascii="Times New Roman" w:hAnsi="Times New Roman"/>
          <w:bCs/>
          <w:sz w:val="20"/>
          <w:szCs w:val="20"/>
        </w:rPr>
        <w:t>, Jan. 24.</w:t>
      </w:r>
    </w:p>
    <w:p w:rsidR="001751C4" w:rsidRPr="00A322F7" w:rsidRDefault="001751C4" w:rsidP="006B7888">
      <w:pPr>
        <w:contextualSpacing/>
        <w:jc w:val="both"/>
        <w:rPr>
          <w:rFonts w:ascii="Times New Roman" w:hAnsi="Times New Roman"/>
          <w:sz w:val="20"/>
          <w:szCs w:val="20"/>
        </w:rPr>
      </w:pPr>
      <w:r w:rsidRPr="00A322F7">
        <w:rPr>
          <w:rFonts w:ascii="Times New Roman" w:hAnsi="Times New Roman"/>
          <w:sz w:val="20"/>
          <w:szCs w:val="20"/>
        </w:rPr>
        <w:t xml:space="preserve">Edwards, Sebastian, and Eduardo Levy Yeyati, 2005, “Flexible Exchange Rates as Shock Absorbers,”  </w:t>
      </w:r>
      <w:r w:rsidRPr="00A322F7">
        <w:rPr>
          <w:rFonts w:ascii="Times New Roman" w:hAnsi="Times New Roman"/>
          <w:i/>
          <w:sz w:val="20"/>
          <w:szCs w:val="20"/>
        </w:rPr>
        <w:t>European Economic Review</w:t>
      </w:r>
      <w:r w:rsidRPr="00A322F7">
        <w:rPr>
          <w:rFonts w:ascii="Times New Roman" w:hAnsi="Times New Roman"/>
          <w:sz w:val="20"/>
          <w:szCs w:val="20"/>
        </w:rPr>
        <w:t xml:space="preserve">, Vol. 49, Issue 8, November, pp. 2079-005. </w:t>
      </w:r>
    </w:p>
    <w:p w:rsidR="004C4D1D" w:rsidRPr="00A322F7" w:rsidRDefault="00407CEE" w:rsidP="004C4D1D">
      <w:pPr>
        <w:shd w:val="clear" w:color="auto" w:fill="FFFFFF"/>
        <w:contextualSpacing/>
        <w:rPr>
          <w:rFonts w:ascii="Times New Roman" w:hAnsi="Times New Roman"/>
          <w:sz w:val="20"/>
          <w:szCs w:val="20"/>
        </w:rPr>
      </w:pPr>
      <w:r w:rsidRPr="00A322F7">
        <w:rPr>
          <w:rFonts w:ascii="Times New Roman" w:hAnsi="Times New Roman"/>
          <w:sz w:val="20"/>
          <w:szCs w:val="20"/>
        </w:rPr>
        <w:t xml:space="preserve">Fischer, Stanley, </w:t>
      </w:r>
      <w:r w:rsidR="004C4D1D" w:rsidRPr="00A322F7">
        <w:rPr>
          <w:rFonts w:ascii="Times New Roman" w:hAnsi="Times New Roman"/>
          <w:sz w:val="20"/>
          <w:szCs w:val="20"/>
        </w:rPr>
        <w:t xml:space="preserve">1977, “Stability and Exchange Rate Systems in a Monetarist Model of the Balance of Payments,” in </w:t>
      </w:r>
      <w:r w:rsidR="004C4D1D" w:rsidRPr="00A322F7">
        <w:rPr>
          <w:rFonts w:ascii="Times New Roman" w:hAnsi="Times New Roman"/>
          <w:i/>
          <w:sz w:val="20"/>
          <w:szCs w:val="20"/>
        </w:rPr>
        <w:t>The Political Economy of Monetary Reform</w:t>
      </w:r>
      <w:r w:rsidR="004C4D1D" w:rsidRPr="00A322F7">
        <w:rPr>
          <w:rFonts w:ascii="Times New Roman" w:hAnsi="Times New Roman"/>
          <w:sz w:val="20"/>
          <w:szCs w:val="20"/>
        </w:rPr>
        <w:t>, Robert Aliber, ed. (Allanheld, Osmun and Co. Publishers Inc.: NY), pp. 59–73.</w:t>
      </w:r>
    </w:p>
    <w:p w:rsidR="00407CEE" w:rsidRPr="00A322F7" w:rsidRDefault="004C4D1D" w:rsidP="00173769">
      <w:pPr>
        <w:shd w:val="clear" w:color="auto" w:fill="FFFFFF"/>
        <w:contextualSpacing/>
        <w:rPr>
          <w:sz w:val="20"/>
          <w:szCs w:val="20"/>
        </w:rPr>
      </w:pPr>
      <w:r w:rsidRPr="00A322F7">
        <w:rPr>
          <w:rFonts w:ascii="Times New Roman" w:hAnsi="Times New Roman"/>
          <w:sz w:val="20"/>
          <w:szCs w:val="20"/>
        </w:rPr>
        <w:t xml:space="preserve">--- </w:t>
      </w:r>
      <w:r w:rsidR="00407CEE" w:rsidRPr="00A322F7">
        <w:rPr>
          <w:rFonts w:ascii="Times New Roman" w:hAnsi="Times New Roman"/>
          <w:sz w:val="20"/>
          <w:szCs w:val="20"/>
        </w:rPr>
        <w:t xml:space="preserve">1990, </w:t>
      </w:r>
      <w:r w:rsidR="00407CEE" w:rsidRPr="00A322F7">
        <w:rPr>
          <w:rFonts w:ascii="Times New Roman" w:hAnsi="Times New Roman"/>
          <w:color w:val="000000"/>
          <w:sz w:val="20"/>
          <w:szCs w:val="20"/>
        </w:rPr>
        <w:t xml:space="preserve">"Rules </w:t>
      </w:r>
      <w:r w:rsidR="00A16D3B" w:rsidRPr="00A322F7">
        <w:rPr>
          <w:rFonts w:ascii="Times New Roman" w:hAnsi="Times New Roman"/>
          <w:color w:val="000000"/>
          <w:sz w:val="20"/>
          <w:szCs w:val="20"/>
        </w:rPr>
        <w:t>V</w:t>
      </w:r>
      <w:r w:rsidR="00407CEE" w:rsidRPr="00A322F7">
        <w:rPr>
          <w:rFonts w:ascii="Times New Roman" w:hAnsi="Times New Roman"/>
          <w:color w:val="000000"/>
          <w:sz w:val="20"/>
          <w:szCs w:val="20"/>
        </w:rPr>
        <w:t xml:space="preserve">ersus </w:t>
      </w:r>
      <w:r w:rsidR="00A16D3B" w:rsidRPr="00A322F7">
        <w:rPr>
          <w:rFonts w:ascii="Times New Roman" w:hAnsi="Times New Roman"/>
          <w:color w:val="000000"/>
          <w:sz w:val="20"/>
          <w:szCs w:val="20"/>
        </w:rPr>
        <w:t>D</w:t>
      </w:r>
      <w:r w:rsidR="00407CEE" w:rsidRPr="00A322F7">
        <w:rPr>
          <w:rFonts w:ascii="Times New Roman" w:hAnsi="Times New Roman"/>
          <w:color w:val="000000"/>
          <w:sz w:val="20"/>
          <w:szCs w:val="20"/>
        </w:rPr>
        <w:t xml:space="preserve">iscretion in </w:t>
      </w:r>
      <w:r w:rsidR="00A16D3B" w:rsidRPr="00A322F7">
        <w:rPr>
          <w:rFonts w:ascii="Times New Roman" w:hAnsi="Times New Roman"/>
          <w:color w:val="000000"/>
          <w:sz w:val="20"/>
          <w:szCs w:val="20"/>
        </w:rPr>
        <w:t>M</w:t>
      </w:r>
      <w:r w:rsidR="00407CEE" w:rsidRPr="00A322F7">
        <w:rPr>
          <w:rFonts w:ascii="Times New Roman" w:hAnsi="Times New Roman"/>
          <w:color w:val="000000"/>
          <w:sz w:val="20"/>
          <w:szCs w:val="20"/>
        </w:rPr>
        <w:t xml:space="preserve">onetary </w:t>
      </w:r>
      <w:r w:rsidR="00A16D3B" w:rsidRPr="00A322F7">
        <w:rPr>
          <w:rFonts w:ascii="Times New Roman" w:hAnsi="Times New Roman"/>
          <w:color w:val="000000"/>
          <w:sz w:val="20"/>
          <w:szCs w:val="20"/>
        </w:rPr>
        <w:t>P</w:t>
      </w:r>
      <w:r w:rsidRPr="00A322F7">
        <w:rPr>
          <w:rFonts w:ascii="Times New Roman" w:hAnsi="Times New Roman"/>
          <w:color w:val="000000"/>
          <w:sz w:val="20"/>
          <w:szCs w:val="20"/>
        </w:rPr>
        <w:t>olicy," in</w:t>
      </w:r>
      <w:r w:rsidR="00407CEE" w:rsidRPr="00A322F7">
        <w:rPr>
          <w:rFonts w:ascii="Times New Roman" w:hAnsi="Times New Roman"/>
          <w:color w:val="000000"/>
          <w:sz w:val="20"/>
          <w:szCs w:val="20"/>
        </w:rPr>
        <w:t xml:space="preserve"> B. M. Friedman &amp; F. H. Hahn</w:t>
      </w:r>
      <w:r w:rsidRPr="00A322F7">
        <w:rPr>
          <w:rFonts w:ascii="Times New Roman" w:hAnsi="Times New Roman"/>
          <w:color w:val="000000"/>
          <w:sz w:val="20"/>
          <w:szCs w:val="20"/>
        </w:rPr>
        <w:t xml:space="preserve">, </w:t>
      </w:r>
      <w:r w:rsidR="00407CEE" w:rsidRPr="00A322F7">
        <w:rPr>
          <w:rFonts w:ascii="Times New Roman" w:hAnsi="Times New Roman"/>
          <w:color w:val="000000"/>
          <w:sz w:val="20"/>
          <w:szCs w:val="20"/>
        </w:rPr>
        <w:t>ed</w:t>
      </w:r>
      <w:r w:rsidRPr="00A322F7">
        <w:rPr>
          <w:rFonts w:ascii="Times New Roman" w:hAnsi="Times New Roman"/>
          <w:color w:val="000000"/>
          <w:sz w:val="20"/>
          <w:szCs w:val="20"/>
        </w:rPr>
        <w:t>s.</w:t>
      </w:r>
      <w:r w:rsidR="00407CEE" w:rsidRPr="00A322F7">
        <w:rPr>
          <w:rFonts w:ascii="Times New Roman" w:hAnsi="Times New Roman"/>
          <w:color w:val="000000"/>
          <w:sz w:val="20"/>
          <w:szCs w:val="20"/>
        </w:rPr>
        <w:t xml:space="preserve">, </w:t>
      </w:r>
      <w:r w:rsidR="00407CEE" w:rsidRPr="00A322F7">
        <w:rPr>
          <w:rFonts w:ascii="Times New Roman" w:hAnsi="Times New Roman"/>
          <w:i/>
          <w:color w:val="000000"/>
          <w:sz w:val="20"/>
          <w:szCs w:val="20"/>
        </w:rPr>
        <w:t>Handbook of Monetary Economics</w:t>
      </w:r>
      <w:r w:rsidR="00A16D3B" w:rsidRPr="00A322F7">
        <w:rPr>
          <w:rFonts w:ascii="Times New Roman" w:hAnsi="Times New Roman"/>
          <w:color w:val="000000"/>
          <w:sz w:val="20"/>
          <w:szCs w:val="20"/>
        </w:rPr>
        <w:t>, ed.1, vol.</w:t>
      </w:r>
      <w:r w:rsidR="00407CEE" w:rsidRPr="00A322F7">
        <w:rPr>
          <w:rFonts w:ascii="Times New Roman" w:hAnsi="Times New Roman"/>
          <w:color w:val="000000"/>
          <w:sz w:val="20"/>
          <w:szCs w:val="20"/>
        </w:rPr>
        <w:t xml:space="preserve"> 2, chapter 21, p</w:t>
      </w:r>
      <w:r w:rsidR="00A16D3B" w:rsidRPr="00A322F7">
        <w:rPr>
          <w:rFonts w:ascii="Times New Roman" w:hAnsi="Times New Roman"/>
          <w:color w:val="000000"/>
          <w:sz w:val="20"/>
          <w:szCs w:val="20"/>
        </w:rPr>
        <w:t>p.</w:t>
      </w:r>
      <w:r w:rsidR="00407CEE" w:rsidRPr="00A322F7">
        <w:rPr>
          <w:rFonts w:ascii="Times New Roman" w:hAnsi="Times New Roman"/>
          <w:color w:val="000000"/>
          <w:sz w:val="20"/>
          <w:szCs w:val="20"/>
        </w:rPr>
        <w:t xml:space="preserve"> 1155-1184 </w:t>
      </w:r>
      <w:r w:rsidR="00C97819" w:rsidRPr="00A322F7">
        <w:rPr>
          <w:rFonts w:ascii="Times New Roman" w:hAnsi="Times New Roman"/>
          <w:color w:val="000000"/>
          <w:sz w:val="20"/>
          <w:szCs w:val="20"/>
        </w:rPr>
        <w:t>(</w:t>
      </w:r>
      <w:r w:rsidR="00407CEE" w:rsidRPr="00A322F7">
        <w:rPr>
          <w:rFonts w:ascii="Times New Roman" w:hAnsi="Times New Roman"/>
          <w:color w:val="000000"/>
          <w:sz w:val="20"/>
          <w:szCs w:val="20"/>
        </w:rPr>
        <w:t>Elsevier</w:t>
      </w:r>
      <w:r w:rsidR="00C97819" w:rsidRPr="00A322F7">
        <w:rPr>
          <w:rFonts w:ascii="Times New Roman" w:hAnsi="Times New Roman"/>
          <w:color w:val="000000"/>
          <w:sz w:val="20"/>
          <w:szCs w:val="20"/>
        </w:rPr>
        <w:t>)</w:t>
      </w:r>
      <w:r w:rsidR="00407CEE" w:rsidRPr="00A322F7">
        <w:rPr>
          <w:rFonts w:ascii="Times New Roman" w:hAnsi="Times New Roman"/>
          <w:color w:val="000000"/>
          <w:sz w:val="20"/>
          <w:szCs w:val="20"/>
        </w:rPr>
        <w:t xml:space="preserve">.  </w:t>
      </w:r>
    </w:p>
    <w:p w:rsidR="001751C4" w:rsidRPr="00A322F7" w:rsidRDefault="001751C4" w:rsidP="00173769">
      <w:pPr>
        <w:contextualSpacing/>
        <w:jc w:val="both"/>
        <w:rPr>
          <w:rFonts w:ascii="Times New Roman" w:hAnsi="Times New Roman"/>
          <w:sz w:val="20"/>
          <w:szCs w:val="20"/>
        </w:rPr>
      </w:pPr>
      <w:r w:rsidRPr="00A322F7">
        <w:rPr>
          <w:rFonts w:ascii="Times New Roman" w:hAnsi="Times New Roman"/>
          <w:sz w:val="20"/>
          <w:szCs w:val="20"/>
        </w:rPr>
        <w:t>Fraga, A., I.</w:t>
      </w:r>
      <w:r w:rsidR="00454421" w:rsidRPr="00A322F7">
        <w:rPr>
          <w:rFonts w:ascii="Times New Roman" w:hAnsi="Times New Roman"/>
          <w:sz w:val="20"/>
          <w:szCs w:val="20"/>
        </w:rPr>
        <w:t xml:space="preserve"> </w:t>
      </w:r>
      <w:r w:rsidRPr="00A322F7">
        <w:rPr>
          <w:rFonts w:ascii="Times New Roman" w:hAnsi="Times New Roman"/>
          <w:sz w:val="20"/>
          <w:szCs w:val="20"/>
        </w:rPr>
        <w:t>Goldfajn,.and A.</w:t>
      </w:r>
      <w:r w:rsidR="00454421" w:rsidRPr="00A322F7">
        <w:rPr>
          <w:rFonts w:ascii="Times New Roman" w:hAnsi="Times New Roman"/>
          <w:sz w:val="20"/>
          <w:szCs w:val="20"/>
        </w:rPr>
        <w:t xml:space="preserve"> </w:t>
      </w:r>
      <w:r w:rsidRPr="00A322F7">
        <w:rPr>
          <w:rFonts w:ascii="Times New Roman" w:hAnsi="Times New Roman"/>
          <w:sz w:val="20"/>
          <w:szCs w:val="20"/>
        </w:rPr>
        <w:t xml:space="preserve">Minella (2003), “Inflation Targeting in Emerging Market Economies,” </w:t>
      </w:r>
      <w:r w:rsidRPr="00A322F7">
        <w:rPr>
          <w:rFonts w:ascii="Times New Roman" w:hAnsi="Times New Roman"/>
          <w:i/>
          <w:iCs/>
          <w:sz w:val="20"/>
          <w:szCs w:val="20"/>
        </w:rPr>
        <w:t>NBER Macro Annual 2003</w:t>
      </w:r>
      <w:r w:rsidRPr="00A322F7">
        <w:rPr>
          <w:rFonts w:ascii="Times New Roman" w:hAnsi="Times New Roman"/>
          <w:sz w:val="20"/>
          <w:szCs w:val="20"/>
        </w:rPr>
        <w:t xml:space="preserve">, Ken Rogoff and Mark Gertler, eds. (MIT Press: Cambridge).   </w:t>
      </w:r>
    </w:p>
    <w:p w:rsidR="001751C4" w:rsidRPr="00A322F7" w:rsidRDefault="001751C4" w:rsidP="00173769">
      <w:pPr>
        <w:contextualSpacing/>
        <w:jc w:val="both"/>
        <w:rPr>
          <w:rFonts w:ascii="Times New Roman" w:hAnsi="Times New Roman"/>
          <w:sz w:val="20"/>
          <w:szCs w:val="20"/>
        </w:rPr>
      </w:pPr>
      <w:r w:rsidRPr="00A322F7">
        <w:rPr>
          <w:rFonts w:ascii="Times New Roman" w:hAnsi="Times New Roman"/>
          <w:sz w:val="20"/>
          <w:szCs w:val="20"/>
        </w:rPr>
        <w:t xml:space="preserve">Frankel, Jeffrey, 1995a, </w:t>
      </w:r>
      <w:r w:rsidRPr="00A322F7">
        <w:rPr>
          <w:rFonts w:ascii="Times New Roman" w:hAnsi="Times New Roman"/>
          <w:color w:val="000000"/>
          <w:sz w:val="20"/>
          <w:szCs w:val="20"/>
        </w:rPr>
        <w:t>“</w:t>
      </w:r>
      <w:hyperlink r:id="rId24" w:history="1">
        <w:r w:rsidRPr="00A322F7">
          <w:rPr>
            <w:rFonts w:ascii="Times New Roman" w:hAnsi="Times New Roman"/>
            <w:color w:val="0000FF"/>
            <w:sz w:val="20"/>
            <w:szCs w:val="20"/>
            <w:u w:val="single"/>
          </w:rPr>
          <w:t>The Stabilizing Properties of a Nominal GNP Rule</w:t>
        </w:r>
      </w:hyperlink>
      <w:r w:rsidRPr="00A322F7">
        <w:rPr>
          <w:rFonts w:ascii="Times New Roman" w:hAnsi="Times New Roman"/>
          <w:color w:val="000000"/>
          <w:sz w:val="20"/>
          <w:szCs w:val="20"/>
        </w:rPr>
        <w:t>,” </w:t>
      </w:r>
      <w:hyperlink r:id="rId25" w:history="1">
        <w:r w:rsidRPr="00A322F7">
          <w:rPr>
            <w:rFonts w:ascii="Times New Roman" w:hAnsi="Times New Roman"/>
            <w:i/>
            <w:iCs/>
            <w:color w:val="0000FF"/>
            <w:sz w:val="20"/>
            <w:szCs w:val="20"/>
          </w:rPr>
          <w:t>Journal of Money, Credit and Banking</w:t>
        </w:r>
      </w:hyperlink>
      <w:r w:rsidRPr="00A322F7">
        <w:rPr>
          <w:rFonts w:ascii="Times New Roman" w:hAnsi="Times New Roman"/>
          <w:color w:val="000000"/>
          <w:sz w:val="20"/>
          <w:szCs w:val="20"/>
        </w:rPr>
        <w:t xml:space="preserve"> 27, no.2, May, 318-334.  </w:t>
      </w:r>
      <w:r w:rsidRPr="00A322F7">
        <w:rPr>
          <w:rFonts w:ascii="Times New Roman" w:hAnsi="Times New Roman"/>
          <w:sz w:val="20"/>
          <w:szCs w:val="20"/>
        </w:rPr>
        <w:t xml:space="preserve">Reprinted in </w:t>
      </w:r>
      <w:r w:rsidRPr="00A322F7">
        <w:rPr>
          <w:rFonts w:ascii="Times New Roman" w:hAnsi="Times New Roman"/>
          <w:i/>
          <w:iCs/>
          <w:sz w:val="20"/>
          <w:szCs w:val="20"/>
        </w:rPr>
        <w:t>Financial Markets and Monetary Policy</w:t>
      </w:r>
      <w:r w:rsidRPr="00A322F7">
        <w:rPr>
          <w:rFonts w:ascii="Times New Roman" w:hAnsi="Times New Roman"/>
          <w:sz w:val="20"/>
          <w:szCs w:val="20"/>
        </w:rPr>
        <w:t xml:space="preserve"> (MIT Press. 1997).  </w:t>
      </w:r>
    </w:p>
    <w:p w:rsidR="001751C4" w:rsidRPr="00A322F7" w:rsidRDefault="001751C4" w:rsidP="00173769">
      <w:pPr>
        <w:contextualSpacing/>
        <w:rPr>
          <w:rFonts w:ascii="Times New Roman" w:hAnsi="Times New Roman"/>
          <w:sz w:val="20"/>
          <w:szCs w:val="20"/>
        </w:rPr>
      </w:pPr>
      <w:r w:rsidRPr="00A322F7">
        <w:rPr>
          <w:rFonts w:ascii="Times New Roman" w:hAnsi="Times New Roman"/>
          <w:sz w:val="20"/>
          <w:szCs w:val="20"/>
        </w:rPr>
        <w:t>--- 1995b,</w:t>
      </w:r>
      <w:hyperlink r:id="rId26" w:history="1">
        <w:r w:rsidRPr="00A322F7">
          <w:rPr>
            <w:rStyle w:val="Hyperlink"/>
            <w:rFonts w:ascii="Times New Roman" w:hAnsi="Times New Roman"/>
            <w:sz w:val="20"/>
            <w:szCs w:val="20"/>
          </w:rPr>
          <w:t>"Monetary Regime Choices for a Semi-Open Country</w:t>
        </w:r>
      </w:hyperlink>
      <w:r w:rsidRPr="00A322F7">
        <w:rPr>
          <w:rFonts w:ascii="Times New Roman" w:hAnsi="Times New Roman"/>
          <w:sz w:val="20"/>
          <w:szCs w:val="20"/>
        </w:rPr>
        <w:t xml:space="preserve">," in </w:t>
      </w:r>
      <w:hyperlink r:id="rId27" w:history="1">
        <w:r w:rsidRPr="00A322F7">
          <w:rPr>
            <w:rStyle w:val="Emphasis"/>
            <w:rFonts w:ascii="Times New Roman" w:hAnsi="Times New Roman"/>
            <w:color w:val="0033CC"/>
            <w:sz w:val="20"/>
            <w:szCs w:val="20"/>
            <w:u w:val="single"/>
          </w:rPr>
          <w:t>Capital Controls, Exchange Rates and Monetary Policy in the World Economy</w:t>
        </w:r>
      </w:hyperlink>
      <w:r w:rsidRPr="00A322F7">
        <w:rPr>
          <w:rFonts w:ascii="Times New Roman" w:hAnsi="Times New Roman"/>
          <w:sz w:val="20"/>
          <w:szCs w:val="20"/>
        </w:rPr>
        <w:t>, edited by S</w:t>
      </w:r>
      <w:r w:rsidR="00407CEE" w:rsidRPr="00A322F7">
        <w:rPr>
          <w:rFonts w:ascii="Times New Roman" w:hAnsi="Times New Roman"/>
          <w:sz w:val="20"/>
          <w:szCs w:val="20"/>
        </w:rPr>
        <w:t>. E</w:t>
      </w:r>
      <w:r w:rsidRPr="00A322F7">
        <w:rPr>
          <w:rFonts w:ascii="Times New Roman" w:hAnsi="Times New Roman"/>
          <w:sz w:val="20"/>
          <w:szCs w:val="20"/>
        </w:rPr>
        <w:t>dwards</w:t>
      </w:r>
      <w:r w:rsidR="00407CEE" w:rsidRPr="00A322F7">
        <w:rPr>
          <w:rFonts w:ascii="Times New Roman" w:hAnsi="Times New Roman"/>
          <w:sz w:val="20"/>
          <w:szCs w:val="20"/>
        </w:rPr>
        <w:t xml:space="preserve"> (</w:t>
      </w:r>
      <w:r w:rsidRPr="00A322F7">
        <w:rPr>
          <w:rFonts w:ascii="Times New Roman" w:hAnsi="Times New Roman"/>
          <w:sz w:val="20"/>
          <w:szCs w:val="20"/>
        </w:rPr>
        <w:t>Cambridge Univ</w:t>
      </w:r>
      <w:r w:rsidR="00A322F7">
        <w:rPr>
          <w:rFonts w:ascii="Times New Roman" w:hAnsi="Times New Roman"/>
          <w:sz w:val="20"/>
          <w:szCs w:val="20"/>
        </w:rPr>
        <w:t>ersity</w:t>
      </w:r>
      <w:r w:rsidRPr="00A322F7">
        <w:rPr>
          <w:rFonts w:ascii="Times New Roman" w:hAnsi="Times New Roman"/>
          <w:sz w:val="20"/>
          <w:szCs w:val="20"/>
        </w:rPr>
        <w:t xml:space="preserve"> Press</w:t>
      </w:r>
      <w:r w:rsidR="00407CEE" w:rsidRPr="00A322F7">
        <w:rPr>
          <w:rStyle w:val="Hyperlink"/>
          <w:rFonts w:ascii="Times New Roman" w:hAnsi="Times New Roman"/>
          <w:sz w:val="20"/>
          <w:szCs w:val="20"/>
        </w:rPr>
        <w:t>)</w:t>
      </w:r>
      <w:r w:rsidRPr="00A322F7">
        <w:rPr>
          <w:rFonts w:ascii="Times New Roman" w:hAnsi="Times New Roman"/>
          <w:sz w:val="20"/>
          <w:szCs w:val="20"/>
        </w:rPr>
        <w:t>,35-69.</w:t>
      </w:r>
    </w:p>
    <w:p w:rsidR="001751C4" w:rsidRPr="00A322F7" w:rsidRDefault="001751C4" w:rsidP="00173769">
      <w:pPr>
        <w:contextualSpacing/>
        <w:rPr>
          <w:rFonts w:ascii="Times New Roman" w:hAnsi="Times New Roman"/>
          <w:sz w:val="20"/>
          <w:szCs w:val="20"/>
        </w:rPr>
      </w:pPr>
      <w:r w:rsidRPr="00A322F7">
        <w:rPr>
          <w:rFonts w:ascii="Times New Roman" w:hAnsi="Times New Roman"/>
          <w:sz w:val="20"/>
          <w:szCs w:val="20"/>
        </w:rPr>
        <w:lastRenderedPageBreak/>
        <w:t xml:space="preserve">---, 2004, </w:t>
      </w:r>
      <w:hyperlink r:id="rId28" w:tgtFrame="_parent" w:history="1">
        <w:r w:rsidRPr="00A322F7">
          <w:rPr>
            <w:rStyle w:val="Hyperlink"/>
            <w:rFonts w:ascii="Times New Roman" w:hAnsi="Times New Roman"/>
            <w:sz w:val="20"/>
            <w:szCs w:val="20"/>
          </w:rPr>
          <w:t>"Experience of and Lessons from Exchange Rate Regimes in Emerging Economies,"</w:t>
        </w:r>
      </w:hyperlink>
      <w:r w:rsidRPr="00A322F7">
        <w:rPr>
          <w:rFonts w:ascii="Times New Roman" w:hAnsi="Times New Roman"/>
          <w:sz w:val="20"/>
          <w:szCs w:val="20"/>
        </w:rPr>
        <w:t xml:space="preserve"> </w:t>
      </w:r>
      <w:r w:rsidRPr="00A322F7">
        <w:rPr>
          <w:rFonts w:ascii="Times New Roman" w:hAnsi="Times New Roman"/>
          <w:i/>
          <w:iCs/>
          <w:sz w:val="20"/>
          <w:szCs w:val="20"/>
        </w:rPr>
        <w:t>Monetary and Financial Integration in East Asia: The Way Ahead</w:t>
      </w:r>
      <w:r w:rsidR="004251FD">
        <w:rPr>
          <w:rFonts w:ascii="Times New Roman" w:hAnsi="Times New Roman"/>
          <w:sz w:val="20"/>
          <w:szCs w:val="20"/>
        </w:rPr>
        <w:t>, Asian Development Bank,</w:t>
      </w:r>
      <w:r w:rsidRPr="00A322F7">
        <w:rPr>
          <w:rFonts w:ascii="Times New Roman" w:hAnsi="Times New Roman"/>
          <w:sz w:val="20"/>
          <w:szCs w:val="20"/>
        </w:rPr>
        <w:t xml:space="preserve"> (Palgrave Macmillan), 91-138</w:t>
      </w:r>
      <w:r w:rsidRPr="00A322F7">
        <w:rPr>
          <w:rFonts w:ascii="Times New Roman" w:hAnsi="Times New Roman"/>
          <w:b/>
          <w:bCs/>
          <w:sz w:val="20"/>
          <w:szCs w:val="20"/>
        </w:rPr>
        <w:t>.</w:t>
      </w:r>
    </w:p>
    <w:p w:rsidR="001751C4" w:rsidRPr="00A322F7" w:rsidRDefault="001751C4" w:rsidP="00173769">
      <w:pPr>
        <w:spacing w:before="100" w:beforeAutospacing="1" w:after="100" w:afterAutospacing="1"/>
        <w:contextualSpacing/>
        <w:rPr>
          <w:rFonts w:ascii="Times New Roman" w:hAnsi="Times New Roman"/>
          <w:sz w:val="20"/>
          <w:szCs w:val="20"/>
        </w:rPr>
      </w:pPr>
      <w:r w:rsidRPr="00A322F7">
        <w:rPr>
          <w:rFonts w:ascii="Times New Roman" w:hAnsi="Times New Roman"/>
          <w:color w:val="333333"/>
          <w:sz w:val="20"/>
          <w:szCs w:val="20"/>
        </w:rPr>
        <w:t xml:space="preserve">---, 2011, </w:t>
      </w:r>
      <w:r w:rsidRPr="00A322F7">
        <w:rPr>
          <w:rFonts w:ascii="Times New Roman" w:hAnsi="Times New Roman"/>
          <w:sz w:val="20"/>
          <w:szCs w:val="20"/>
        </w:rPr>
        <w:t>“</w:t>
      </w:r>
      <w:hyperlink r:id="rId29" w:history="1">
        <w:r w:rsidRPr="00A322F7">
          <w:rPr>
            <w:rStyle w:val="Hyperlink"/>
            <w:rFonts w:ascii="Times New Roman" w:hAnsi="Times New Roman"/>
            <w:sz w:val="20"/>
            <w:szCs w:val="20"/>
          </w:rPr>
          <w:t>A Comparison of Product Price Targeting and Other Monetary Anchor Options, for Commodity-Exporters in Latin America</w:t>
        </w:r>
      </w:hyperlink>
      <w:r w:rsidRPr="00A322F7">
        <w:rPr>
          <w:rFonts w:ascii="Times New Roman" w:hAnsi="Times New Roman"/>
          <w:sz w:val="20"/>
          <w:szCs w:val="20"/>
        </w:rPr>
        <w:t>,"  </w:t>
      </w:r>
      <w:hyperlink r:id="rId30" w:history="1">
        <w:r w:rsidRPr="00A322F7">
          <w:rPr>
            <w:rStyle w:val="Hyperlink"/>
            <w:rFonts w:ascii="Times New Roman" w:hAnsi="Times New Roman"/>
            <w:i/>
            <w:iCs/>
            <w:sz w:val="20"/>
            <w:szCs w:val="20"/>
          </w:rPr>
          <w:t>Economia</w:t>
        </w:r>
      </w:hyperlink>
      <w:r w:rsidRPr="00A322F7">
        <w:rPr>
          <w:rFonts w:ascii="Times New Roman" w:hAnsi="Times New Roman"/>
          <w:i/>
          <w:iCs/>
          <w:sz w:val="20"/>
          <w:szCs w:val="20"/>
        </w:rPr>
        <w:t>,</w:t>
      </w:r>
      <w:r w:rsidRPr="00A322F7">
        <w:rPr>
          <w:rFonts w:ascii="Times New Roman" w:hAnsi="Times New Roman"/>
          <w:sz w:val="20"/>
          <w:szCs w:val="20"/>
        </w:rPr>
        <w:t xml:space="preserve"> vol.11 (</w:t>
      </w:r>
      <w:hyperlink r:id="rId31" w:history="1">
        <w:r w:rsidRPr="00A322F7">
          <w:rPr>
            <w:rStyle w:val="Hyperlink"/>
            <w:rFonts w:ascii="Times New Roman" w:hAnsi="Times New Roman"/>
            <w:sz w:val="20"/>
            <w:szCs w:val="20"/>
          </w:rPr>
          <w:t>Brookings Institution</w:t>
        </w:r>
      </w:hyperlink>
      <w:r w:rsidR="00407CEE" w:rsidRPr="00A322F7">
        <w:rPr>
          <w:rFonts w:ascii="Times New Roman" w:hAnsi="Times New Roman"/>
          <w:sz w:val="20"/>
          <w:szCs w:val="20"/>
        </w:rPr>
        <w:t xml:space="preserve">).  </w:t>
      </w:r>
      <w:r w:rsidRPr="00A322F7">
        <w:rPr>
          <w:rFonts w:ascii="Times New Roman" w:hAnsi="Times New Roman"/>
          <w:sz w:val="20"/>
          <w:szCs w:val="20"/>
        </w:rPr>
        <w:t xml:space="preserve">NBER WP </w:t>
      </w:r>
      <w:hyperlink r:id="rId32" w:history="1">
        <w:r w:rsidRPr="00A322F7">
          <w:rPr>
            <w:rStyle w:val="Hyperlink"/>
            <w:rFonts w:ascii="Times New Roman" w:hAnsi="Times New Roman"/>
            <w:sz w:val="20"/>
            <w:szCs w:val="20"/>
          </w:rPr>
          <w:t>16362</w:t>
        </w:r>
      </w:hyperlink>
      <w:r w:rsidRPr="00A322F7">
        <w:rPr>
          <w:rFonts w:ascii="Times New Roman" w:hAnsi="Times New Roman"/>
          <w:sz w:val="20"/>
          <w:szCs w:val="20"/>
        </w:rPr>
        <w:t xml:space="preserve">.    </w:t>
      </w:r>
    </w:p>
    <w:p w:rsidR="00454421" w:rsidRPr="00A322F7" w:rsidRDefault="00454421" w:rsidP="00173769">
      <w:pPr>
        <w:spacing w:before="100" w:beforeAutospacing="1" w:after="100" w:afterAutospacing="1"/>
        <w:contextualSpacing/>
        <w:rPr>
          <w:rFonts w:ascii="Times New Roman" w:hAnsi="Times New Roman"/>
          <w:sz w:val="20"/>
          <w:szCs w:val="20"/>
        </w:rPr>
      </w:pPr>
      <w:r w:rsidRPr="00A322F7">
        <w:rPr>
          <w:rFonts w:ascii="Times New Roman" w:hAnsi="Times New Roman"/>
          <w:sz w:val="20"/>
          <w:szCs w:val="20"/>
        </w:rPr>
        <w:t>---, 2012, “</w:t>
      </w:r>
      <w:hyperlink r:id="rId33" w:history="1">
        <w:r w:rsidRPr="00A322F7">
          <w:rPr>
            <w:rStyle w:val="Hyperlink"/>
            <w:rFonts w:ascii="Times New Roman" w:eastAsia="Times New Roman" w:hAnsi="Times New Roman"/>
            <w:bCs/>
            <w:sz w:val="20"/>
            <w:szCs w:val="20"/>
            <w:bdr w:val="none" w:sz="0" w:space="0" w:color="auto" w:frame="1"/>
            <w:shd w:val="clear" w:color="auto" w:fill="FAFAFA"/>
          </w:rPr>
          <w:t>Inflation Targeting is Dead: Long Live Nominal GDP Targeting</w:t>
        </w:r>
        <w:r w:rsidRPr="00A322F7">
          <w:rPr>
            <w:rStyle w:val="Hyperlink"/>
            <w:rFonts w:ascii="Times New Roman" w:eastAsia="Times New Roman" w:hAnsi="Times New Roman"/>
            <w:sz w:val="20"/>
            <w:szCs w:val="20"/>
          </w:rPr>
          <w:t>,”</w:t>
        </w:r>
      </w:hyperlink>
      <w:hyperlink r:id="rId34" w:history="1">
        <w:r w:rsidRPr="00A322F7">
          <w:rPr>
            <w:rFonts w:ascii="Times New Roman" w:hAnsi="Times New Roman"/>
            <w:i/>
            <w:iCs/>
            <w:color w:val="0000FF"/>
            <w:sz w:val="20"/>
            <w:szCs w:val="20"/>
            <w:u w:val="single"/>
            <w:shd w:val="clear" w:color="auto" w:fill="FFFFFF"/>
            <w:lang w:val="en"/>
          </w:rPr>
          <w:t>VoxEU</w:t>
        </w:r>
      </w:hyperlink>
      <w:r w:rsidRPr="00A322F7">
        <w:rPr>
          <w:rFonts w:ascii="Times New Roman" w:hAnsi="Times New Roman"/>
          <w:color w:val="000000"/>
          <w:sz w:val="20"/>
          <w:szCs w:val="20"/>
          <w:shd w:val="clear" w:color="auto" w:fill="FFFFFF"/>
          <w:lang w:val="en"/>
        </w:rPr>
        <w:t>, </w:t>
      </w:r>
      <w:r w:rsidRPr="00A322F7">
        <w:rPr>
          <w:rFonts w:ascii="Times New Roman" w:eastAsia="Times New Roman" w:hAnsi="Times New Roman"/>
          <w:color w:val="000000"/>
          <w:sz w:val="20"/>
          <w:szCs w:val="20"/>
        </w:rPr>
        <w:t>19 June.</w:t>
      </w:r>
    </w:p>
    <w:p w:rsidR="001751C4" w:rsidRPr="00A322F7" w:rsidRDefault="00F462B3" w:rsidP="00F462B3">
      <w:pPr>
        <w:contextualSpacing/>
        <w:rPr>
          <w:color w:val="000000"/>
          <w:sz w:val="20"/>
          <w:szCs w:val="20"/>
          <w:shd w:val="clear" w:color="auto" w:fill="FFFFFF"/>
          <w:lang w:val="en"/>
        </w:rPr>
      </w:pPr>
      <w:r w:rsidRPr="00A322F7">
        <w:rPr>
          <w:rFonts w:ascii="Times New Roman" w:hAnsi="Times New Roman"/>
          <w:color w:val="000000"/>
          <w:sz w:val="20"/>
          <w:szCs w:val="20"/>
          <w:shd w:val="clear" w:color="auto" w:fill="FFFFFF"/>
          <w:lang w:val="en"/>
        </w:rPr>
        <w:t xml:space="preserve">---, </w:t>
      </w:r>
      <w:r w:rsidRPr="00A322F7">
        <w:rPr>
          <w:rFonts w:ascii="Times New Roman" w:hAnsi="Times New Roman"/>
          <w:color w:val="000000"/>
          <w:sz w:val="20"/>
          <w:szCs w:val="20"/>
        </w:rPr>
        <w:t>2013a</w:t>
      </w:r>
      <w:r w:rsidR="00454421" w:rsidRPr="00A322F7">
        <w:rPr>
          <w:rFonts w:ascii="Times New Roman" w:hAnsi="Times New Roman"/>
          <w:color w:val="000000"/>
          <w:sz w:val="20"/>
          <w:szCs w:val="20"/>
        </w:rPr>
        <w:t>,</w:t>
      </w:r>
      <w:r w:rsidRPr="00A322F7">
        <w:rPr>
          <w:rFonts w:ascii="Times New Roman" w:hAnsi="Times New Roman"/>
          <w:color w:val="000000"/>
          <w:sz w:val="20"/>
          <w:szCs w:val="20"/>
        </w:rPr>
        <w:t xml:space="preserve"> "Nominal-GDP Targets, Without Losing the Inflation Anchor," in </w:t>
      </w:r>
      <w:hyperlink r:id="rId35" w:history="1">
        <w:r w:rsidRPr="00A322F7">
          <w:rPr>
            <w:rStyle w:val="Hyperlink"/>
            <w:rFonts w:ascii="Times New Roman" w:hAnsi="Times New Roman"/>
            <w:i/>
            <w:iCs/>
            <w:sz w:val="20"/>
            <w:szCs w:val="20"/>
          </w:rPr>
          <w:t>Is Inflation Targeting Dead: Central Banking After the Crisis</w:t>
        </w:r>
      </w:hyperlink>
      <w:r w:rsidRPr="00A322F7">
        <w:rPr>
          <w:rFonts w:ascii="Times New Roman" w:hAnsi="Times New Roman"/>
          <w:i/>
          <w:iCs/>
          <w:color w:val="000000"/>
          <w:sz w:val="20"/>
          <w:szCs w:val="20"/>
        </w:rPr>
        <w:t>,</w:t>
      </w:r>
      <w:r w:rsidRPr="00A322F7">
        <w:rPr>
          <w:rFonts w:ascii="Times New Roman" w:hAnsi="Times New Roman"/>
          <w:color w:val="000000"/>
          <w:sz w:val="20"/>
          <w:szCs w:val="20"/>
        </w:rPr>
        <w:t> edited by Lucrezia Reichlin and Richard Baldwin (CEPR: London),  pp.90-94.</w:t>
      </w:r>
      <w:r w:rsidR="001751C4" w:rsidRPr="00A322F7">
        <w:rPr>
          <w:rFonts w:ascii="Times New Roman" w:hAnsi="Times New Roman"/>
          <w:sz w:val="20"/>
          <w:szCs w:val="20"/>
        </w:rPr>
        <w:br/>
      </w:r>
      <w:r w:rsidR="001751C4" w:rsidRPr="00A322F7">
        <w:rPr>
          <w:rFonts w:ascii="Times New Roman" w:hAnsi="Times New Roman"/>
          <w:sz w:val="20"/>
          <w:szCs w:val="20"/>
        </w:rPr>
        <w:tab/>
        <w:t>---, 2013</w:t>
      </w:r>
      <w:r w:rsidRPr="00A322F7">
        <w:rPr>
          <w:rFonts w:ascii="Times New Roman" w:hAnsi="Times New Roman"/>
          <w:sz w:val="20"/>
          <w:szCs w:val="20"/>
        </w:rPr>
        <w:t>b</w:t>
      </w:r>
      <w:r w:rsidR="001751C4" w:rsidRPr="00A322F7">
        <w:rPr>
          <w:rFonts w:ascii="Times New Roman" w:hAnsi="Times New Roman"/>
          <w:sz w:val="20"/>
          <w:szCs w:val="20"/>
        </w:rPr>
        <w:t>,</w:t>
      </w:r>
      <w:r w:rsidR="00E44E1D" w:rsidRPr="00A322F7">
        <w:rPr>
          <w:rFonts w:ascii="Times New Roman" w:hAnsi="Times New Roman"/>
          <w:sz w:val="20"/>
          <w:szCs w:val="20"/>
        </w:rPr>
        <w:t xml:space="preserve"> "</w:t>
      </w:r>
      <w:hyperlink r:id="rId36" w:history="1">
        <w:r w:rsidR="00E44E1D" w:rsidRPr="00A322F7">
          <w:rPr>
            <w:rFonts w:ascii="Times New Roman" w:hAnsi="Times New Roman"/>
            <w:color w:val="0000FF"/>
            <w:sz w:val="20"/>
            <w:szCs w:val="20"/>
            <w:u w:val="single"/>
          </w:rPr>
          <w:t>Exchange Rate and Monetary Policy for Kazakhstan in Light of Resource Exports</w:t>
        </w:r>
      </w:hyperlink>
      <w:r w:rsidR="00E44E1D" w:rsidRPr="00A322F7">
        <w:rPr>
          <w:rFonts w:ascii="Times New Roman" w:hAnsi="Times New Roman"/>
          <w:sz w:val="20"/>
          <w:szCs w:val="20"/>
        </w:rPr>
        <w:t>,"</w:t>
      </w:r>
      <w:r w:rsidR="00E44E1D" w:rsidRPr="00A322F7">
        <w:rPr>
          <w:rFonts w:ascii="Times New Roman" w:hAnsi="Times New Roman"/>
          <w:color w:val="000000"/>
          <w:sz w:val="20"/>
          <w:szCs w:val="20"/>
        </w:rPr>
        <w:t xml:space="preserve"> H</w:t>
      </w:r>
      <w:r w:rsidR="002E24EF" w:rsidRPr="00A322F7">
        <w:rPr>
          <w:rFonts w:ascii="Times New Roman" w:hAnsi="Times New Roman"/>
          <w:bCs/>
          <w:sz w:val="20"/>
          <w:szCs w:val="20"/>
        </w:rPr>
        <w:t>arvard</w:t>
      </w:r>
      <w:r w:rsidRPr="00A322F7">
        <w:rPr>
          <w:rFonts w:ascii="Times New Roman" w:hAnsi="Times New Roman"/>
          <w:bCs/>
          <w:sz w:val="20"/>
          <w:szCs w:val="20"/>
        </w:rPr>
        <w:t xml:space="preserve"> Uni</w:t>
      </w:r>
      <w:r w:rsidR="004251FD">
        <w:rPr>
          <w:rFonts w:ascii="Times New Roman" w:hAnsi="Times New Roman"/>
          <w:bCs/>
          <w:sz w:val="20"/>
          <w:szCs w:val="20"/>
        </w:rPr>
        <w:t>v</w:t>
      </w:r>
      <w:r w:rsidR="00A322F7">
        <w:rPr>
          <w:rFonts w:ascii="Times New Roman" w:hAnsi="Times New Roman"/>
          <w:bCs/>
          <w:sz w:val="20"/>
          <w:szCs w:val="20"/>
        </w:rPr>
        <w:t>ersity</w:t>
      </w:r>
      <w:r w:rsidR="00E44E1D" w:rsidRPr="00A322F7">
        <w:rPr>
          <w:rFonts w:ascii="Times New Roman" w:hAnsi="Times New Roman"/>
          <w:bCs/>
          <w:sz w:val="20"/>
          <w:szCs w:val="20"/>
        </w:rPr>
        <w:t>, Dec</w:t>
      </w:r>
      <w:r w:rsidRPr="00A322F7">
        <w:rPr>
          <w:rFonts w:ascii="Times New Roman" w:hAnsi="Times New Roman"/>
          <w:bCs/>
          <w:sz w:val="20"/>
          <w:szCs w:val="20"/>
        </w:rPr>
        <w:t>.</w:t>
      </w:r>
    </w:p>
    <w:p w:rsidR="001751C4" w:rsidRPr="00A322F7" w:rsidRDefault="001751C4" w:rsidP="00173769">
      <w:pPr>
        <w:spacing w:before="225" w:after="450"/>
        <w:contextualSpacing/>
        <w:outlineLvl w:val="1"/>
        <w:rPr>
          <w:rFonts w:ascii="Times New Roman" w:hAnsi="Times New Roman"/>
          <w:i/>
          <w:iCs/>
          <w:sz w:val="20"/>
          <w:szCs w:val="20"/>
        </w:rPr>
      </w:pPr>
      <w:r w:rsidRPr="00A322F7">
        <w:rPr>
          <w:rFonts w:ascii="Times New Roman" w:hAnsi="Times New Roman"/>
          <w:sz w:val="20"/>
          <w:szCs w:val="20"/>
        </w:rPr>
        <w:t>Frankel, Jeffrey, Ben Smit, and Federico Sturzenegger, 2008, "</w:t>
      </w:r>
      <w:hyperlink r:id="rId37" w:history="1">
        <w:r w:rsidRPr="00A322F7">
          <w:rPr>
            <w:rStyle w:val="Hyperlink"/>
            <w:rFonts w:ascii="Times New Roman" w:hAnsi="Times New Roman"/>
            <w:sz w:val="20"/>
            <w:szCs w:val="20"/>
          </w:rPr>
          <w:t>Fiscal and Monetary Policy in a Commodity Based Economy</w:t>
        </w:r>
      </w:hyperlink>
      <w:r w:rsidRPr="00A322F7">
        <w:rPr>
          <w:rFonts w:ascii="Times New Roman" w:hAnsi="Times New Roman"/>
          <w:sz w:val="20"/>
          <w:szCs w:val="20"/>
        </w:rPr>
        <w:t>,"  </w:t>
      </w:r>
      <w:hyperlink r:id="rId38" w:history="1">
        <w:r w:rsidRPr="00A322F7">
          <w:rPr>
            <w:rStyle w:val="Hyperlink"/>
            <w:rFonts w:ascii="Times New Roman" w:hAnsi="Times New Roman"/>
            <w:i/>
            <w:iCs/>
            <w:sz w:val="20"/>
            <w:szCs w:val="20"/>
          </w:rPr>
          <w:t>Economics of Transition</w:t>
        </w:r>
      </w:hyperlink>
      <w:hyperlink r:id="rId39" w:history="1">
        <w:r w:rsidRPr="00A322F7">
          <w:rPr>
            <w:rStyle w:val="Hyperlink"/>
            <w:rFonts w:ascii="Times New Roman" w:hAnsi="Times New Roman"/>
            <w:color w:val="00000B"/>
            <w:sz w:val="20"/>
            <w:szCs w:val="20"/>
          </w:rPr>
          <w:t> </w:t>
        </w:r>
        <w:r w:rsidRPr="00A322F7">
          <w:rPr>
            <w:rStyle w:val="Hyperlink"/>
            <w:rFonts w:ascii="Times New Roman" w:hAnsi="Times New Roman"/>
            <w:color w:val="00000B"/>
            <w:sz w:val="20"/>
            <w:szCs w:val="20"/>
            <w:u w:val="none"/>
          </w:rPr>
          <w:t>16, Issue 4, pp. 679-713, Oct.</w:t>
        </w:r>
      </w:hyperlink>
      <w:r w:rsidRPr="00A322F7">
        <w:rPr>
          <w:sz w:val="20"/>
          <w:szCs w:val="20"/>
        </w:rPr>
        <w:t xml:space="preserve"> </w:t>
      </w:r>
      <w:r w:rsidRPr="00A322F7">
        <w:rPr>
          <w:rFonts w:ascii="Times New Roman" w:hAnsi="Times New Roman"/>
          <w:sz w:val="20"/>
          <w:szCs w:val="20"/>
        </w:rPr>
        <w:t>(Blackwell)</w:t>
      </w:r>
      <w:r w:rsidRPr="00A322F7">
        <w:rPr>
          <w:rFonts w:ascii="Times New Roman" w:hAnsi="Times New Roman"/>
          <w:i/>
          <w:iCs/>
          <w:sz w:val="20"/>
          <w:szCs w:val="20"/>
        </w:rPr>
        <w:t>.</w:t>
      </w:r>
    </w:p>
    <w:p w:rsidR="00B377A6" w:rsidRPr="00A322F7" w:rsidRDefault="00B377A6" w:rsidP="00173769">
      <w:pPr>
        <w:spacing w:before="225" w:after="450"/>
        <w:contextualSpacing/>
        <w:outlineLvl w:val="1"/>
        <w:rPr>
          <w:rFonts w:ascii="Times New Roman" w:hAnsi="Times New Roman"/>
          <w:iCs/>
          <w:sz w:val="20"/>
          <w:szCs w:val="20"/>
        </w:rPr>
      </w:pPr>
      <w:r w:rsidRPr="00A322F7">
        <w:rPr>
          <w:rFonts w:ascii="Times New Roman" w:hAnsi="Times New Roman"/>
          <w:iCs/>
          <w:sz w:val="20"/>
          <w:szCs w:val="20"/>
        </w:rPr>
        <w:t>International Monetary Fund, 2011, “</w:t>
      </w:r>
      <w:hyperlink r:id="rId40" w:history="1">
        <w:r w:rsidRPr="00A322F7">
          <w:rPr>
            <w:rStyle w:val="Hyperlink"/>
            <w:rFonts w:ascii="Times New Roman" w:hAnsi="Times New Roman"/>
            <w:iCs/>
            <w:sz w:val="20"/>
            <w:szCs w:val="20"/>
          </w:rPr>
          <w:t>Managing Volatility: A Vulnerability Exercise for Low-Income Countries</w:t>
        </w:r>
      </w:hyperlink>
      <w:r w:rsidRPr="00A322F7">
        <w:rPr>
          <w:rFonts w:ascii="Times New Roman" w:hAnsi="Times New Roman"/>
          <w:iCs/>
          <w:sz w:val="20"/>
          <w:szCs w:val="20"/>
        </w:rPr>
        <w:t xml:space="preserve">,” March 9.  </w:t>
      </w:r>
    </w:p>
    <w:p w:rsidR="001751C4" w:rsidRPr="00A322F7" w:rsidRDefault="001751C4" w:rsidP="00173769">
      <w:pPr>
        <w:contextualSpacing/>
        <w:jc w:val="both"/>
        <w:rPr>
          <w:rFonts w:ascii="Times New Roman" w:hAnsi="Times New Roman"/>
          <w:sz w:val="20"/>
          <w:szCs w:val="20"/>
        </w:rPr>
      </w:pPr>
      <w:r w:rsidRPr="00A322F7">
        <w:rPr>
          <w:rFonts w:ascii="Times New Roman" w:hAnsi="Times New Roman"/>
          <w:sz w:val="20"/>
          <w:szCs w:val="20"/>
        </w:rPr>
        <w:t>McKibbin, Warwick, and Kanhaiya Singh,</w:t>
      </w:r>
      <w:r w:rsidR="00A322F7" w:rsidRPr="00A322F7">
        <w:rPr>
          <w:rFonts w:ascii="Times New Roman" w:hAnsi="Times New Roman"/>
          <w:sz w:val="20"/>
          <w:szCs w:val="20"/>
        </w:rPr>
        <w:t xml:space="preserve"> 2003,</w:t>
      </w:r>
      <w:r w:rsidRPr="00A322F7">
        <w:rPr>
          <w:rFonts w:ascii="Times New Roman" w:hAnsi="Times New Roman"/>
          <w:sz w:val="20"/>
          <w:szCs w:val="20"/>
        </w:rPr>
        <w:t xml:space="preserve"> “Issues in the Choice of a Monetary Regime for India,” </w:t>
      </w:r>
      <w:r w:rsidRPr="00A322F7">
        <w:rPr>
          <w:rFonts w:ascii="Times New Roman" w:hAnsi="Times New Roman"/>
          <w:i/>
          <w:iCs/>
          <w:sz w:val="20"/>
          <w:szCs w:val="20"/>
        </w:rPr>
        <w:t xml:space="preserve">Brookings Discussion Papers in International Economics No. 154, </w:t>
      </w:r>
      <w:r w:rsidR="00407CEE" w:rsidRPr="00A322F7">
        <w:rPr>
          <w:rFonts w:ascii="Times New Roman" w:hAnsi="Times New Roman"/>
          <w:sz w:val="20"/>
          <w:szCs w:val="20"/>
        </w:rPr>
        <w:t>September</w:t>
      </w:r>
      <w:r w:rsidRPr="00A322F7">
        <w:rPr>
          <w:rFonts w:ascii="Times New Roman" w:hAnsi="Times New Roman"/>
          <w:sz w:val="20"/>
          <w:szCs w:val="20"/>
        </w:rPr>
        <w:t>.</w:t>
      </w:r>
    </w:p>
    <w:p w:rsidR="00407CEE" w:rsidRPr="00A322F7" w:rsidRDefault="00A322F7" w:rsidP="00173769">
      <w:pPr>
        <w:ind w:left="720" w:firstLine="0"/>
        <w:contextualSpacing/>
        <w:rPr>
          <w:rFonts w:ascii="Times New Roman" w:hAnsi="Times New Roman"/>
          <w:sz w:val="20"/>
          <w:szCs w:val="20"/>
        </w:rPr>
      </w:pPr>
      <w:r w:rsidRPr="00A322F7">
        <w:rPr>
          <w:rFonts w:ascii="Times New Roman" w:hAnsi="Times New Roman"/>
          <w:sz w:val="20"/>
          <w:szCs w:val="20"/>
        </w:rPr>
        <w:t xml:space="preserve">Meade, James, </w:t>
      </w:r>
      <w:r w:rsidR="001751C4" w:rsidRPr="00A322F7">
        <w:rPr>
          <w:rFonts w:ascii="Times New Roman" w:hAnsi="Times New Roman"/>
          <w:sz w:val="20"/>
          <w:szCs w:val="20"/>
        </w:rPr>
        <w:t>1978, “</w:t>
      </w:r>
      <w:hyperlink r:id="rId41" w:history="1">
        <w:r w:rsidR="001751C4" w:rsidRPr="00A322F7">
          <w:rPr>
            <w:rFonts w:ascii="Times New Roman" w:hAnsi="Times New Roman"/>
            <w:color w:val="085A92"/>
            <w:sz w:val="20"/>
            <w:szCs w:val="20"/>
          </w:rPr>
          <w:t>The Meaning of Internal Balance</w:t>
        </w:r>
      </w:hyperlink>
      <w:r w:rsidR="001751C4" w:rsidRPr="00A322F7">
        <w:rPr>
          <w:rFonts w:ascii="Times New Roman" w:hAnsi="Times New Roman"/>
          <w:sz w:val="20"/>
          <w:szCs w:val="20"/>
        </w:rPr>
        <w:t xml:space="preserve">,” </w:t>
      </w:r>
      <w:r w:rsidR="001751C4" w:rsidRPr="00A322F7">
        <w:rPr>
          <w:rFonts w:ascii="Times New Roman" w:hAnsi="Times New Roman"/>
          <w:i/>
          <w:iCs/>
          <w:sz w:val="20"/>
          <w:szCs w:val="20"/>
        </w:rPr>
        <w:t>The Economic Journal</w:t>
      </w:r>
      <w:r w:rsidR="001751C4" w:rsidRPr="00A322F7">
        <w:rPr>
          <w:rFonts w:ascii="Times New Roman" w:hAnsi="Times New Roman"/>
          <w:sz w:val="20"/>
          <w:szCs w:val="20"/>
        </w:rPr>
        <w:t>, 88:423-435.</w:t>
      </w:r>
    </w:p>
    <w:p w:rsidR="00C0412F" w:rsidRPr="00A322F7" w:rsidRDefault="001751C4" w:rsidP="00173769">
      <w:pPr>
        <w:contextualSpacing/>
        <w:rPr>
          <w:rFonts w:ascii="Times New Roman" w:hAnsi="Times New Roman"/>
          <w:sz w:val="20"/>
          <w:szCs w:val="20"/>
        </w:rPr>
      </w:pPr>
      <w:r w:rsidRPr="00A322F7">
        <w:rPr>
          <w:rFonts w:ascii="Times New Roman" w:hAnsi="Times New Roman"/>
          <w:sz w:val="20"/>
          <w:szCs w:val="20"/>
        </w:rPr>
        <w:t xml:space="preserve">Mishkin, Frederic, 2000, “Inflation Targeting in Emerging Market Countries,” </w:t>
      </w:r>
      <w:r w:rsidRPr="00A322F7">
        <w:rPr>
          <w:rFonts w:ascii="Times New Roman" w:hAnsi="Times New Roman"/>
          <w:i/>
          <w:sz w:val="20"/>
          <w:szCs w:val="20"/>
        </w:rPr>
        <w:t>American Economic Review</w:t>
      </w:r>
      <w:r w:rsidRPr="00A322F7">
        <w:rPr>
          <w:rFonts w:ascii="Times New Roman" w:hAnsi="Times New Roman"/>
          <w:sz w:val="20"/>
          <w:szCs w:val="20"/>
        </w:rPr>
        <w:t>,</w:t>
      </w:r>
      <w:r w:rsidR="00A322F7">
        <w:rPr>
          <w:rFonts w:ascii="Times New Roman" w:hAnsi="Times New Roman"/>
          <w:sz w:val="20"/>
          <w:szCs w:val="20"/>
        </w:rPr>
        <w:t xml:space="preserve"> 90,no.2</w:t>
      </w:r>
      <w:r w:rsidR="00173769" w:rsidRPr="00A322F7">
        <w:rPr>
          <w:rFonts w:ascii="Times New Roman" w:hAnsi="Times New Roman"/>
          <w:sz w:val="20"/>
          <w:szCs w:val="20"/>
        </w:rPr>
        <w:t>, 105–</w:t>
      </w:r>
      <w:r w:rsidR="00407CEE" w:rsidRPr="00A322F7">
        <w:rPr>
          <w:rFonts w:ascii="Times New Roman" w:hAnsi="Times New Roman"/>
          <w:sz w:val="20"/>
          <w:szCs w:val="20"/>
        </w:rPr>
        <w:t xml:space="preserve">09. </w:t>
      </w:r>
    </w:p>
    <w:p w:rsidR="00150EF0" w:rsidRPr="00A322F7" w:rsidRDefault="00C0412F" w:rsidP="00855F8F">
      <w:pPr>
        <w:contextualSpacing/>
        <w:rPr>
          <w:rFonts w:ascii="Times New Roman" w:hAnsi="Times New Roman"/>
          <w:sz w:val="20"/>
          <w:szCs w:val="20"/>
        </w:rPr>
      </w:pPr>
      <w:r w:rsidRPr="00A322F7">
        <w:rPr>
          <w:rFonts w:ascii="Times New Roman" w:hAnsi="Times New Roman"/>
          <w:sz w:val="20"/>
          <w:szCs w:val="20"/>
        </w:rPr>
        <w:t>Natarajan,</w:t>
      </w:r>
      <w:r w:rsidR="00855F8F" w:rsidRPr="00A322F7">
        <w:rPr>
          <w:rFonts w:ascii="Times New Roman" w:hAnsi="Times New Roman"/>
          <w:sz w:val="20"/>
          <w:szCs w:val="20"/>
        </w:rPr>
        <w:t xml:space="preserve"> Gulzar, 2014,”The NGDP Targeting Case for Accommodating Exogenous Shocks in Developing Countries</w:t>
      </w:r>
      <w:r w:rsidRPr="00A322F7">
        <w:rPr>
          <w:rFonts w:ascii="Times New Roman" w:hAnsi="Times New Roman"/>
          <w:sz w:val="20"/>
          <w:szCs w:val="20"/>
        </w:rPr>
        <w:t>,</w:t>
      </w:r>
      <w:r w:rsidR="00855F8F" w:rsidRPr="00A322F7">
        <w:rPr>
          <w:rFonts w:ascii="Times New Roman" w:hAnsi="Times New Roman"/>
          <w:sz w:val="20"/>
          <w:szCs w:val="20"/>
        </w:rPr>
        <w:t>” Second Year Policy Analysis, MPA/ID Program, Harvard Kennedy School, April.</w:t>
      </w:r>
      <w:r w:rsidR="001751C4" w:rsidRPr="00A322F7">
        <w:rPr>
          <w:rFonts w:ascii="Times New Roman" w:hAnsi="Times New Roman"/>
          <w:sz w:val="20"/>
          <w:szCs w:val="20"/>
        </w:rPr>
        <w:br/>
      </w:r>
      <w:r w:rsidR="001751C4" w:rsidRPr="00A322F7">
        <w:rPr>
          <w:rFonts w:ascii="Times New Roman" w:hAnsi="Times New Roman"/>
          <w:sz w:val="20"/>
          <w:szCs w:val="20"/>
        </w:rPr>
        <w:tab/>
      </w:r>
      <w:r w:rsidR="001751C4" w:rsidRPr="00A322F7">
        <w:rPr>
          <w:rFonts w:ascii="Times New Roman" w:hAnsi="Times New Roman"/>
          <w:bCs/>
          <w:kern w:val="32"/>
          <w:sz w:val="20"/>
          <w:szCs w:val="20"/>
        </w:rPr>
        <w:t>Rafiq, M.S., 2011, “Sources of Economic Fluctuations in Oil-Exporting Economies: Implic</w:t>
      </w:r>
      <w:r w:rsidR="00407CEE" w:rsidRPr="00A322F7">
        <w:rPr>
          <w:rFonts w:ascii="Times New Roman" w:hAnsi="Times New Roman"/>
          <w:bCs/>
          <w:kern w:val="32"/>
          <w:sz w:val="20"/>
          <w:szCs w:val="20"/>
        </w:rPr>
        <w:t>ations for Choice of Exchange R</w:t>
      </w:r>
      <w:r w:rsidR="001751C4" w:rsidRPr="00A322F7">
        <w:rPr>
          <w:rFonts w:ascii="Times New Roman" w:hAnsi="Times New Roman"/>
          <w:bCs/>
          <w:kern w:val="32"/>
          <w:sz w:val="20"/>
          <w:szCs w:val="20"/>
        </w:rPr>
        <w:t xml:space="preserve">ate Regimes,” </w:t>
      </w:r>
      <w:r w:rsidR="001751C4" w:rsidRPr="00A322F7">
        <w:rPr>
          <w:rFonts w:ascii="Times New Roman" w:hAnsi="Times New Roman"/>
          <w:bCs/>
          <w:i/>
          <w:kern w:val="32"/>
          <w:sz w:val="20"/>
          <w:szCs w:val="20"/>
        </w:rPr>
        <w:t>International Journal of Economics and Finance</w:t>
      </w:r>
      <w:r w:rsidR="00407CEE" w:rsidRPr="00A322F7">
        <w:rPr>
          <w:rFonts w:ascii="Times New Roman" w:hAnsi="Times New Roman"/>
          <w:bCs/>
          <w:kern w:val="32"/>
          <w:sz w:val="20"/>
          <w:szCs w:val="20"/>
        </w:rPr>
        <w:t xml:space="preserve"> vol.16, 1, Jan.,</w:t>
      </w:r>
      <w:r w:rsidR="001751C4" w:rsidRPr="00A322F7">
        <w:rPr>
          <w:rFonts w:ascii="Times New Roman" w:hAnsi="Times New Roman"/>
          <w:bCs/>
          <w:kern w:val="32"/>
          <w:sz w:val="20"/>
          <w:szCs w:val="20"/>
        </w:rPr>
        <w:t xml:space="preserve"> 70-91</w:t>
      </w:r>
      <w:r w:rsidR="00A05910" w:rsidRPr="00A322F7">
        <w:rPr>
          <w:rFonts w:ascii="Times New Roman" w:hAnsi="Times New Roman"/>
          <w:bCs/>
          <w:kern w:val="32"/>
          <w:sz w:val="20"/>
          <w:szCs w:val="20"/>
        </w:rPr>
        <w:t>.</w:t>
      </w:r>
      <w:r w:rsidR="00A05910" w:rsidRPr="00A322F7">
        <w:rPr>
          <w:rFonts w:ascii="Times New Roman" w:hAnsi="Times New Roman"/>
          <w:sz w:val="20"/>
          <w:szCs w:val="20"/>
        </w:rPr>
        <w:br/>
        <w:t xml:space="preserve">               </w:t>
      </w:r>
      <w:r w:rsidR="001751C4" w:rsidRPr="00A322F7">
        <w:rPr>
          <w:rFonts w:ascii="Times New Roman" w:hAnsi="Times New Roman"/>
          <w:sz w:val="20"/>
          <w:szCs w:val="20"/>
        </w:rPr>
        <w:t xml:space="preserve">Ramcharan, Rodney, 2007, “Does the Exchange Rate Regime Matter for Real Shocks? Evidence from Windstorms and Earthquakes,” </w:t>
      </w:r>
      <w:hyperlink r:id="rId42" w:history="1">
        <w:r w:rsidR="001751C4" w:rsidRPr="00A322F7">
          <w:rPr>
            <w:rFonts w:ascii="Times New Roman" w:hAnsi="Times New Roman"/>
            <w:bCs/>
            <w:i/>
            <w:sz w:val="20"/>
            <w:szCs w:val="20"/>
          </w:rPr>
          <w:t>Journal of International Economics</w:t>
        </w:r>
      </w:hyperlink>
      <w:r w:rsidR="001751C4" w:rsidRPr="00A322F7">
        <w:rPr>
          <w:sz w:val="20"/>
          <w:szCs w:val="20"/>
        </w:rPr>
        <w:t xml:space="preserve">, vol. </w:t>
      </w:r>
      <w:hyperlink r:id="rId43" w:history="1">
        <w:r w:rsidR="001751C4" w:rsidRPr="00A322F7">
          <w:rPr>
            <w:rFonts w:ascii="Times New Roman" w:hAnsi="Times New Roman"/>
            <w:sz w:val="20"/>
            <w:szCs w:val="20"/>
          </w:rPr>
          <w:t>73, no. 1</w:t>
        </w:r>
      </w:hyperlink>
      <w:r w:rsidR="001751C4" w:rsidRPr="00A322F7">
        <w:rPr>
          <w:rFonts w:ascii="Times New Roman" w:hAnsi="Times New Roman"/>
          <w:sz w:val="20"/>
          <w:szCs w:val="20"/>
        </w:rPr>
        <w:t>, pp. 31–47.</w:t>
      </w:r>
      <w:r w:rsidR="00CA22B3" w:rsidRPr="00A322F7">
        <w:rPr>
          <w:rFonts w:ascii="Times New Roman" w:hAnsi="Times New Roman"/>
          <w:bCs/>
          <w:kern w:val="32"/>
          <w:sz w:val="20"/>
          <w:szCs w:val="20"/>
        </w:rPr>
        <w:br/>
      </w:r>
      <w:r w:rsidR="00CA22B3" w:rsidRPr="00A322F7">
        <w:rPr>
          <w:rFonts w:ascii="Times New Roman" w:hAnsi="Times New Roman"/>
          <w:sz w:val="20"/>
          <w:szCs w:val="20"/>
        </w:rPr>
        <w:t xml:space="preserve">                </w:t>
      </w:r>
      <w:r w:rsidR="001751C4" w:rsidRPr="00A322F7">
        <w:rPr>
          <w:rFonts w:ascii="Times New Roman" w:hAnsi="Times New Roman"/>
          <w:sz w:val="20"/>
          <w:szCs w:val="20"/>
        </w:rPr>
        <w:t>Rogoff, Kenneth</w:t>
      </w:r>
      <w:r w:rsidR="00AC5EC4">
        <w:rPr>
          <w:rFonts w:ascii="Times New Roman" w:hAnsi="Times New Roman"/>
          <w:sz w:val="20"/>
          <w:szCs w:val="20"/>
        </w:rPr>
        <w:t xml:space="preserve">, 1985, “The Optimal Degree of </w:t>
      </w:r>
      <w:r w:rsidR="001751C4" w:rsidRPr="00A322F7">
        <w:rPr>
          <w:rFonts w:ascii="Times New Roman" w:hAnsi="Times New Roman"/>
          <w:sz w:val="20"/>
          <w:szCs w:val="20"/>
        </w:rPr>
        <w:t xml:space="preserve">Commitment to an Intermediate Monetary Target,” </w:t>
      </w:r>
      <w:r w:rsidR="001751C4" w:rsidRPr="00A322F7">
        <w:rPr>
          <w:rFonts w:ascii="Times New Roman" w:hAnsi="Times New Roman"/>
          <w:i/>
          <w:sz w:val="20"/>
          <w:szCs w:val="20"/>
        </w:rPr>
        <w:t>Quarterly Journal of Economics</w:t>
      </w:r>
      <w:r w:rsidR="001751C4" w:rsidRPr="00A322F7">
        <w:rPr>
          <w:rFonts w:ascii="Times New Roman" w:hAnsi="Times New Roman"/>
          <w:sz w:val="20"/>
          <w:szCs w:val="20"/>
        </w:rPr>
        <w:t>,100, Nov.: 1169-1189.</w:t>
      </w:r>
      <w:r w:rsidR="00CA22B3" w:rsidRPr="00A322F7">
        <w:rPr>
          <w:rFonts w:ascii="Times New Roman" w:hAnsi="Times New Roman"/>
          <w:bCs/>
          <w:kern w:val="32"/>
          <w:sz w:val="20"/>
          <w:szCs w:val="20"/>
        </w:rPr>
        <w:br/>
      </w:r>
      <w:r w:rsidR="00855F8F" w:rsidRPr="00A322F7">
        <w:rPr>
          <w:rStyle w:val="a"/>
          <w:rFonts w:ascii="Times New Roman" w:hAnsi="Times New Roman"/>
          <w:bCs/>
          <w:sz w:val="20"/>
          <w:szCs w:val="20"/>
        </w:rPr>
        <w:t xml:space="preserve">                </w:t>
      </w:r>
      <w:r w:rsidR="001751C4" w:rsidRPr="00A322F7">
        <w:rPr>
          <w:rStyle w:val="a"/>
          <w:rFonts w:ascii="Times New Roman" w:hAnsi="Times New Roman"/>
          <w:bCs/>
          <w:sz w:val="20"/>
          <w:szCs w:val="20"/>
        </w:rPr>
        <w:t>Svensson, Lars,</w:t>
      </w:r>
      <w:r w:rsidR="001751C4" w:rsidRPr="00A322F7">
        <w:rPr>
          <w:rFonts w:ascii="Times New Roman" w:hAnsi="Times New Roman"/>
          <w:sz w:val="20"/>
          <w:szCs w:val="20"/>
        </w:rPr>
        <w:t xml:space="preserve"> 2000, “</w:t>
      </w:r>
      <w:hyperlink r:id="rId44" w:history="1">
        <w:r w:rsidR="001751C4" w:rsidRPr="00A322F7">
          <w:rPr>
            <w:rFonts w:ascii="Times New Roman" w:hAnsi="Times New Roman"/>
            <w:bCs/>
            <w:sz w:val="20"/>
            <w:szCs w:val="20"/>
          </w:rPr>
          <w:t>Open-Economy Inflation Targeting</w:t>
        </w:r>
      </w:hyperlink>
      <w:r w:rsidR="001751C4" w:rsidRPr="00A322F7">
        <w:rPr>
          <w:rFonts w:ascii="Times New Roman" w:hAnsi="Times New Roman"/>
          <w:bCs/>
          <w:sz w:val="20"/>
          <w:szCs w:val="20"/>
        </w:rPr>
        <w:t xml:space="preserve">,” </w:t>
      </w:r>
      <w:r w:rsidR="001751C4" w:rsidRPr="00A322F7">
        <w:rPr>
          <w:rStyle w:val="a"/>
          <w:rFonts w:ascii="Times New Roman" w:hAnsi="Times New Roman"/>
          <w:i/>
          <w:sz w:val="20"/>
          <w:szCs w:val="20"/>
        </w:rPr>
        <w:t>Journal of International Economics</w:t>
      </w:r>
      <w:hyperlink r:id="rId45" w:history="1">
        <w:r w:rsidR="001751C4" w:rsidRPr="00A322F7">
          <w:rPr>
            <w:rFonts w:ascii="Times New Roman" w:hAnsi="Times New Roman"/>
            <w:sz w:val="20"/>
            <w:szCs w:val="20"/>
          </w:rPr>
          <w:t xml:space="preserve"> 50, no.1</w:t>
        </w:r>
      </w:hyperlink>
      <w:r w:rsidR="001751C4" w:rsidRPr="00A322F7">
        <w:rPr>
          <w:rFonts w:ascii="Times New Roman" w:hAnsi="Times New Roman"/>
          <w:color w:val="000000"/>
          <w:sz w:val="20"/>
          <w:szCs w:val="20"/>
        </w:rPr>
        <w:t>, 155–183.</w:t>
      </w:r>
      <w:r w:rsidR="00CA22B3" w:rsidRPr="00A322F7">
        <w:rPr>
          <w:rFonts w:ascii="Times New Roman" w:hAnsi="Times New Roman"/>
          <w:color w:val="000000"/>
          <w:sz w:val="20"/>
          <w:szCs w:val="20"/>
        </w:rPr>
        <w:br/>
      </w:r>
      <w:r w:rsidR="00CA22B3" w:rsidRPr="00A322F7">
        <w:rPr>
          <w:rFonts w:ascii="Times New Roman" w:hAnsi="Times New Roman"/>
          <w:color w:val="000000"/>
          <w:sz w:val="20"/>
          <w:szCs w:val="20"/>
        </w:rPr>
        <w:tab/>
        <w:t xml:space="preserve">Taylor, John, </w:t>
      </w:r>
      <w:r w:rsidR="00150EF0" w:rsidRPr="00A322F7">
        <w:rPr>
          <w:rFonts w:ascii="Times New Roman" w:eastAsia="Times New Roman" w:hAnsi="Times New Roman"/>
          <w:sz w:val="20"/>
          <w:szCs w:val="20"/>
          <w:lang w:eastAsia="ko-KR"/>
        </w:rPr>
        <w:t xml:space="preserve">1993, </w:t>
      </w:r>
      <w:hyperlink r:id="rId46" w:history="1">
        <w:r w:rsidR="00150EF0" w:rsidRPr="00A322F7">
          <w:rPr>
            <w:rFonts w:ascii="Times New Roman" w:eastAsia="Times New Roman" w:hAnsi="Times New Roman"/>
            <w:color w:val="0000FF"/>
            <w:sz w:val="20"/>
            <w:szCs w:val="20"/>
            <w:u w:val="single"/>
            <w:lang w:eastAsia="ko-KR"/>
          </w:rPr>
          <w:t>"Discretion versus Policy Rules in Practice,"</w:t>
        </w:r>
      </w:hyperlink>
      <w:r w:rsidR="00150EF0" w:rsidRPr="00A322F7">
        <w:rPr>
          <w:rFonts w:ascii="Times New Roman" w:eastAsia="Times New Roman" w:hAnsi="Times New Roman"/>
          <w:sz w:val="20"/>
          <w:szCs w:val="20"/>
          <w:lang w:eastAsia="ko-KR"/>
        </w:rPr>
        <w:t xml:space="preserve"> </w:t>
      </w:r>
      <w:r w:rsidR="00150EF0" w:rsidRPr="00A322F7">
        <w:rPr>
          <w:rFonts w:ascii="Times New Roman" w:eastAsia="Times New Roman" w:hAnsi="Times New Roman"/>
          <w:i/>
          <w:iCs/>
          <w:sz w:val="20"/>
          <w:szCs w:val="20"/>
          <w:lang w:eastAsia="ko-KR"/>
        </w:rPr>
        <w:t>Carnegie-Rochester Conference Series on Public Policy</w:t>
      </w:r>
      <w:r w:rsidR="00150EF0" w:rsidRPr="00A322F7">
        <w:rPr>
          <w:rFonts w:ascii="Times New Roman" w:eastAsia="Times New Roman" w:hAnsi="Times New Roman"/>
          <w:sz w:val="20"/>
          <w:szCs w:val="20"/>
          <w:lang w:eastAsia="ko-KR"/>
        </w:rPr>
        <w:t xml:space="preserve"> </w:t>
      </w:r>
      <w:r w:rsidR="00150EF0" w:rsidRPr="00A322F7">
        <w:rPr>
          <w:rFonts w:ascii="Times New Roman" w:eastAsia="Times New Roman" w:hAnsi="Times New Roman"/>
          <w:bCs/>
          <w:sz w:val="20"/>
          <w:szCs w:val="20"/>
          <w:lang w:eastAsia="ko-KR"/>
        </w:rPr>
        <w:t>39</w:t>
      </w:r>
      <w:r w:rsidR="00150EF0" w:rsidRPr="00A322F7">
        <w:rPr>
          <w:rFonts w:ascii="Times New Roman" w:eastAsia="Times New Roman" w:hAnsi="Times New Roman"/>
          <w:sz w:val="20"/>
          <w:szCs w:val="20"/>
          <w:lang w:eastAsia="ko-KR"/>
        </w:rPr>
        <w:t>: 195–214.</w:t>
      </w:r>
    </w:p>
    <w:p w:rsidR="00150EF0" w:rsidRPr="00A322F7" w:rsidRDefault="00150EF0" w:rsidP="00855F8F">
      <w:pPr>
        <w:contextualSpacing/>
        <w:rPr>
          <w:rFonts w:ascii="Times New Roman" w:eastAsia="Times New Roman" w:hAnsi="Times New Roman"/>
          <w:sz w:val="20"/>
          <w:szCs w:val="20"/>
          <w:lang w:eastAsia="ko-KR"/>
        </w:rPr>
      </w:pPr>
      <w:r w:rsidRPr="00A322F7">
        <w:rPr>
          <w:rFonts w:ascii="Times New Roman" w:eastAsia="Times New Roman" w:hAnsi="Times New Roman"/>
          <w:sz w:val="20"/>
          <w:szCs w:val="20"/>
          <w:lang w:eastAsia="ko-KR"/>
        </w:rPr>
        <w:t xml:space="preserve">---, 1999, “A Historical Analysis of Monetary Policy Rules,” in Taylor, ed., </w:t>
      </w:r>
      <w:r w:rsidRPr="00A322F7">
        <w:rPr>
          <w:rFonts w:ascii="Times New Roman" w:eastAsia="Times New Roman" w:hAnsi="Times New Roman"/>
          <w:i/>
          <w:sz w:val="20"/>
          <w:szCs w:val="20"/>
          <w:lang w:eastAsia="ko-KR"/>
        </w:rPr>
        <w:t>Monetary Policy Rules</w:t>
      </w:r>
      <w:r w:rsidRPr="00A322F7">
        <w:rPr>
          <w:rFonts w:ascii="Times New Roman" w:eastAsia="Times New Roman" w:hAnsi="Times New Roman"/>
          <w:sz w:val="20"/>
          <w:szCs w:val="20"/>
          <w:lang w:eastAsia="ko-KR"/>
        </w:rPr>
        <w:t xml:space="preserve"> (University of Chicago Press), 319-348.</w:t>
      </w:r>
      <w:r w:rsidRPr="00A322F7">
        <w:rPr>
          <w:rFonts w:ascii="Times New Roman" w:eastAsia="Times New Roman" w:hAnsi="Times New Roman"/>
          <w:vanish/>
          <w:sz w:val="20"/>
          <w:szCs w:val="20"/>
          <w:lang w:eastAsia="ko-KR"/>
        </w:rPr>
        <w:t> </w:t>
      </w:r>
    </w:p>
    <w:p w:rsidR="001751C4" w:rsidRPr="00A322F7" w:rsidRDefault="00150EF0" w:rsidP="00855F8F">
      <w:pPr>
        <w:contextualSpacing/>
        <w:rPr>
          <w:rFonts w:ascii="Times New Roman" w:hAnsi="Times New Roman"/>
          <w:bCs/>
          <w:kern w:val="32"/>
          <w:sz w:val="20"/>
          <w:szCs w:val="20"/>
        </w:rPr>
      </w:pPr>
      <w:r w:rsidRPr="00A322F7">
        <w:rPr>
          <w:rFonts w:ascii="Times New Roman" w:eastAsia="Times New Roman" w:hAnsi="Times New Roman"/>
          <w:sz w:val="20"/>
          <w:szCs w:val="20"/>
          <w:lang w:eastAsia="ko-KR"/>
        </w:rPr>
        <w:t xml:space="preserve">Tobin, James. 1980,“Stabilization Policy Ten Years After,” </w:t>
      </w:r>
      <w:r w:rsidRPr="00A322F7">
        <w:rPr>
          <w:rFonts w:ascii="Times New Roman" w:eastAsia="Times New Roman" w:hAnsi="Times New Roman"/>
          <w:i/>
          <w:sz w:val="20"/>
          <w:szCs w:val="20"/>
          <w:lang w:eastAsia="ko-KR"/>
        </w:rPr>
        <w:t>Brookings Papers on Economic Activity</w:t>
      </w:r>
      <w:r w:rsidRPr="00A322F7">
        <w:rPr>
          <w:rFonts w:ascii="Times New Roman" w:eastAsia="Times New Roman" w:hAnsi="Times New Roman"/>
          <w:sz w:val="20"/>
          <w:szCs w:val="20"/>
          <w:lang w:eastAsia="ko-KR"/>
        </w:rPr>
        <w:t xml:space="preserve"> 1: 19-72.</w:t>
      </w:r>
    </w:p>
    <w:p w:rsidR="001751C4" w:rsidRPr="00A322F7" w:rsidRDefault="001751C4" w:rsidP="00855F8F">
      <w:pPr>
        <w:contextualSpacing/>
        <w:rPr>
          <w:rFonts w:ascii="Times New Roman" w:hAnsi="Times New Roman"/>
          <w:sz w:val="20"/>
          <w:szCs w:val="20"/>
        </w:rPr>
      </w:pPr>
      <w:r w:rsidRPr="00A322F7">
        <w:rPr>
          <w:rFonts w:ascii="Times New Roman" w:hAnsi="Times New Roman"/>
          <w:sz w:val="20"/>
          <w:szCs w:val="20"/>
        </w:rPr>
        <w:t xml:space="preserve">Woodford, Michael, 2012, </w:t>
      </w:r>
      <w:hyperlink r:id="rId47" w:history="1">
        <w:r w:rsidRPr="00A322F7">
          <w:rPr>
            <w:rStyle w:val="Hyperlink"/>
            <w:rFonts w:ascii="Times New Roman" w:hAnsi="Times New Roman"/>
            <w:sz w:val="20"/>
            <w:szCs w:val="20"/>
          </w:rPr>
          <w:t>“Methods of Policy Accommodation at the Interest-Rate Lower Bound,”</w:t>
        </w:r>
      </w:hyperlink>
      <w:r w:rsidRPr="00A322F7">
        <w:rPr>
          <w:rFonts w:ascii="Times New Roman" w:hAnsi="Times New Roman"/>
          <w:sz w:val="20"/>
          <w:szCs w:val="20"/>
        </w:rPr>
        <w:t xml:space="preserve"> presented at the Jackson Hole symposium, August (Federal Reserve Bank of Kansas City).</w:t>
      </w:r>
    </w:p>
    <w:sectPr w:rsidR="001751C4" w:rsidRPr="00A322F7" w:rsidSect="00CB2A72">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73" w:rsidRDefault="00C36273" w:rsidP="00B045EE">
      <w:pPr>
        <w:pStyle w:val="FootnoteText"/>
      </w:pPr>
      <w:r>
        <w:separator/>
      </w:r>
    </w:p>
  </w:endnote>
  <w:endnote w:type="continuationSeparator" w:id="0">
    <w:p w:rsidR="00C36273" w:rsidRDefault="00C36273" w:rsidP="00B045EE">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C3" w:rsidRDefault="00112D2F">
    <w:pPr>
      <w:pStyle w:val="Footer"/>
      <w:jc w:val="right"/>
    </w:pPr>
    <w:r>
      <w:fldChar w:fldCharType="begin"/>
    </w:r>
    <w:r>
      <w:instrText xml:space="preserve"> PAGE   \* MERGEFORMAT </w:instrText>
    </w:r>
    <w:r>
      <w:fldChar w:fldCharType="separate"/>
    </w:r>
    <w:r w:rsidR="002B0CAF">
      <w:rPr>
        <w:noProof/>
      </w:rPr>
      <w:t>12</w:t>
    </w:r>
    <w:r>
      <w:rPr>
        <w:noProof/>
      </w:rPr>
      <w:fldChar w:fldCharType="end"/>
    </w:r>
  </w:p>
  <w:p w:rsidR="009164C3" w:rsidRDefault="0091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73" w:rsidRDefault="00C36273" w:rsidP="00B045EE">
      <w:pPr>
        <w:pStyle w:val="FootnoteText"/>
      </w:pPr>
      <w:r>
        <w:separator/>
      </w:r>
    </w:p>
  </w:footnote>
  <w:footnote w:type="continuationSeparator" w:id="0">
    <w:p w:rsidR="00C36273" w:rsidRDefault="00C36273" w:rsidP="00B045EE">
      <w:pPr>
        <w:pStyle w:val="FootnoteText"/>
      </w:pPr>
      <w:r>
        <w:continuationSeparator/>
      </w:r>
    </w:p>
  </w:footnote>
  <w:footnote w:id="1">
    <w:p w:rsidR="001751C4" w:rsidRDefault="001751C4" w:rsidP="00316F03">
      <w:pPr>
        <w:pStyle w:val="FootnoteText"/>
        <w:ind w:firstLine="0"/>
      </w:pPr>
      <w:r w:rsidRPr="008F1EE9">
        <w:rPr>
          <w:rStyle w:val="FootnoteReference"/>
          <w:rFonts w:ascii="Times New Roman" w:hAnsi="Times New Roman"/>
        </w:rPr>
        <w:footnoteRef/>
      </w:r>
      <w:r w:rsidRPr="008F1EE9">
        <w:rPr>
          <w:rFonts w:ascii="Times New Roman" w:hAnsi="Times New Roman"/>
        </w:rPr>
        <w:t xml:space="preserve"> Woodford (2012) is the state of the art.   The revival of nominal GDP targeting began i</w:t>
      </w:r>
      <w:r w:rsidR="00E27A33">
        <w:rPr>
          <w:rFonts w:ascii="Times New Roman" w:hAnsi="Times New Roman"/>
        </w:rPr>
        <w:t>n the blogosphere; Frankel (</w:t>
      </w:r>
      <w:r w:rsidR="0073606B">
        <w:rPr>
          <w:rFonts w:ascii="Times New Roman" w:hAnsi="Times New Roman"/>
        </w:rPr>
        <w:t xml:space="preserve">2012, </w:t>
      </w:r>
      <w:r w:rsidR="00E27A33">
        <w:rPr>
          <w:rFonts w:ascii="Times New Roman" w:hAnsi="Times New Roman"/>
        </w:rPr>
        <w:t>2013a</w:t>
      </w:r>
      <w:r w:rsidRPr="008F1EE9">
        <w:rPr>
          <w:rFonts w:ascii="Times New Roman" w:hAnsi="Times New Roman"/>
        </w:rPr>
        <w:t xml:space="preserve">) gives </w:t>
      </w:r>
      <w:r w:rsidR="00A16D3B">
        <w:rPr>
          <w:rFonts w:ascii="Times New Roman" w:hAnsi="Times New Roman"/>
        </w:rPr>
        <w:t xml:space="preserve">more </w:t>
      </w:r>
      <w:r w:rsidRPr="008F1EE9">
        <w:rPr>
          <w:rFonts w:ascii="Times New Roman" w:hAnsi="Times New Roman"/>
        </w:rPr>
        <w:t>references</w:t>
      </w:r>
      <w:r w:rsidR="00A16D3B">
        <w:rPr>
          <w:rFonts w:ascii="Times New Roman" w:hAnsi="Times New Roman"/>
        </w:rPr>
        <w:t>, including both</w:t>
      </w:r>
      <w:r w:rsidRPr="008F1EE9">
        <w:rPr>
          <w:rFonts w:ascii="Times New Roman" w:hAnsi="Times New Roman"/>
        </w:rPr>
        <w:t xml:space="preserve"> the </w:t>
      </w:r>
      <w:r w:rsidR="00A16D3B">
        <w:rPr>
          <w:rFonts w:ascii="Times New Roman" w:hAnsi="Times New Roman"/>
        </w:rPr>
        <w:t xml:space="preserve">historical origins and recent </w:t>
      </w:r>
      <w:r w:rsidRPr="008F1EE9">
        <w:rPr>
          <w:rFonts w:ascii="Times New Roman" w:hAnsi="Times New Roman"/>
        </w:rPr>
        <w:t>bloggers.</w:t>
      </w:r>
    </w:p>
  </w:footnote>
  <w:footnote w:id="2">
    <w:p w:rsidR="001751C4" w:rsidRDefault="001751C4" w:rsidP="007A7C18">
      <w:pPr>
        <w:pStyle w:val="FootnoteText"/>
        <w:ind w:firstLine="0"/>
      </w:pPr>
      <w:r>
        <w:rPr>
          <w:rStyle w:val="FootnoteReference"/>
        </w:rPr>
        <w:footnoteRef/>
      </w:r>
      <w:r>
        <w:t xml:space="preserve"> </w:t>
      </w:r>
      <w:r>
        <w:rPr>
          <w:rFonts w:ascii="Times New Roman" w:hAnsi="Times New Roman"/>
        </w:rPr>
        <w:t>There had been earlier</w:t>
      </w:r>
      <w:r w:rsidRPr="008E7025">
        <w:rPr>
          <w:rFonts w:ascii="Times New Roman" w:hAnsi="Times New Roman"/>
        </w:rPr>
        <w:t xml:space="preserve"> only a few obscure proposals that nominal GDP t</w:t>
      </w:r>
      <w:r>
        <w:rPr>
          <w:rFonts w:ascii="Times New Roman" w:hAnsi="Times New Roman"/>
        </w:rPr>
        <w:t xml:space="preserve">argeting be considered by developing </w:t>
      </w:r>
      <w:r w:rsidRPr="008E7025">
        <w:rPr>
          <w:rFonts w:ascii="Times New Roman" w:hAnsi="Times New Roman"/>
        </w:rPr>
        <w:t>countries:</w:t>
      </w:r>
      <w:r>
        <w:rPr>
          <w:rFonts w:ascii="Times New Roman" w:hAnsi="Times New Roman"/>
        </w:rPr>
        <w:t xml:space="preserve"> </w:t>
      </w:r>
      <w:r w:rsidRPr="008E7025">
        <w:rPr>
          <w:rFonts w:ascii="Times New Roman" w:hAnsi="Times New Roman"/>
          <w:bCs/>
        </w:rPr>
        <w:t xml:space="preserve">McKibbin and Singh (2003), Frankel (1995b), and </w:t>
      </w:r>
      <w:r w:rsidRPr="008E7025">
        <w:rPr>
          <w:rFonts w:ascii="Times New Roman" w:hAnsi="Times New Roman"/>
        </w:rPr>
        <w:t xml:space="preserve">Frankel, </w:t>
      </w:r>
      <w:r>
        <w:rPr>
          <w:rFonts w:ascii="Times New Roman" w:hAnsi="Times New Roman"/>
        </w:rPr>
        <w:t>Smit and</w:t>
      </w:r>
      <w:r w:rsidRPr="008E7025">
        <w:rPr>
          <w:rFonts w:ascii="Times New Roman" w:hAnsi="Times New Roman"/>
        </w:rPr>
        <w:t xml:space="preserve"> Sturzenegger (2008)</w:t>
      </w:r>
      <w:r>
        <w:rPr>
          <w:rFonts w:ascii="Times New Roman" w:hAnsi="Times New Roman"/>
        </w:rPr>
        <w:t xml:space="preserve">.  </w:t>
      </w:r>
      <w:r w:rsidR="002B6267" w:rsidRPr="00DE6EBE">
        <w:rPr>
          <w:rFonts w:ascii="Times New Roman" w:hAnsi="Times New Roman"/>
          <w:bCs/>
        </w:rPr>
        <w:t xml:space="preserve">These authors were thinking of, </w:t>
      </w:r>
      <w:r w:rsidR="002B6267">
        <w:rPr>
          <w:rFonts w:ascii="Times New Roman" w:hAnsi="Times New Roman"/>
          <w:bCs/>
        </w:rPr>
        <w:t>respect</w:t>
      </w:r>
      <w:r w:rsidR="002B6267" w:rsidRPr="00DE6EBE">
        <w:rPr>
          <w:rFonts w:ascii="Times New Roman" w:hAnsi="Times New Roman"/>
          <w:bCs/>
        </w:rPr>
        <w:t>ively, India, East Asia, and South Africa.</w:t>
      </w:r>
    </w:p>
  </w:footnote>
  <w:footnote w:id="3">
    <w:p w:rsidR="001751C4" w:rsidRDefault="001751C4" w:rsidP="00A01D1D">
      <w:pPr>
        <w:pStyle w:val="FootnoteText"/>
        <w:ind w:firstLine="0"/>
      </w:pPr>
      <w:r w:rsidRPr="00A01D1D">
        <w:rPr>
          <w:rStyle w:val="FootnoteReference"/>
          <w:rFonts w:ascii="Times New Roman" w:hAnsi="Times New Roman"/>
        </w:rPr>
        <w:footnoteRef/>
      </w:r>
      <w:r w:rsidRPr="00A01D1D">
        <w:rPr>
          <w:rFonts w:ascii="Times New Roman" w:hAnsi="Times New Roman"/>
          <w:lang w:val="sv-SE"/>
        </w:rPr>
        <w:t xml:space="preserve"> E.g., Fraga, Goldafjn and Minella (2003).</w:t>
      </w:r>
    </w:p>
  </w:footnote>
  <w:footnote w:id="4">
    <w:p w:rsidR="001751C4" w:rsidRDefault="001751C4" w:rsidP="00DB39C6">
      <w:pPr>
        <w:pStyle w:val="FootnoteText"/>
        <w:ind w:firstLine="0"/>
      </w:pPr>
      <w:r w:rsidRPr="00DB39C6">
        <w:rPr>
          <w:rStyle w:val="FootnoteReference"/>
          <w:rFonts w:ascii="Times New Roman" w:hAnsi="Times New Roman"/>
        </w:rPr>
        <w:footnoteRef/>
      </w:r>
      <w:r w:rsidRPr="00DB39C6">
        <w:rPr>
          <w:rFonts w:ascii="Times New Roman" w:hAnsi="Times New Roman"/>
        </w:rPr>
        <w:t xml:space="preserve"> Frankel (2004) surveys the literature.</w:t>
      </w:r>
    </w:p>
  </w:footnote>
  <w:footnote w:id="5">
    <w:p w:rsidR="001751C4" w:rsidRPr="000439C6" w:rsidRDefault="001751C4" w:rsidP="00F73E0A">
      <w:pPr>
        <w:pStyle w:val="FootnoteText"/>
        <w:ind w:firstLine="0"/>
        <w:rPr>
          <w:rFonts w:ascii="Times New Roman" w:hAnsi="Times New Roman"/>
        </w:rPr>
      </w:pPr>
      <w:r w:rsidRPr="007E5D0C">
        <w:rPr>
          <w:rStyle w:val="FootnoteReference"/>
          <w:rFonts w:ascii="Times New Roman" w:hAnsi="Times New Roman"/>
        </w:rPr>
        <w:footnoteRef/>
      </w:r>
      <w:r w:rsidRPr="007E5D0C">
        <w:rPr>
          <w:rFonts w:ascii="Times New Roman" w:hAnsi="Times New Roman"/>
        </w:rPr>
        <w:t xml:space="preserve"> The t</w:t>
      </w:r>
      <w:r w:rsidR="006C6431">
        <w:rPr>
          <w:rFonts w:ascii="Times New Roman" w:hAnsi="Times New Roman"/>
        </w:rPr>
        <w:t>raditional t</w:t>
      </w:r>
      <w:r w:rsidRPr="007E5D0C">
        <w:rPr>
          <w:rFonts w:ascii="Times New Roman" w:hAnsi="Times New Roman"/>
        </w:rPr>
        <w:t xml:space="preserve">extbook wisdom is that countries </w:t>
      </w:r>
      <w:r>
        <w:rPr>
          <w:rFonts w:ascii="Times New Roman" w:hAnsi="Times New Roman"/>
        </w:rPr>
        <w:t xml:space="preserve">exposed to </w:t>
      </w:r>
      <w:r w:rsidR="006C6431">
        <w:rPr>
          <w:rFonts w:ascii="Times New Roman" w:hAnsi="Times New Roman"/>
        </w:rPr>
        <w:t xml:space="preserve">real shocks, particularly </w:t>
      </w:r>
      <w:r w:rsidRPr="007E5D0C">
        <w:rPr>
          <w:rFonts w:ascii="Times New Roman" w:hAnsi="Times New Roman"/>
        </w:rPr>
        <w:t xml:space="preserve">trade </w:t>
      </w:r>
      <w:r w:rsidR="006C6431">
        <w:rPr>
          <w:rFonts w:ascii="Times New Roman" w:hAnsi="Times New Roman"/>
        </w:rPr>
        <w:t xml:space="preserve">shocks, </w:t>
      </w:r>
      <w:r w:rsidR="000439C6">
        <w:rPr>
          <w:rFonts w:ascii="Times New Roman" w:hAnsi="Times New Roman"/>
        </w:rPr>
        <w:t>should</w:t>
      </w:r>
      <w:r w:rsidR="006C6431">
        <w:rPr>
          <w:rFonts w:ascii="Times New Roman" w:hAnsi="Times New Roman"/>
        </w:rPr>
        <w:t xml:space="preserve"> float -- </w:t>
      </w:r>
      <w:r w:rsidRPr="007E5D0C">
        <w:rPr>
          <w:rFonts w:ascii="Times New Roman" w:hAnsi="Times New Roman"/>
        </w:rPr>
        <w:t xml:space="preserve">the exchange rate can then accommodate </w:t>
      </w:r>
      <w:r w:rsidR="006C6431">
        <w:rPr>
          <w:rFonts w:ascii="Times New Roman" w:hAnsi="Times New Roman"/>
        </w:rPr>
        <w:t xml:space="preserve">changes in the </w:t>
      </w:r>
      <w:r w:rsidRPr="007E5D0C">
        <w:rPr>
          <w:rFonts w:ascii="Times New Roman" w:hAnsi="Times New Roman"/>
        </w:rPr>
        <w:t xml:space="preserve">terms of trade </w:t>
      </w:r>
      <w:r w:rsidR="006C6431">
        <w:rPr>
          <w:rFonts w:ascii="Times New Roman" w:hAnsi="Times New Roman"/>
        </w:rPr>
        <w:t>– while countries exposed to domestic demand shocks, particularly monetary shocks</w:t>
      </w:r>
      <w:r w:rsidR="000439C6">
        <w:rPr>
          <w:rFonts w:ascii="Times New Roman" w:hAnsi="Times New Roman"/>
        </w:rPr>
        <w:t>,</w:t>
      </w:r>
      <w:r w:rsidR="006C6431">
        <w:rPr>
          <w:rFonts w:ascii="Times New Roman" w:hAnsi="Times New Roman"/>
        </w:rPr>
        <w:t xml:space="preserve"> </w:t>
      </w:r>
      <w:r w:rsidR="000439C6">
        <w:rPr>
          <w:rFonts w:ascii="Times New Roman" w:hAnsi="Times New Roman"/>
        </w:rPr>
        <w:t>should fix</w:t>
      </w:r>
      <w:r w:rsidRPr="007E5D0C">
        <w:rPr>
          <w:rFonts w:ascii="Times New Roman" w:hAnsi="Times New Roman"/>
        </w:rPr>
        <w:t>.</w:t>
      </w:r>
      <w:r w:rsidR="006C6431">
        <w:rPr>
          <w:rFonts w:ascii="Times New Roman" w:hAnsi="Times New Roman"/>
        </w:rPr>
        <w:t xml:space="preserve">  (E.g., Fischer, 1977.)</w:t>
      </w:r>
      <w:r w:rsidRPr="007E5D0C">
        <w:rPr>
          <w:rFonts w:ascii="Times New Roman" w:hAnsi="Times New Roman"/>
        </w:rPr>
        <w:t xml:space="preserve">   Empirical confirmation </w:t>
      </w:r>
      <w:r w:rsidR="006C6431">
        <w:rPr>
          <w:rFonts w:ascii="Times New Roman" w:hAnsi="Times New Roman"/>
        </w:rPr>
        <w:t xml:space="preserve">that countries with high terms of trade volatility are better off floating </w:t>
      </w:r>
      <w:r w:rsidRPr="007E5D0C">
        <w:rPr>
          <w:rFonts w:ascii="Times New Roman" w:hAnsi="Times New Roman"/>
        </w:rPr>
        <w:t xml:space="preserve">comes from Broda (2004), </w:t>
      </w:r>
      <w:r>
        <w:rPr>
          <w:rFonts w:ascii="Times New Roman" w:hAnsi="Times New Roman"/>
        </w:rPr>
        <w:t>Edwards and</w:t>
      </w:r>
      <w:r w:rsidRPr="007E5D0C">
        <w:rPr>
          <w:rFonts w:ascii="Times New Roman" w:hAnsi="Times New Roman"/>
        </w:rPr>
        <w:t xml:space="preserve"> L</w:t>
      </w:r>
      <w:r w:rsidR="000439C6">
        <w:rPr>
          <w:rFonts w:ascii="Times New Roman" w:hAnsi="Times New Roman"/>
        </w:rPr>
        <w:t xml:space="preserve">evy </w:t>
      </w:r>
      <w:r w:rsidRPr="007E5D0C">
        <w:rPr>
          <w:rFonts w:ascii="Times New Roman" w:hAnsi="Times New Roman"/>
        </w:rPr>
        <w:t>Yeyati (2005), Rafiq (2011)</w:t>
      </w:r>
      <w:r w:rsidR="000439C6">
        <w:rPr>
          <w:rFonts w:ascii="Times New Roman" w:hAnsi="Times New Roman"/>
        </w:rPr>
        <w:t xml:space="preserve"> and Céspedes &amp; Velasco (2012).</w:t>
      </w:r>
    </w:p>
  </w:footnote>
  <w:footnote w:id="6">
    <w:p w:rsidR="00BB42D5" w:rsidRPr="00A56605" w:rsidRDefault="00BB42D5" w:rsidP="00BB42D5">
      <w:pPr>
        <w:pStyle w:val="FootnoteText"/>
        <w:ind w:firstLine="0"/>
        <w:rPr>
          <w:rFonts w:ascii="Times New Roman" w:hAnsi="Times New Roman"/>
        </w:rPr>
      </w:pPr>
      <w:r w:rsidRPr="00A56605">
        <w:rPr>
          <w:rStyle w:val="FootnoteReference"/>
          <w:rFonts w:ascii="Times New Roman" w:hAnsi="Times New Roman"/>
        </w:rPr>
        <w:footnoteRef/>
      </w:r>
      <w:r w:rsidR="00A56605" w:rsidRPr="00A56605">
        <w:rPr>
          <w:rFonts w:ascii="Times New Roman" w:hAnsi="Times New Roman"/>
        </w:rPr>
        <w:t xml:space="preserve"> The trend growth rate in emerging market countries is highly variable: </w:t>
      </w:r>
      <w:r w:rsidRPr="00A56605">
        <w:rPr>
          <w:rFonts w:ascii="Times New Roman" w:hAnsi="Times New Roman"/>
        </w:rPr>
        <w:t>Aguiar and Gopinath (2007</w:t>
      </w:r>
      <w:r w:rsidR="00A56605" w:rsidRPr="00A56605">
        <w:rPr>
          <w:rFonts w:ascii="Times New Roman" w:hAnsi="Times New Roman"/>
        </w:rPr>
        <w:t>)</w:t>
      </w:r>
      <w:r w:rsidRPr="00A56605">
        <w:rPr>
          <w:rFonts w:ascii="Times New Roman" w:hAnsi="Times New Roman"/>
        </w:rPr>
        <w:t xml:space="preserve">.  </w:t>
      </w:r>
    </w:p>
  </w:footnote>
  <w:footnote w:id="7">
    <w:p w:rsidR="001751C4" w:rsidRDefault="001751C4" w:rsidP="00450173">
      <w:pPr>
        <w:pStyle w:val="FootnoteText"/>
        <w:ind w:firstLine="0"/>
      </w:pPr>
      <w:r w:rsidRPr="002202BB">
        <w:rPr>
          <w:rStyle w:val="FootnoteReference"/>
          <w:rFonts w:ascii="Times New Roman" w:hAnsi="Times New Roman"/>
        </w:rPr>
        <w:footnoteRef/>
      </w:r>
      <w:r>
        <w:rPr>
          <w:rFonts w:ascii="Times New Roman" w:hAnsi="Times New Roman"/>
        </w:rPr>
        <w:t xml:space="preserve"> T</w:t>
      </w:r>
      <w:r w:rsidRPr="002202BB">
        <w:rPr>
          <w:rFonts w:ascii="Times New Roman" w:hAnsi="Times New Roman"/>
        </w:rPr>
        <w:t xml:space="preserve">his is precisely the reason why many IT proponents favor </w:t>
      </w:r>
      <w:r w:rsidRPr="002202BB">
        <w:rPr>
          <w:rFonts w:ascii="Times New Roman" w:hAnsi="Times New Roman"/>
          <w:i/>
        </w:rPr>
        <w:t xml:space="preserve">flexible </w:t>
      </w:r>
      <w:r w:rsidRPr="002202BB">
        <w:rPr>
          <w:rFonts w:ascii="Times New Roman" w:hAnsi="Times New Roman"/>
        </w:rPr>
        <w:t>inflation targeting, often in the form of the Taylor Rule, which does indeed call for the central bank to share the pain between inflation and ou</w:t>
      </w:r>
      <w:r>
        <w:rPr>
          <w:rFonts w:ascii="Times New Roman" w:hAnsi="Times New Roman"/>
        </w:rPr>
        <w:t>tput.  E.g., Svensson (2000).  (</w:t>
      </w:r>
      <w:r w:rsidRPr="002202BB">
        <w:rPr>
          <w:rFonts w:ascii="Times New Roman" w:hAnsi="Times New Roman"/>
        </w:rPr>
        <w:t xml:space="preserve">It is also a reason for pointing to the “core” </w:t>
      </w:r>
      <w:r>
        <w:rPr>
          <w:rFonts w:ascii="Times New Roman" w:hAnsi="Times New Roman"/>
        </w:rPr>
        <w:t>CPI rather than “headline” CPI.)</w:t>
      </w:r>
    </w:p>
  </w:footnote>
  <w:footnote w:id="8">
    <w:p w:rsidR="001751C4" w:rsidRDefault="001751C4" w:rsidP="003A1392">
      <w:pPr>
        <w:pStyle w:val="FootnoteText"/>
        <w:ind w:firstLine="0"/>
      </w:pPr>
      <w:r w:rsidRPr="0048190C">
        <w:rPr>
          <w:rStyle w:val="FootnoteReference"/>
          <w:rFonts w:ascii="Times New Roman" w:hAnsi="Times New Roman"/>
        </w:rPr>
        <w:footnoteRef/>
      </w:r>
      <w:r w:rsidRPr="0048190C">
        <w:rPr>
          <w:rFonts w:ascii="Times New Roman" w:hAnsi="Times New Roman"/>
        </w:rPr>
        <w:t xml:space="preserve"> Cavallo and Noy (2011).</w:t>
      </w:r>
    </w:p>
  </w:footnote>
  <w:footnote w:id="9">
    <w:p w:rsidR="001751C4" w:rsidRPr="003A1392" w:rsidRDefault="001751C4" w:rsidP="003A1392">
      <w:pPr>
        <w:ind w:firstLine="0"/>
        <w:rPr>
          <w:rFonts w:ascii="Times New Roman" w:hAnsi="Times New Roman"/>
          <w:bCs/>
          <w:sz w:val="20"/>
          <w:szCs w:val="20"/>
        </w:rPr>
      </w:pPr>
      <w:r w:rsidRPr="00B64CBB">
        <w:rPr>
          <w:rStyle w:val="FootnoteReference"/>
          <w:sz w:val="20"/>
          <w:szCs w:val="20"/>
        </w:rPr>
        <w:footnoteRef/>
      </w:r>
      <w:r w:rsidRPr="00B64CBB">
        <w:rPr>
          <w:sz w:val="20"/>
          <w:szCs w:val="20"/>
        </w:rPr>
        <w:t xml:space="preserve"> </w:t>
      </w:r>
      <w:r w:rsidRPr="00B64CBB">
        <w:rPr>
          <w:rFonts w:ascii="Times New Roman" w:hAnsi="Times New Roman"/>
          <w:sz w:val="20"/>
          <w:szCs w:val="20"/>
        </w:rPr>
        <w:t xml:space="preserve">If there is a single </w:t>
      </w:r>
      <w:r>
        <w:rPr>
          <w:rFonts w:ascii="Times New Roman" w:hAnsi="Times New Roman"/>
          <w:sz w:val="20"/>
          <w:szCs w:val="20"/>
        </w:rPr>
        <w:t xml:space="preserve">exogenous or </w:t>
      </w:r>
      <w:r w:rsidRPr="00B64CBB">
        <w:rPr>
          <w:rFonts w:ascii="Times New Roman" w:hAnsi="Times New Roman"/>
          <w:sz w:val="20"/>
          <w:szCs w:val="20"/>
        </w:rPr>
        <w:t>instrumental variable for each equation</w:t>
      </w:r>
      <w:r>
        <w:rPr>
          <w:rFonts w:ascii="Times New Roman" w:hAnsi="Times New Roman"/>
          <w:sz w:val="20"/>
          <w:szCs w:val="20"/>
        </w:rPr>
        <w:t xml:space="preserve"> instead of two</w:t>
      </w:r>
      <w:r w:rsidRPr="00B64CBB">
        <w:rPr>
          <w:rFonts w:ascii="Times New Roman" w:hAnsi="Times New Roman"/>
          <w:sz w:val="20"/>
          <w:szCs w:val="20"/>
        </w:rPr>
        <w:t>, then th</w:t>
      </w:r>
      <w:r>
        <w:rPr>
          <w:rFonts w:ascii="Times New Roman" w:hAnsi="Times New Roman"/>
          <w:sz w:val="20"/>
          <w:szCs w:val="20"/>
        </w:rPr>
        <w:t xml:space="preserve">e slopes can be estimated by </w:t>
      </w:r>
      <w:r w:rsidRPr="00B64CBB">
        <w:rPr>
          <w:rFonts w:ascii="Times New Roman" w:hAnsi="Times New Roman"/>
          <w:sz w:val="20"/>
          <w:szCs w:val="20"/>
        </w:rPr>
        <w:t xml:space="preserve">Indirect Least Squares: The ratio of the demand shock coefficient in the income equation (4) to the demand shock coefficient in the price equation (3) is an estimate of the crucial parameter </w:t>
      </w:r>
      <w:r w:rsidRPr="00B64CBB">
        <w:rPr>
          <w:rFonts w:ascii="Times New Roman" w:hAnsi="Times New Roman"/>
          <w:i/>
          <w:sz w:val="20"/>
          <w:szCs w:val="20"/>
        </w:rPr>
        <w:t>b</w:t>
      </w:r>
      <w:r w:rsidRPr="00B64CBB">
        <w:rPr>
          <w:rFonts w:ascii="Times New Roman" w:hAnsi="Times New Roman"/>
          <w:sz w:val="20"/>
          <w:szCs w:val="20"/>
        </w:rPr>
        <w:t xml:space="preserve">, the </w:t>
      </w:r>
      <w:r>
        <w:rPr>
          <w:rFonts w:ascii="Times New Roman" w:hAnsi="Times New Roman"/>
          <w:sz w:val="20"/>
          <w:szCs w:val="20"/>
        </w:rPr>
        <w:t xml:space="preserve">inverse </w:t>
      </w:r>
      <w:r w:rsidRPr="00B64CBB">
        <w:rPr>
          <w:rFonts w:ascii="Times New Roman" w:hAnsi="Times New Roman"/>
          <w:sz w:val="20"/>
          <w:szCs w:val="20"/>
        </w:rPr>
        <w:t>slope of the Aggregate Supply Curve.  The ratio of the supply shock coefficient in the price equation (3) to the supply shock coefficient in the income equation (4) is a statistical estimate of -</w:t>
      </w:r>
      <w:r w:rsidRPr="00B64CBB">
        <w:rPr>
          <w:rFonts w:ascii="Times New Roman" w:hAnsi="Times New Roman"/>
          <w:i/>
          <w:sz w:val="20"/>
          <w:szCs w:val="20"/>
        </w:rPr>
        <w:t>d</w:t>
      </w:r>
      <w:r w:rsidRPr="00B64CBB">
        <w:rPr>
          <w:rFonts w:ascii="Times New Roman" w:hAnsi="Times New Roman"/>
          <w:sz w:val="20"/>
          <w:szCs w:val="20"/>
        </w:rPr>
        <w:t>, the slope of the Aggregate Demand curve.</w:t>
      </w:r>
    </w:p>
  </w:footnote>
  <w:footnote w:id="10">
    <w:p w:rsidR="003A1392" w:rsidRDefault="003A1392" w:rsidP="003A1392">
      <w:pPr>
        <w:pStyle w:val="FootnoteText"/>
        <w:ind w:firstLine="0"/>
        <w:rPr>
          <w:rFonts w:ascii="Times New Roman" w:hAnsi="Times New Roman"/>
        </w:rPr>
      </w:pPr>
      <w:r w:rsidRPr="003A1392">
        <w:rPr>
          <w:rStyle w:val="FootnoteReference"/>
        </w:rPr>
        <w:footnoteRef/>
      </w:r>
      <w:r w:rsidRPr="003A1392">
        <w:t xml:space="preserve"> T</w:t>
      </w:r>
      <w:r w:rsidRPr="003A1392">
        <w:rPr>
          <w:rFonts w:ascii="Times New Roman" w:hAnsi="Times New Roman"/>
        </w:rPr>
        <w:t>he results for other oil-exporting countries are not as good as for Kazakhstan.</w:t>
      </w:r>
      <w:r w:rsidR="00855F8F">
        <w:rPr>
          <w:rFonts w:ascii="Times New Roman" w:hAnsi="Times New Roman"/>
        </w:rPr>
        <w:t xml:space="preserve">  </w:t>
      </w:r>
      <w:r w:rsidR="00855F8F" w:rsidRPr="00855F8F">
        <w:rPr>
          <w:rFonts w:ascii="Times New Roman" w:hAnsi="Times New Roman"/>
        </w:rPr>
        <w:t>Natarajan (2014).</w:t>
      </w:r>
    </w:p>
    <w:p w:rsidR="00374A3B" w:rsidRPr="003A1392" w:rsidRDefault="00374A3B" w:rsidP="003A1392">
      <w:pPr>
        <w:pStyle w:val="FootnoteText"/>
        <w:ind w:firstLine="0"/>
      </w:pPr>
    </w:p>
  </w:footnote>
  <w:footnote w:id="11">
    <w:p w:rsidR="00A53E4D" w:rsidRPr="00A53E4D" w:rsidRDefault="00A53E4D" w:rsidP="00A53E4D">
      <w:pPr>
        <w:pStyle w:val="FootnoteText"/>
        <w:ind w:firstLine="0"/>
        <w:rPr>
          <w:rFonts w:ascii="Times New Roman" w:hAnsi="Times New Roman"/>
        </w:rPr>
      </w:pPr>
      <w:r w:rsidRPr="00A53E4D">
        <w:rPr>
          <w:rStyle w:val="FootnoteReference"/>
          <w:rFonts w:ascii="Times New Roman" w:hAnsi="Times New Roman"/>
        </w:rPr>
        <w:footnoteRef/>
      </w:r>
      <w:r w:rsidRPr="00A53E4D">
        <w:rPr>
          <w:rFonts w:ascii="Times New Roman" w:hAnsi="Times New Roman"/>
        </w:rPr>
        <w:t xml:space="preserve"> Christensen (2013) also argues that India should target NGDP, on much the same grounds.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224516"/>
    <w:lvl w:ilvl="0">
      <w:start w:val="1"/>
      <w:numFmt w:val="decimal"/>
      <w:lvlText w:val="%1."/>
      <w:lvlJc w:val="left"/>
      <w:pPr>
        <w:tabs>
          <w:tab w:val="num" w:pos="1440"/>
        </w:tabs>
        <w:ind w:left="1440" w:hanging="360"/>
      </w:pPr>
      <w:rPr>
        <w:rFonts w:cs="Times New Roman"/>
      </w:rPr>
    </w:lvl>
  </w:abstractNum>
  <w:abstractNum w:abstractNumId="1">
    <w:nsid w:val="FFFFFF7E"/>
    <w:multiLevelType w:val="singleLevel"/>
    <w:tmpl w:val="32D223EE"/>
    <w:lvl w:ilvl="0">
      <w:start w:val="1"/>
      <w:numFmt w:val="decimal"/>
      <w:lvlText w:val="%1."/>
      <w:lvlJc w:val="left"/>
      <w:pPr>
        <w:tabs>
          <w:tab w:val="num" w:pos="1080"/>
        </w:tabs>
        <w:ind w:left="1080" w:hanging="360"/>
      </w:pPr>
      <w:rPr>
        <w:rFonts w:cs="Times New Roman"/>
      </w:rPr>
    </w:lvl>
  </w:abstractNum>
  <w:abstractNum w:abstractNumId="2">
    <w:nsid w:val="FFFFFF7F"/>
    <w:multiLevelType w:val="singleLevel"/>
    <w:tmpl w:val="44FA7CD0"/>
    <w:lvl w:ilvl="0">
      <w:start w:val="1"/>
      <w:numFmt w:val="decimal"/>
      <w:lvlText w:val="%1."/>
      <w:lvlJc w:val="left"/>
      <w:pPr>
        <w:tabs>
          <w:tab w:val="num" w:pos="720"/>
        </w:tabs>
        <w:ind w:left="720" w:hanging="360"/>
      </w:pPr>
      <w:rPr>
        <w:rFonts w:cs="Times New Roman"/>
      </w:rPr>
    </w:lvl>
  </w:abstractNum>
  <w:abstractNum w:abstractNumId="3">
    <w:nsid w:val="FFFFFF80"/>
    <w:multiLevelType w:val="singleLevel"/>
    <w:tmpl w:val="B74C80A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BFBAD4C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170ED934"/>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93A8344E"/>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F684AF36"/>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3D1A9188"/>
    <w:lvl w:ilvl="0">
      <w:start w:val="1"/>
      <w:numFmt w:val="bullet"/>
      <w:lvlText w:val=""/>
      <w:lvlJc w:val="left"/>
      <w:pPr>
        <w:tabs>
          <w:tab w:val="num" w:pos="360"/>
        </w:tabs>
        <w:ind w:left="360" w:hanging="360"/>
      </w:pPr>
      <w:rPr>
        <w:rFonts w:ascii="Symbol" w:hAnsi="Symbol" w:hint="default"/>
      </w:rPr>
    </w:lvl>
  </w:abstractNum>
  <w:abstractNum w:abstractNumId="9">
    <w:nsid w:val="225C643A"/>
    <w:multiLevelType w:val="hybridMultilevel"/>
    <w:tmpl w:val="C3366B70"/>
    <w:lvl w:ilvl="0" w:tplc="2F38EC74">
      <w:start w:val="1"/>
      <w:numFmt w:val="bullet"/>
      <w:lvlText w:val=""/>
      <w:lvlJc w:val="left"/>
      <w:pPr>
        <w:tabs>
          <w:tab w:val="num" w:pos="720"/>
        </w:tabs>
        <w:ind w:left="720" w:hanging="360"/>
      </w:pPr>
      <w:rPr>
        <w:rFonts w:ascii="Wingdings" w:hAnsi="Wingdings" w:hint="default"/>
      </w:rPr>
    </w:lvl>
    <w:lvl w:ilvl="1" w:tplc="C8F03BBE" w:tentative="1">
      <w:start w:val="1"/>
      <w:numFmt w:val="bullet"/>
      <w:lvlText w:val=""/>
      <w:lvlJc w:val="left"/>
      <w:pPr>
        <w:tabs>
          <w:tab w:val="num" w:pos="1440"/>
        </w:tabs>
        <w:ind w:left="1440" w:hanging="360"/>
      </w:pPr>
      <w:rPr>
        <w:rFonts w:ascii="Wingdings" w:hAnsi="Wingdings" w:hint="default"/>
      </w:rPr>
    </w:lvl>
    <w:lvl w:ilvl="2" w:tplc="30AA45B2" w:tentative="1">
      <w:start w:val="1"/>
      <w:numFmt w:val="bullet"/>
      <w:lvlText w:val=""/>
      <w:lvlJc w:val="left"/>
      <w:pPr>
        <w:tabs>
          <w:tab w:val="num" w:pos="2160"/>
        </w:tabs>
        <w:ind w:left="2160" w:hanging="360"/>
      </w:pPr>
      <w:rPr>
        <w:rFonts w:ascii="Wingdings" w:hAnsi="Wingdings" w:hint="default"/>
      </w:rPr>
    </w:lvl>
    <w:lvl w:ilvl="3" w:tplc="21C84542" w:tentative="1">
      <w:start w:val="1"/>
      <w:numFmt w:val="bullet"/>
      <w:lvlText w:val=""/>
      <w:lvlJc w:val="left"/>
      <w:pPr>
        <w:tabs>
          <w:tab w:val="num" w:pos="2880"/>
        </w:tabs>
        <w:ind w:left="2880" w:hanging="360"/>
      </w:pPr>
      <w:rPr>
        <w:rFonts w:ascii="Wingdings" w:hAnsi="Wingdings" w:hint="default"/>
      </w:rPr>
    </w:lvl>
    <w:lvl w:ilvl="4" w:tplc="423A298A" w:tentative="1">
      <w:start w:val="1"/>
      <w:numFmt w:val="bullet"/>
      <w:lvlText w:val=""/>
      <w:lvlJc w:val="left"/>
      <w:pPr>
        <w:tabs>
          <w:tab w:val="num" w:pos="3600"/>
        </w:tabs>
        <w:ind w:left="3600" w:hanging="360"/>
      </w:pPr>
      <w:rPr>
        <w:rFonts w:ascii="Wingdings" w:hAnsi="Wingdings" w:hint="default"/>
      </w:rPr>
    </w:lvl>
    <w:lvl w:ilvl="5" w:tplc="14DC8680" w:tentative="1">
      <w:start w:val="1"/>
      <w:numFmt w:val="bullet"/>
      <w:lvlText w:val=""/>
      <w:lvlJc w:val="left"/>
      <w:pPr>
        <w:tabs>
          <w:tab w:val="num" w:pos="4320"/>
        </w:tabs>
        <w:ind w:left="4320" w:hanging="360"/>
      </w:pPr>
      <w:rPr>
        <w:rFonts w:ascii="Wingdings" w:hAnsi="Wingdings" w:hint="default"/>
      </w:rPr>
    </w:lvl>
    <w:lvl w:ilvl="6" w:tplc="7D6C37E8" w:tentative="1">
      <w:start w:val="1"/>
      <w:numFmt w:val="bullet"/>
      <w:lvlText w:val=""/>
      <w:lvlJc w:val="left"/>
      <w:pPr>
        <w:tabs>
          <w:tab w:val="num" w:pos="5040"/>
        </w:tabs>
        <w:ind w:left="5040" w:hanging="360"/>
      </w:pPr>
      <w:rPr>
        <w:rFonts w:ascii="Wingdings" w:hAnsi="Wingdings" w:hint="default"/>
      </w:rPr>
    </w:lvl>
    <w:lvl w:ilvl="7" w:tplc="0EA06678" w:tentative="1">
      <w:start w:val="1"/>
      <w:numFmt w:val="bullet"/>
      <w:lvlText w:val=""/>
      <w:lvlJc w:val="left"/>
      <w:pPr>
        <w:tabs>
          <w:tab w:val="num" w:pos="5760"/>
        </w:tabs>
        <w:ind w:left="5760" w:hanging="360"/>
      </w:pPr>
      <w:rPr>
        <w:rFonts w:ascii="Wingdings" w:hAnsi="Wingdings" w:hint="default"/>
      </w:rPr>
    </w:lvl>
    <w:lvl w:ilvl="8" w:tplc="6B8C585A" w:tentative="1">
      <w:start w:val="1"/>
      <w:numFmt w:val="bullet"/>
      <w:lvlText w:val=""/>
      <w:lvlJc w:val="left"/>
      <w:pPr>
        <w:tabs>
          <w:tab w:val="num" w:pos="6480"/>
        </w:tabs>
        <w:ind w:left="6480" w:hanging="360"/>
      </w:pPr>
      <w:rPr>
        <w:rFonts w:ascii="Wingdings" w:hAnsi="Wingdings" w:hint="default"/>
      </w:rPr>
    </w:lvl>
  </w:abstractNum>
  <w:abstractNum w:abstractNumId="10">
    <w:nsid w:val="34404384"/>
    <w:multiLevelType w:val="multilevel"/>
    <w:tmpl w:val="B0E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12F2B"/>
    <w:multiLevelType w:val="hybridMultilevel"/>
    <w:tmpl w:val="4AA4F428"/>
    <w:lvl w:ilvl="0" w:tplc="43A0AFA2">
      <w:start w:val="10"/>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995"/>
    <w:rsid w:val="00001ABF"/>
    <w:rsid w:val="0000650C"/>
    <w:rsid w:val="00026CBB"/>
    <w:rsid w:val="00027397"/>
    <w:rsid w:val="000413F2"/>
    <w:rsid w:val="000439C6"/>
    <w:rsid w:val="0005190A"/>
    <w:rsid w:val="0006048D"/>
    <w:rsid w:val="000F283D"/>
    <w:rsid w:val="00101AD5"/>
    <w:rsid w:val="0011231B"/>
    <w:rsid w:val="00112D2F"/>
    <w:rsid w:val="00116171"/>
    <w:rsid w:val="0014171C"/>
    <w:rsid w:val="00150EF0"/>
    <w:rsid w:val="00154F11"/>
    <w:rsid w:val="0016142A"/>
    <w:rsid w:val="00173769"/>
    <w:rsid w:val="001751C4"/>
    <w:rsid w:val="001871C9"/>
    <w:rsid w:val="001A5F3D"/>
    <w:rsid w:val="001B0227"/>
    <w:rsid w:val="001B599B"/>
    <w:rsid w:val="001D348B"/>
    <w:rsid w:val="001D41DD"/>
    <w:rsid w:val="001D42EA"/>
    <w:rsid w:val="001D5DF0"/>
    <w:rsid w:val="001E1999"/>
    <w:rsid w:val="001E595A"/>
    <w:rsid w:val="00210B97"/>
    <w:rsid w:val="00213DB7"/>
    <w:rsid w:val="002141BD"/>
    <w:rsid w:val="002202BB"/>
    <w:rsid w:val="00253383"/>
    <w:rsid w:val="00286F1B"/>
    <w:rsid w:val="00291323"/>
    <w:rsid w:val="002B0CAF"/>
    <w:rsid w:val="002B6267"/>
    <w:rsid w:val="002E24EF"/>
    <w:rsid w:val="00316F03"/>
    <w:rsid w:val="00356221"/>
    <w:rsid w:val="003636A2"/>
    <w:rsid w:val="00374A3B"/>
    <w:rsid w:val="00381A52"/>
    <w:rsid w:val="003839FA"/>
    <w:rsid w:val="003A1392"/>
    <w:rsid w:val="003A6A67"/>
    <w:rsid w:val="003B7087"/>
    <w:rsid w:val="003F65A6"/>
    <w:rsid w:val="003F76BE"/>
    <w:rsid w:val="00407CEE"/>
    <w:rsid w:val="004139AD"/>
    <w:rsid w:val="004251FD"/>
    <w:rsid w:val="00426C42"/>
    <w:rsid w:val="00431EBF"/>
    <w:rsid w:val="004333A6"/>
    <w:rsid w:val="00433477"/>
    <w:rsid w:val="0043380A"/>
    <w:rsid w:val="00443180"/>
    <w:rsid w:val="00450173"/>
    <w:rsid w:val="00454421"/>
    <w:rsid w:val="0045455C"/>
    <w:rsid w:val="00454F40"/>
    <w:rsid w:val="00457A17"/>
    <w:rsid w:val="004811F1"/>
    <w:rsid w:val="0048190C"/>
    <w:rsid w:val="0048596F"/>
    <w:rsid w:val="0048634D"/>
    <w:rsid w:val="00492444"/>
    <w:rsid w:val="004B025A"/>
    <w:rsid w:val="004C4D1D"/>
    <w:rsid w:val="004F0ACF"/>
    <w:rsid w:val="00502C56"/>
    <w:rsid w:val="00506C75"/>
    <w:rsid w:val="005523EE"/>
    <w:rsid w:val="00580A87"/>
    <w:rsid w:val="00584FD2"/>
    <w:rsid w:val="005900E2"/>
    <w:rsid w:val="005B290E"/>
    <w:rsid w:val="005F5BD2"/>
    <w:rsid w:val="006243AF"/>
    <w:rsid w:val="00627DEB"/>
    <w:rsid w:val="006534B9"/>
    <w:rsid w:val="00665F9F"/>
    <w:rsid w:val="00670D0C"/>
    <w:rsid w:val="006757DF"/>
    <w:rsid w:val="0068136A"/>
    <w:rsid w:val="00685028"/>
    <w:rsid w:val="006850F7"/>
    <w:rsid w:val="006B17C3"/>
    <w:rsid w:val="006B7888"/>
    <w:rsid w:val="006C6431"/>
    <w:rsid w:val="006D5448"/>
    <w:rsid w:val="006F295B"/>
    <w:rsid w:val="006F6BD3"/>
    <w:rsid w:val="00715300"/>
    <w:rsid w:val="00715729"/>
    <w:rsid w:val="0073606B"/>
    <w:rsid w:val="00737A1A"/>
    <w:rsid w:val="00740CFD"/>
    <w:rsid w:val="00766CB1"/>
    <w:rsid w:val="00767685"/>
    <w:rsid w:val="00783C55"/>
    <w:rsid w:val="00786838"/>
    <w:rsid w:val="007A7C18"/>
    <w:rsid w:val="007C09A9"/>
    <w:rsid w:val="007E5D0C"/>
    <w:rsid w:val="00805AC4"/>
    <w:rsid w:val="00811145"/>
    <w:rsid w:val="0081399C"/>
    <w:rsid w:val="00854D15"/>
    <w:rsid w:val="00855F8F"/>
    <w:rsid w:val="00856B0D"/>
    <w:rsid w:val="00861155"/>
    <w:rsid w:val="00894821"/>
    <w:rsid w:val="00895AEB"/>
    <w:rsid w:val="008A6A1F"/>
    <w:rsid w:val="008A7ECD"/>
    <w:rsid w:val="008E7025"/>
    <w:rsid w:val="008F1E3C"/>
    <w:rsid w:val="008F1EE9"/>
    <w:rsid w:val="008F45FD"/>
    <w:rsid w:val="0090083F"/>
    <w:rsid w:val="0091400D"/>
    <w:rsid w:val="009164C3"/>
    <w:rsid w:val="0092661C"/>
    <w:rsid w:val="00951995"/>
    <w:rsid w:val="0095476C"/>
    <w:rsid w:val="00983C2A"/>
    <w:rsid w:val="00990BB3"/>
    <w:rsid w:val="009B62A9"/>
    <w:rsid w:val="009D51F3"/>
    <w:rsid w:val="009E13FF"/>
    <w:rsid w:val="009F3E8A"/>
    <w:rsid w:val="00A01D1D"/>
    <w:rsid w:val="00A03505"/>
    <w:rsid w:val="00A0363E"/>
    <w:rsid w:val="00A04AB9"/>
    <w:rsid w:val="00A05910"/>
    <w:rsid w:val="00A12108"/>
    <w:rsid w:val="00A16D3B"/>
    <w:rsid w:val="00A322F7"/>
    <w:rsid w:val="00A53E4D"/>
    <w:rsid w:val="00A56605"/>
    <w:rsid w:val="00A736AF"/>
    <w:rsid w:val="00A82B3F"/>
    <w:rsid w:val="00A97733"/>
    <w:rsid w:val="00AA01A6"/>
    <w:rsid w:val="00AC5EC4"/>
    <w:rsid w:val="00B03E1C"/>
    <w:rsid w:val="00B045EE"/>
    <w:rsid w:val="00B11CE4"/>
    <w:rsid w:val="00B23DE3"/>
    <w:rsid w:val="00B31B59"/>
    <w:rsid w:val="00B377A6"/>
    <w:rsid w:val="00B54FC2"/>
    <w:rsid w:val="00B64CBB"/>
    <w:rsid w:val="00B70CDB"/>
    <w:rsid w:val="00B90497"/>
    <w:rsid w:val="00B91720"/>
    <w:rsid w:val="00BB42D5"/>
    <w:rsid w:val="00BF1BD5"/>
    <w:rsid w:val="00C0412F"/>
    <w:rsid w:val="00C05D02"/>
    <w:rsid w:val="00C127BF"/>
    <w:rsid w:val="00C17D56"/>
    <w:rsid w:val="00C337F4"/>
    <w:rsid w:val="00C35565"/>
    <w:rsid w:val="00C36273"/>
    <w:rsid w:val="00C419BB"/>
    <w:rsid w:val="00C419EC"/>
    <w:rsid w:val="00C44C46"/>
    <w:rsid w:val="00C97819"/>
    <w:rsid w:val="00CA1514"/>
    <w:rsid w:val="00CA22B3"/>
    <w:rsid w:val="00CA2C7C"/>
    <w:rsid w:val="00CB2A72"/>
    <w:rsid w:val="00CB5198"/>
    <w:rsid w:val="00CE20DC"/>
    <w:rsid w:val="00CF79F0"/>
    <w:rsid w:val="00D02995"/>
    <w:rsid w:val="00D05C94"/>
    <w:rsid w:val="00D200BC"/>
    <w:rsid w:val="00D27709"/>
    <w:rsid w:val="00D345F6"/>
    <w:rsid w:val="00D400C0"/>
    <w:rsid w:val="00D44BC9"/>
    <w:rsid w:val="00D46663"/>
    <w:rsid w:val="00D852E9"/>
    <w:rsid w:val="00D91673"/>
    <w:rsid w:val="00DA2CA0"/>
    <w:rsid w:val="00DA3CD5"/>
    <w:rsid w:val="00DB39C6"/>
    <w:rsid w:val="00DB79AB"/>
    <w:rsid w:val="00DC3A34"/>
    <w:rsid w:val="00DC551B"/>
    <w:rsid w:val="00DE36CF"/>
    <w:rsid w:val="00DE4676"/>
    <w:rsid w:val="00DE6EBE"/>
    <w:rsid w:val="00DF319D"/>
    <w:rsid w:val="00E02B3B"/>
    <w:rsid w:val="00E03D97"/>
    <w:rsid w:val="00E25EB4"/>
    <w:rsid w:val="00E27A33"/>
    <w:rsid w:val="00E343D5"/>
    <w:rsid w:val="00E44E1D"/>
    <w:rsid w:val="00E565AD"/>
    <w:rsid w:val="00E61903"/>
    <w:rsid w:val="00E65B57"/>
    <w:rsid w:val="00E76A2F"/>
    <w:rsid w:val="00E83B98"/>
    <w:rsid w:val="00E9342B"/>
    <w:rsid w:val="00E938D7"/>
    <w:rsid w:val="00E97BA7"/>
    <w:rsid w:val="00EA1DE1"/>
    <w:rsid w:val="00EA46FB"/>
    <w:rsid w:val="00EB3128"/>
    <w:rsid w:val="00EE0D69"/>
    <w:rsid w:val="00F1235D"/>
    <w:rsid w:val="00F14BDF"/>
    <w:rsid w:val="00F462B3"/>
    <w:rsid w:val="00F55FC8"/>
    <w:rsid w:val="00F56D43"/>
    <w:rsid w:val="00F56E8F"/>
    <w:rsid w:val="00F61ABF"/>
    <w:rsid w:val="00F65D6D"/>
    <w:rsid w:val="00F73E0A"/>
    <w:rsid w:val="00F74984"/>
    <w:rsid w:val="00F9547A"/>
    <w:rsid w:val="00FB7762"/>
    <w:rsid w:val="00FC5A4A"/>
    <w:rsid w:val="00FF47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72"/>
    <w:pPr>
      <w:spacing w:before="240" w:after="240"/>
      <w:ind w:firstLine="7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045EE"/>
    <w:pPr>
      <w:spacing w:before="0" w:after="0"/>
    </w:pPr>
    <w:rPr>
      <w:sz w:val="20"/>
      <w:szCs w:val="20"/>
    </w:rPr>
  </w:style>
  <w:style w:type="character" w:customStyle="1" w:styleId="FootnoteTextChar">
    <w:name w:val="Footnote Text Char"/>
    <w:link w:val="FootnoteText"/>
    <w:uiPriority w:val="99"/>
    <w:locked/>
    <w:rsid w:val="00B045EE"/>
    <w:rPr>
      <w:rFonts w:cs="Times New Roman"/>
      <w:sz w:val="20"/>
      <w:szCs w:val="20"/>
    </w:rPr>
  </w:style>
  <w:style w:type="character" w:styleId="FootnoteReference">
    <w:name w:val="footnote reference"/>
    <w:uiPriority w:val="99"/>
    <w:semiHidden/>
    <w:rsid w:val="00B045EE"/>
    <w:rPr>
      <w:rFonts w:cs="Times New Roman"/>
      <w:vertAlign w:val="superscript"/>
    </w:rPr>
  </w:style>
  <w:style w:type="paragraph" w:styleId="BalloonText">
    <w:name w:val="Balloon Text"/>
    <w:basedOn w:val="Normal"/>
    <w:link w:val="BalloonTextChar"/>
    <w:uiPriority w:val="99"/>
    <w:semiHidden/>
    <w:rsid w:val="00D05C94"/>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D05C94"/>
    <w:rPr>
      <w:rFonts w:ascii="Tahoma" w:hAnsi="Tahoma" w:cs="Tahoma"/>
      <w:sz w:val="16"/>
      <w:szCs w:val="16"/>
    </w:rPr>
  </w:style>
  <w:style w:type="character" w:styleId="Hyperlink">
    <w:name w:val="Hyperlink"/>
    <w:uiPriority w:val="99"/>
    <w:rsid w:val="00D05C94"/>
    <w:rPr>
      <w:rFonts w:cs="Times New Roman"/>
      <w:color w:val="0000FF"/>
      <w:u w:val="single"/>
    </w:rPr>
  </w:style>
  <w:style w:type="character" w:styleId="Emphasis">
    <w:name w:val="Emphasis"/>
    <w:uiPriority w:val="99"/>
    <w:qFormat/>
    <w:rsid w:val="00D05C94"/>
    <w:rPr>
      <w:rFonts w:cs="Times New Roman"/>
      <w:i/>
      <w:iCs/>
    </w:rPr>
  </w:style>
  <w:style w:type="character" w:customStyle="1" w:styleId="apple-converted-space">
    <w:name w:val="apple-converted-space"/>
    <w:uiPriority w:val="99"/>
    <w:rsid w:val="00D05C94"/>
    <w:rPr>
      <w:rFonts w:cs="Times New Roman"/>
    </w:rPr>
  </w:style>
  <w:style w:type="character" w:customStyle="1" w:styleId="a">
    <w:name w:val="a"/>
    <w:uiPriority w:val="99"/>
    <w:rsid w:val="00D05C94"/>
    <w:rPr>
      <w:rFonts w:cs="Times New Roman"/>
    </w:rPr>
  </w:style>
  <w:style w:type="character" w:customStyle="1" w:styleId="CharChar">
    <w:name w:val="Char Char"/>
    <w:uiPriority w:val="99"/>
    <w:semiHidden/>
    <w:rsid w:val="00A01D1D"/>
    <w:rPr>
      <w:rFonts w:cs="Times New Roman"/>
      <w:lang w:val="en-US" w:eastAsia="en-US" w:bidi="ar-SA"/>
    </w:rPr>
  </w:style>
  <w:style w:type="character" w:customStyle="1" w:styleId="addmd1">
    <w:name w:val="addmd1"/>
    <w:uiPriority w:val="99"/>
    <w:rsid w:val="006B7888"/>
    <w:rPr>
      <w:rFonts w:ascii="Arial" w:hAnsi="Arial" w:cs="Arial"/>
      <w:sz w:val="20"/>
      <w:szCs w:val="20"/>
    </w:rPr>
  </w:style>
  <w:style w:type="paragraph" w:styleId="Header">
    <w:name w:val="header"/>
    <w:basedOn w:val="Normal"/>
    <w:link w:val="HeaderChar"/>
    <w:uiPriority w:val="99"/>
    <w:semiHidden/>
    <w:unhideWhenUsed/>
    <w:rsid w:val="009164C3"/>
    <w:pPr>
      <w:tabs>
        <w:tab w:val="center" w:pos="4680"/>
        <w:tab w:val="right" w:pos="9360"/>
      </w:tabs>
    </w:pPr>
  </w:style>
  <w:style w:type="character" w:customStyle="1" w:styleId="HeaderChar">
    <w:name w:val="Header Char"/>
    <w:basedOn w:val="DefaultParagraphFont"/>
    <w:link w:val="Header"/>
    <w:uiPriority w:val="99"/>
    <w:semiHidden/>
    <w:rsid w:val="009164C3"/>
  </w:style>
  <w:style w:type="paragraph" w:styleId="Footer">
    <w:name w:val="footer"/>
    <w:basedOn w:val="Normal"/>
    <w:link w:val="FooterChar"/>
    <w:uiPriority w:val="99"/>
    <w:unhideWhenUsed/>
    <w:rsid w:val="009164C3"/>
    <w:pPr>
      <w:tabs>
        <w:tab w:val="center" w:pos="4680"/>
        <w:tab w:val="right" w:pos="9360"/>
      </w:tabs>
    </w:pPr>
  </w:style>
  <w:style w:type="character" w:customStyle="1" w:styleId="FooterChar">
    <w:name w:val="Footer Char"/>
    <w:basedOn w:val="DefaultParagraphFont"/>
    <w:link w:val="Footer"/>
    <w:uiPriority w:val="99"/>
    <w:rsid w:val="009164C3"/>
  </w:style>
  <w:style w:type="character" w:styleId="FollowedHyperlink">
    <w:name w:val="FollowedHyperlink"/>
    <w:uiPriority w:val="99"/>
    <w:semiHidden/>
    <w:unhideWhenUsed/>
    <w:rsid w:val="00894821"/>
    <w:rPr>
      <w:color w:val="800080"/>
      <w:u w:val="single"/>
    </w:rPr>
  </w:style>
  <w:style w:type="paragraph" w:styleId="ListParagraph">
    <w:name w:val="List Paragraph"/>
    <w:basedOn w:val="Normal"/>
    <w:uiPriority w:val="34"/>
    <w:qFormat/>
    <w:rsid w:val="00F462B3"/>
    <w:pPr>
      <w:spacing w:before="0" w:after="200" w:line="276" w:lineRule="auto"/>
      <w:ind w:left="720" w:firstLine="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3604">
      <w:marLeft w:val="0"/>
      <w:marRight w:val="0"/>
      <w:marTop w:val="0"/>
      <w:marBottom w:val="0"/>
      <w:divBdr>
        <w:top w:val="none" w:sz="0" w:space="0" w:color="auto"/>
        <w:left w:val="none" w:sz="0" w:space="0" w:color="auto"/>
        <w:bottom w:val="none" w:sz="0" w:space="0" w:color="auto"/>
        <w:right w:val="none" w:sz="0" w:space="0" w:color="auto"/>
      </w:divBdr>
      <w:divsChild>
        <w:div w:id="262883598">
          <w:marLeft w:val="0"/>
          <w:marRight w:val="0"/>
          <w:marTop w:val="0"/>
          <w:marBottom w:val="0"/>
          <w:divBdr>
            <w:top w:val="none" w:sz="0" w:space="0" w:color="auto"/>
            <w:left w:val="none" w:sz="0" w:space="0" w:color="auto"/>
            <w:bottom w:val="none" w:sz="0" w:space="0" w:color="auto"/>
            <w:right w:val="none" w:sz="0" w:space="0" w:color="auto"/>
          </w:divBdr>
          <w:divsChild>
            <w:div w:id="262883602">
              <w:marLeft w:val="0"/>
              <w:marRight w:val="0"/>
              <w:marTop w:val="0"/>
              <w:marBottom w:val="0"/>
              <w:divBdr>
                <w:top w:val="none" w:sz="0" w:space="0" w:color="auto"/>
                <w:left w:val="none" w:sz="0" w:space="0" w:color="auto"/>
                <w:bottom w:val="none" w:sz="0" w:space="0" w:color="auto"/>
                <w:right w:val="none" w:sz="0" w:space="0" w:color="auto"/>
              </w:divBdr>
              <w:divsChild>
                <w:div w:id="262883601">
                  <w:marLeft w:val="0"/>
                  <w:marRight w:val="0"/>
                  <w:marTop w:val="0"/>
                  <w:marBottom w:val="0"/>
                  <w:divBdr>
                    <w:top w:val="none" w:sz="0" w:space="0" w:color="auto"/>
                    <w:left w:val="none" w:sz="0" w:space="0" w:color="auto"/>
                    <w:bottom w:val="none" w:sz="0" w:space="0" w:color="auto"/>
                    <w:right w:val="none" w:sz="0" w:space="0" w:color="auto"/>
                  </w:divBdr>
                  <w:divsChild>
                    <w:div w:id="262883599">
                      <w:marLeft w:val="0"/>
                      <w:marRight w:val="0"/>
                      <w:marTop w:val="0"/>
                      <w:marBottom w:val="0"/>
                      <w:divBdr>
                        <w:top w:val="none" w:sz="0" w:space="0" w:color="auto"/>
                        <w:left w:val="none" w:sz="0" w:space="0" w:color="auto"/>
                        <w:bottom w:val="none" w:sz="0" w:space="0" w:color="auto"/>
                        <w:right w:val="none" w:sz="0" w:space="0" w:color="auto"/>
                      </w:divBdr>
                      <w:divsChild>
                        <w:div w:id="2628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83606">
      <w:marLeft w:val="0"/>
      <w:marRight w:val="0"/>
      <w:marTop w:val="0"/>
      <w:marBottom w:val="0"/>
      <w:divBdr>
        <w:top w:val="none" w:sz="0" w:space="0" w:color="auto"/>
        <w:left w:val="none" w:sz="0" w:space="0" w:color="auto"/>
        <w:bottom w:val="none" w:sz="0" w:space="0" w:color="auto"/>
        <w:right w:val="none" w:sz="0" w:space="0" w:color="auto"/>
      </w:divBdr>
      <w:divsChild>
        <w:div w:id="262883597">
          <w:marLeft w:val="0"/>
          <w:marRight w:val="0"/>
          <w:marTop w:val="0"/>
          <w:marBottom w:val="0"/>
          <w:divBdr>
            <w:top w:val="none" w:sz="0" w:space="0" w:color="auto"/>
            <w:left w:val="none" w:sz="0" w:space="0" w:color="auto"/>
            <w:bottom w:val="none" w:sz="0" w:space="0" w:color="auto"/>
            <w:right w:val="none" w:sz="0" w:space="0" w:color="auto"/>
          </w:divBdr>
          <w:divsChild>
            <w:div w:id="262883607">
              <w:marLeft w:val="90"/>
              <w:marRight w:val="90"/>
              <w:marTop w:val="0"/>
              <w:marBottom w:val="0"/>
              <w:divBdr>
                <w:top w:val="none" w:sz="0" w:space="0" w:color="auto"/>
                <w:left w:val="none" w:sz="0" w:space="0" w:color="auto"/>
                <w:bottom w:val="none" w:sz="0" w:space="0" w:color="auto"/>
                <w:right w:val="none" w:sz="0" w:space="0" w:color="auto"/>
              </w:divBdr>
              <w:divsChild>
                <w:div w:id="262883605">
                  <w:marLeft w:val="0"/>
                  <w:marRight w:val="0"/>
                  <w:marTop w:val="0"/>
                  <w:marBottom w:val="0"/>
                  <w:divBdr>
                    <w:top w:val="none" w:sz="0" w:space="0" w:color="auto"/>
                    <w:left w:val="none" w:sz="0" w:space="0" w:color="auto"/>
                    <w:bottom w:val="none" w:sz="0" w:space="0" w:color="auto"/>
                    <w:right w:val="none" w:sz="0" w:space="0" w:color="auto"/>
                  </w:divBdr>
                  <w:divsChild>
                    <w:div w:id="2628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3608">
      <w:marLeft w:val="0"/>
      <w:marRight w:val="0"/>
      <w:marTop w:val="0"/>
      <w:marBottom w:val="0"/>
      <w:divBdr>
        <w:top w:val="none" w:sz="0" w:space="0" w:color="auto"/>
        <w:left w:val="none" w:sz="0" w:space="0" w:color="auto"/>
        <w:bottom w:val="none" w:sz="0" w:space="0" w:color="auto"/>
        <w:right w:val="none" w:sz="0" w:space="0" w:color="auto"/>
      </w:divBdr>
      <w:divsChild>
        <w:div w:id="262883612">
          <w:marLeft w:val="0"/>
          <w:marRight w:val="0"/>
          <w:marTop w:val="0"/>
          <w:marBottom w:val="0"/>
          <w:divBdr>
            <w:top w:val="none" w:sz="0" w:space="0" w:color="auto"/>
            <w:left w:val="none" w:sz="0" w:space="0" w:color="auto"/>
            <w:bottom w:val="none" w:sz="0" w:space="0" w:color="auto"/>
            <w:right w:val="none" w:sz="0" w:space="0" w:color="auto"/>
          </w:divBdr>
        </w:div>
      </w:divsChild>
    </w:div>
    <w:div w:id="262883610">
      <w:marLeft w:val="0"/>
      <w:marRight w:val="0"/>
      <w:marTop w:val="0"/>
      <w:marBottom w:val="0"/>
      <w:divBdr>
        <w:top w:val="none" w:sz="0" w:space="0" w:color="auto"/>
        <w:left w:val="none" w:sz="0" w:space="0" w:color="auto"/>
        <w:bottom w:val="none" w:sz="0" w:space="0" w:color="auto"/>
        <w:right w:val="none" w:sz="0" w:space="0" w:color="auto"/>
      </w:divBdr>
      <w:divsChild>
        <w:div w:id="262883609">
          <w:marLeft w:val="0"/>
          <w:marRight w:val="0"/>
          <w:marTop w:val="0"/>
          <w:marBottom w:val="0"/>
          <w:divBdr>
            <w:top w:val="none" w:sz="0" w:space="0" w:color="auto"/>
            <w:left w:val="none" w:sz="0" w:space="0" w:color="auto"/>
            <w:bottom w:val="none" w:sz="0" w:space="0" w:color="auto"/>
            <w:right w:val="none" w:sz="0" w:space="0" w:color="auto"/>
          </w:divBdr>
          <w:divsChild>
            <w:div w:id="262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611">
      <w:marLeft w:val="0"/>
      <w:marRight w:val="0"/>
      <w:marTop w:val="0"/>
      <w:marBottom w:val="0"/>
      <w:divBdr>
        <w:top w:val="none" w:sz="0" w:space="0" w:color="auto"/>
        <w:left w:val="none" w:sz="0" w:space="0" w:color="auto"/>
        <w:bottom w:val="none" w:sz="0" w:space="0" w:color="auto"/>
        <w:right w:val="none" w:sz="0" w:space="0" w:color="auto"/>
      </w:divBdr>
      <w:divsChild>
        <w:div w:id="262883613">
          <w:marLeft w:val="0"/>
          <w:marRight w:val="0"/>
          <w:marTop w:val="0"/>
          <w:marBottom w:val="0"/>
          <w:divBdr>
            <w:top w:val="none" w:sz="0" w:space="0" w:color="auto"/>
            <w:left w:val="none" w:sz="0" w:space="0" w:color="auto"/>
            <w:bottom w:val="none" w:sz="0" w:space="0" w:color="auto"/>
            <w:right w:val="none" w:sz="0" w:space="0" w:color="auto"/>
          </w:divBdr>
        </w:div>
      </w:divsChild>
    </w:div>
    <w:div w:id="726029341">
      <w:bodyDiv w:val="1"/>
      <w:marLeft w:val="0"/>
      <w:marRight w:val="0"/>
      <w:marTop w:val="0"/>
      <w:marBottom w:val="0"/>
      <w:divBdr>
        <w:top w:val="none" w:sz="0" w:space="0" w:color="auto"/>
        <w:left w:val="none" w:sz="0" w:space="0" w:color="auto"/>
        <w:bottom w:val="none" w:sz="0" w:space="0" w:color="auto"/>
        <w:right w:val="none" w:sz="0" w:space="0" w:color="auto"/>
      </w:divBdr>
    </w:div>
    <w:div w:id="813567722">
      <w:bodyDiv w:val="1"/>
      <w:marLeft w:val="0"/>
      <w:marRight w:val="0"/>
      <w:marTop w:val="0"/>
      <w:marBottom w:val="0"/>
      <w:divBdr>
        <w:top w:val="none" w:sz="0" w:space="0" w:color="auto"/>
        <w:left w:val="none" w:sz="0" w:space="0" w:color="auto"/>
        <w:bottom w:val="none" w:sz="0" w:space="0" w:color="auto"/>
        <w:right w:val="none" w:sz="0" w:space="0" w:color="auto"/>
      </w:divBdr>
    </w:div>
    <w:div w:id="8188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hks.harvard.edu/fs/jfrankel/KOREGIM2Apr94.YSP.PDF" TargetMode="External"/><Relationship Id="rId39" Type="http://schemas.openxmlformats.org/officeDocument/2006/relationships/hyperlink" Target="http://www.hks.harvard.edu/fs/jfrankel/Africa.htm" TargetMode="External"/><Relationship Id="rId3" Type="http://schemas.openxmlformats.org/officeDocument/2006/relationships/styles" Target="styles.xml"/><Relationship Id="rId21" Type="http://schemas.openxmlformats.org/officeDocument/2006/relationships/hyperlink" Target="http://www.hks.harvard.edu/centers/cid/publications/faculty-working-papers/the-best-of-rules-and-discretion-a-case-for-nominal-gdp-targeting-in-india" TargetMode="External"/><Relationship Id="rId34" Type="http://schemas.openxmlformats.org/officeDocument/2006/relationships/hyperlink" Target="http://www.voxeu.org/person/jeffrey-frankel" TargetMode="External"/><Relationship Id="rId42" Type="http://schemas.openxmlformats.org/officeDocument/2006/relationships/hyperlink" Target="http://www.sciencedirect.com/science/journal/00221996" TargetMode="External"/><Relationship Id="rId47" Type="http://schemas.openxmlformats.org/officeDocument/2006/relationships/hyperlink" Target="http://www.columbia.edu/~mw2230/JHole2012final.pdf"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jstor.org/journals/00222879.html" TargetMode="External"/><Relationship Id="rId33" Type="http://schemas.openxmlformats.org/officeDocument/2006/relationships/hyperlink" Target="http://www.voxeu.org/article/inflation-targeting-dead-long-live-nominal-gdp-targeting" TargetMode="External"/><Relationship Id="rId38" Type="http://schemas.openxmlformats.org/officeDocument/2006/relationships/hyperlink" Target="http://www.blackwellpublishing.com/journal.asp?ref=0967-0750" TargetMode="External"/><Relationship Id="rId46" Type="http://schemas.openxmlformats.org/officeDocument/2006/relationships/hyperlink" Target="http://www.stanford.edu/~johntayl/Papers/Discretion.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file:///Q:\NGDPT-IndiaPB&amp;JF2014.docx" TargetMode="External"/><Relationship Id="rId29" Type="http://schemas.openxmlformats.org/officeDocument/2006/relationships/hyperlink" Target="http://www.hks.harvard.edu/fs/jfrankel/LaceaEconomiaPPT2011.pdf" TargetMode="External"/><Relationship Id="rId41" Type="http://schemas.openxmlformats.org/officeDocument/2006/relationships/hyperlink" Target="http://www.jstor.org/discover/10.2307/2232044?uid=3739696&amp;uid=2&amp;uid=4&amp;uid=3739256&amp;sid=562546765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hks.harvard.edu/fs/jfrankel/NOMGNP11.PDF" TargetMode="External"/><Relationship Id="rId32" Type="http://schemas.openxmlformats.org/officeDocument/2006/relationships/hyperlink" Target="http://www.hks.harvard.edu/fs/jfrankel/LAC-PPTw16362.pdf" TargetMode="External"/><Relationship Id="rId37" Type="http://schemas.openxmlformats.org/officeDocument/2006/relationships/hyperlink" Target="http://www.hks.harvard.edu/fs/jfrankel/SAfrFis&amp;MonCommodEcTrFeb08.pdf" TargetMode="External"/><Relationship Id="rId40" Type="http://schemas.openxmlformats.org/officeDocument/2006/relationships/hyperlink" Target="http://www.imf.org/external/np/pp/eng/2011/030911.pdf" TargetMode="External"/><Relationship Id="rId45" Type="http://schemas.openxmlformats.org/officeDocument/2006/relationships/hyperlink" Target="http://www.sciencedirect.com/science?_ob=PublicationURL&amp;_tockey=%23TOC%235812%232000%23999499998%23150306%23FLA%23&amp;_cdi=5812&amp;_pubType=J&amp;view=c&amp;_auth=y&amp;_acct=C000050221&amp;_version=1&amp;_urlVersion=0&amp;_userid=10&amp;md5=2b7b7179f885fb1a6ee5e3ec67d347ff"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marketmonetarist.com/2013/01/24/in-indian-inflation-is-always-and-everywhere-a-rainy-phenomenon/" TargetMode="External"/><Relationship Id="rId28" Type="http://schemas.openxmlformats.org/officeDocument/2006/relationships/hyperlink" Target="file:///\\Webdrive\Jeff's%20Website\ADBpaperOnExRateRegimes.pdf" TargetMode="External"/><Relationship Id="rId36" Type="http://schemas.openxmlformats.org/officeDocument/2006/relationships/hyperlink" Target="http://www.hks.harvard.edu/fs/jfrankel/KazakhExRate-Mon2013Dec.docx"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ideas.repec.org/a/ucp/jpolec/v115y2007p69-102.html" TargetMode="External"/><Relationship Id="rId31" Type="http://schemas.openxmlformats.org/officeDocument/2006/relationships/hyperlink" Target="http://www.brookings.edu/press/journals.aspx" TargetMode="External"/><Relationship Id="rId44" Type="http://schemas.openxmlformats.org/officeDocument/2006/relationships/hyperlink" Target="http://linkinghub.elsevier.com/retrieve/pii/S00221996980007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nber.org/papers/w18569" TargetMode="External"/><Relationship Id="rId27" Type="http://schemas.openxmlformats.org/officeDocument/2006/relationships/hyperlink" Target="http://www.cup.org/ObjectBuilder/ObjectBuilder.iwx?ProcessName=ProductPage&amp;Merchant_Id=1&amp;product_id=0-521-59711-0&amp;origin=search&amp;searchField=TITLE&amp;searchString=Capital%20Controls,%20Exchange%20Rates" TargetMode="External"/><Relationship Id="rId30" Type="http://schemas.openxmlformats.org/officeDocument/2006/relationships/hyperlink" Target="http://www.cid.harvard.edu/Economia/" TargetMode="External"/><Relationship Id="rId35" Type="http://schemas.openxmlformats.org/officeDocument/2006/relationships/hyperlink" Target="http://www.voxeu.org/sites/default/files/file/P248%20inflation%20targeting(2).pdf" TargetMode="External"/><Relationship Id="rId43" Type="http://schemas.openxmlformats.org/officeDocument/2006/relationships/hyperlink" Target="http://www.sciencedirect.com/science?_ob=PublicationURL&amp;_tockey=%23TOC%235812%232007%23999269998%23663353%23FLA%23&amp;_cdi=5812&amp;_pubType=J&amp;view=c&amp;_auth=y&amp;_acct=C000050221&amp;_version=1&amp;_urlVersion=0&amp;_userid=10&amp;md5=0b8fb8f7f3ea7dd3caf81313dc99eb36"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F5CC-32F6-48A6-946E-B0CAFB25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Nominal GDP Targeting for Middle-Income Countries</vt:lpstr>
    </vt:vector>
  </TitlesOfParts>
  <Company>Lenovo</Company>
  <LinksUpToDate>false</LinksUpToDate>
  <CharactersWithSpaces>33650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Nominal GDP Targeting for Middle-Income Countries</dc:title>
  <dc:creator>Lenovo User</dc:creator>
  <cp:lastModifiedBy>Evan</cp:lastModifiedBy>
  <cp:revision>2</cp:revision>
  <cp:lastPrinted>2014-06-03T21:34:00Z</cp:lastPrinted>
  <dcterms:created xsi:type="dcterms:W3CDTF">2014-07-21T14:22:00Z</dcterms:created>
  <dcterms:modified xsi:type="dcterms:W3CDTF">2014-07-21T14:22:00Z</dcterms:modified>
</cp:coreProperties>
</file>