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52" w:rsidRDefault="000D379C" w:rsidP="000D379C">
      <w:pPr>
        <w:tabs>
          <w:tab w:val="num" w:pos="144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="00EC5E52">
        <w:rPr>
          <w:sz w:val="32"/>
          <w:szCs w:val="32"/>
        </w:rPr>
        <w:t>Policy Pro-cyclicality</w:t>
      </w:r>
      <w:r>
        <w:rPr>
          <w:sz w:val="32"/>
          <w:szCs w:val="32"/>
        </w:rPr>
        <w:t>”</w:t>
      </w:r>
      <w:r w:rsidR="00EC5E52">
        <w:rPr>
          <w:sz w:val="32"/>
          <w:szCs w:val="32"/>
        </w:rPr>
        <w:br/>
        <w:t xml:space="preserve">Macro Policy Seminar, Harvard Economics Department, </w:t>
      </w:r>
      <w:r w:rsidR="002F1AA6">
        <w:rPr>
          <w:sz w:val="32"/>
          <w:szCs w:val="32"/>
        </w:rPr>
        <w:br/>
        <w:t>December 3</w:t>
      </w:r>
      <w:r w:rsidR="00EC5E52">
        <w:rPr>
          <w:sz w:val="32"/>
          <w:szCs w:val="32"/>
        </w:rPr>
        <w:t>, 2019</w:t>
      </w:r>
      <w:r w:rsidR="00EC5E52">
        <w:rPr>
          <w:sz w:val="32"/>
          <w:szCs w:val="32"/>
        </w:rPr>
        <w:br/>
      </w:r>
      <w:r w:rsidR="00067542">
        <w:rPr>
          <w:sz w:val="32"/>
          <w:szCs w:val="32"/>
        </w:rPr>
        <w:t xml:space="preserve">Prof. </w:t>
      </w:r>
      <w:r w:rsidR="00EC5E52">
        <w:rPr>
          <w:sz w:val="32"/>
          <w:szCs w:val="32"/>
        </w:rPr>
        <w:t>Jeffrey Frankel, Harvard Kennedy School.</w:t>
      </w:r>
    </w:p>
    <w:p w:rsidR="00EC5E52" w:rsidRPr="009F623B" w:rsidRDefault="009F623B" w:rsidP="009F623B">
      <w:pPr>
        <w:tabs>
          <w:tab w:val="num" w:pos="1440"/>
        </w:tabs>
        <w:jc w:val="center"/>
        <w:rPr>
          <w:i/>
          <w:sz w:val="32"/>
          <w:szCs w:val="32"/>
        </w:rPr>
      </w:pPr>
      <w:r w:rsidRPr="009F623B">
        <w:rPr>
          <w:i/>
          <w:sz w:val="32"/>
          <w:szCs w:val="32"/>
        </w:rPr>
        <w:t>Summary</w:t>
      </w:r>
    </w:p>
    <w:p w:rsidR="00EC5E52" w:rsidRDefault="00E03B55" w:rsidP="00E21B98">
      <w:pPr>
        <w:tabs>
          <w:tab w:val="num" w:pos="1440"/>
        </w:tabs>
        <w:rPr>
          <w:sz w:val="32"/>
          <w:szCs w:val="32"/>
        </w:rPr>
      </w:pPr>
      <w:r>
        <w:rPr>
          <w:sz w:val="32"/>
          <w:szCs w:val="32"/>
        </w:rPr>
        <w:t xml:space="preserve">Whatever else fiscal policy does, it should not be pro-cyclical.  </w:t>
      </w:r>
    </w:p>
    <w:p w:rsidR="000452A7" w:rsidRDefault="00EC5E52" w:rsidP="00E21B98">
      <w:pPr>
        <w:tabs>
          <w:tab w:val="num" w:pos="1440"/>
        </w:tabs>
        <w:rPr>
          <w:sz w:val="32"/>
          <w:szCs w:val="32"/>
        </w:rPr>
      </w:pPr>
      <w:r>
        <w:rPr>
          <w:sz w:val="32"/>
          <w:szCs w:val="32"/>
        </w:rPr>
        <w:t>Let’s s</w:t>
      </w:r>
      <w:r w:rsidR="00E03B55" w:rsidRPr="00E03B55">
        <w:rPr>
          <w:sz w:val="32"/>
          <w:szCs w:val="32"/>
        </w:rPr>
        <w:t>tart with an i</w:t>
      </w:r>
      <w:r w:rsidR="00067542">
        <w:rPr>
          <w:sz w:val="32"/>
          <w:szCs w:val="32"/>
        </w:rPr>
        <w:t xml:space="preserve">nternational </w:t>
      </w:r>
      <w:r w:rsidR="0084745D">
        <w:rPr>
          <w:sz w:val="32"/>
          <w:szCs w:val="32"/>
        </w:rPr>
        <w:t>perspective</w:t>
      </w:r>
      <w:r w:rsidR="0084745D" w:rsidRPr="00E03B55">
        <w:rPr>
          <w:sz w:val="32"/>
          <w:szCs w:val="32"/>
        </w:rPr>
        <w:t>:</w:t>
      </w:r>
      <w:r w:rsidR="00E03B55">
        <w:rPr>
          <w:sz w:val="32"/>
          <w:szCs w:val="32"/>
        </w:rPr>
        <w:t xml:space="preserve"> </w:t>
      </w:r>
      <w:r w:rsidR="00E21B98">
        <w:rPr>
          <w:sz w:val="32"/>
          <w:szCs w:val="32"/>
        </w:rPr>
        <w:t xml:space="preserve"> </w:t>
      </w:r>
      <w:r w:rsidR="00554696" w:rsidRPr="00E03B55">
        <w:rPr>
          <w:sz w:val="32"/>
          <w:szCs w:val="32"/>
        </w:rPr>
        <w:t>Which countries are fiscally counter-cyclical?</w:t>
      </w:r>
      <w:r w:rsidR="00E21B98">
        <w:rPr>
          <w:sz w:val="32"/>
          <w:szCs w:val="32"/>
        </w:rPr>
        <w:t xml:space="preserve">  </w:t>
      </w:r>
      <w:r w:rsidR="002A6B4F">
        <w:rPr>
          <w:sz w:val="32"/>
          <w:szCs w:val="32"/>
        </w:rPr>
        <w:t>During 1960-1999</w:t>
      </w:r>
      <w:r w:rsidR="00E21B98">
        <w:rPr>
          <w:sz w:val="32"/>
          <w:szCs w:val="32"/>
        </w:rPr>
        <w:t>, Chile, like most developing countries, showed pro-cyclical spending</w:t>
      </w:r>
      <w:r>
        <w:rPr>
          <w:sz w:val="32"/>
          <w:szCs w:val="32"/>
        </w:rPr>
        <w:t>,</w:t>
      </w:r>
      <w:r w:rsidR="00E21B98">
        <w:rPr>
          <w:sz w:val="32"/>
          <w:szCs w:val="32"/>
        </w:rPr>
        <w:t xml:space="preserve"> while Greece, like most advanced countries</w:t>
      </w:r>
      <w:r>
        <w:rPr>
          <w:sz w:val="32"/>
          <w:szCs w:val="32"/>
        </w:rPr>
        <w:t>,</w:t>
      </w:r>
      <w:r w:rsidR="00E21B98">
        <w:rPr>
          <w:sz w:val="32"/>
          <w:szCs w:val="32"/>
        </w:rPr>
        <w:t xml:space="preserve"> was counter-cyclical.  In 2000-2018, they switched places. </w:t>
      </w:r>
      <w:r w:rsidR="00E03B55">
        <w:rPr>
          <w:sz w:val="32"/>
          <w:szCs w:val="32"/>
        </w:rPr>
        <w:t>I</w:t>
      </w:r>
      <w:r w:rsidR="00E03B55" w:rsidRPr="00E03B55">
        <w:rPr>
          <w:sz w:val="32"/>
          <w:szCs w:val="32"/>
        </w:rPr>
        <w:t>nstitutions</w:t>
      </w:r>
      <w:r w:rsidR="00E03B55">
        <w:rPr>
          <w:sz w:val="32"/>
          <w:szCs w:val="32"/>
        </w:rPr>
        <w:t xml:space="preserve"> can explain the difference</w:t>
      </w:r>
      <w:r w:rsidR="00E21B98">
        <w:rPr>
          <w:sz w:val="32"/>
          <w:szCs w:val="32"/>
        </w:rPr>
        <w:t xml:space="preserve"> – more specifically, institutions that block optimism</w:t>
      </w:r>
      <w:r w:rsidR="00554696">
        <w:rPr>
          <w:sz w:val="32"/>
          <w:szCs w:val="32"/>
        </w:rPr>
        <w:t>-</w:t>
      </w:r>
      <w:r w:rsidR="00E21B98">
        <w:rPr>
          <w:sz w:val="32"/>
          <w:szCs w:val="32"/>
        </w:rPr>
        <w:t>bias in official forecasts.</w:t>
      </w:r>
    </w:p>
    <w:p w:rsidR="00EC5E52" w:rsidRDefault="00EC5E52" w:rsidP="00E21B98">
      <w:pPr>
        <w:tabs>
          <w:tab w:val="num" w:pos="1440"/>
        </w:tabs>
        <w:rPr>
          <w:sz w:val="32"/>
          <w:szCs w:val="32"/>
        </w:rPr>
      </w:pPr>
      <w:r>
        <w:rPr>
          <w:sz w:val="32"/>
          <w:szCs w:val="32"/>
        </w:rPr>
        <w:t xml:space="preserve">In developing countries, optimism bias takes the form of thinking that a commodity boom will go on forever.  In euro countries, it takes the form of official forecasts that growth will bring the budget deficit back </w:t>
      </w:r>
      <w:proofErr w:type="gramStart"/>
      <w:r>
        <w:rPr>
          <w:sz w:val="32"/>
          <w:szCs w:val="32"/>
        </w:rPr>
        <w:t>under</w:t>
      </w:r>
      <w:proofErr w:type="gramEnd"/>
      <w:r>
        <w:rPr>
          <w:sz w:val="32"/>
          <w:szCs w:val="32"/>
        </w:rPr>
        <w:t xml:space="preserve"> 3% of GDP </w:t>
      </w:r>
      <w:r w:rsidR="00460D9C">
        <w:rPr>
          <w:sz w:val="32"/>
          <w:szCs w:val="32"/>
        </w:rPr>
        <w:t xml:space="preserve">next year </w:t>
      </w:r>
      <w:r>
        <w:rPr>
          <w:sz w:val="32"/>
          <w:szCs w:val="32"/>
        </w:rPr>
        <w:t xml:space="preserve">(the SGP rule).   </w:t>
      </w:r>
      <w:r w:rsidR="00554696">
        <w:rPr>
          <w:sz w:val="32"/>
          <w:szCs w:val="32"/>
        </w:rPr>
        <w:t xml:space="preserve">In </w:t>
      </w:r>
      <w:r>
        <w:rPr>
          <w:sz w:val="32"/>
          <w:szCs w:val="32"/>
        </w:rPr>
        <w:t xml:space="preserve">one of the </w:t>
      </w:r>
      <w:r w:rsidR="00067542">
        <w:rPr>
          <w:sz w:val="32"/>
          <w:szCs w:val="32"/>
        </w:rPr>
        <w:t xml:space="preserve">two </w:t>
      </w:r>
      <w:r>
        <w:rPr>
          <w:sz w:val="32"/>
          <w:szCs w:val="32"/>
        </w:rPr>
        <w:t>US political parties, it takes the form of forecasts that tax cuts will pay for themselves.</w:t>
      </w:r>
    </w:p>
    <w:p w:rsidR="002B65A0" w:rsidRDefault="002B65A0" w:rsidP="002B65A0">
      <w:pPr>
        <w:tabs>
          <w:tab w:val="num" w:pos="1440"/>
        </w:tabs>
        <w:rPr>
          <w:sz w:val="32"/>
          <w:szCs w:val="32"/>
        </w:rPr>
      </w:pPr>
      <w:r>
        <w:rPr>
          <w:sz w:val="32"/>
          <w:szCs w:val="32"/>
        </w:rPr>
        <w:t xml:space="preserve">A claim: </w:t>
      </w:r>
      <w:r w:rsidRPr="002B65A0">
        <w:rPr>
          <w:sz w:val="32"/>
          <w:szCs w:val="32"/>
        </w:rPr>
        <w:t xml:space="preserve"> US Rep</w:t>
      </w:r>
      <w:r w:rsidR="00EC5E52">
        <w:rPr>
          <w:sz w:val="32"/>
          <w:szCs w:val="32"/>
        </w:rPr>
        <w:t>ublicans have been pro-cyclical in the policies they push for</w:t>
      </w:r>
      <w:r w:rsidR="00067542">
        <w:rPr>
          <w:sz w:val="32"/>
          <w:szCs w:val="32"/>
        </w:rPr>
        <w:t xml:space="preserve"> </w:t>
      </w:r>
      <w:r w:rsidR="0084745D">
        <w:rPr>
          <w:sz w:val="32"/>
          <w:szCs w:val="32"/>
        </w:rPr>
        <w:t>-- not</w:t>
      </w:r>
      <w:r>
        <w:rPr>
          <w:sz w:val="32"/>
          <w:szCs w:val="32"/>
        </w:rPr>
        <w:t xml:space="preserve"> only with respect to fiscal policy</w:t>
      </w:r>
      <w:r w:rsidR="00067542">
        <w:rPr>
          <w:sz w:val="32"/>
          <w:szCs w:val="32"/>
        </w:rPr>
        <w:t>,</w:t>
      </w:r>
      <w:r>
        <w:rPr>
          <w:sz w:val="32"/>
          <w:szCs w:val="32"/>
        </w:rPr>
        <w:t xml:space="preserve"> but also with respect to financial regulation</w:t>
      </w:r>
      <w:r w:rsidR="00067542">
        <w:rPr>
          <w:sz w:val="32"/>
          <w:szCs w:val="32"/>
        </w:rPr>
        <w:t>,</w:t>
      </w:r>
      <w:r>
        <w:rPr>
          <w:sz w:val="32"/>
          <w:szCs w:val="32"/>
        </w:rPr>
        <w:t xml:space="preserve"> and</w:t>
      </w:r>
      <w:r w:rsidR="00554696" w:rsidRPr="002B65A0">
        <w:rPr>
          <w:sz w:val="32"/>
          <w:szCs w:val="32"/>
        </w:rPr>
        <w:t xml:space="preserve"> monetary policy</w:t>
      </w:r>
      <w:r>
        <w:rPr>
          <w:sz w:val="32"/>
          <w:szCs w:val="32"/>
        </w:rPr>
        <w:t xml:space="preserve">.  This is especially true </w:t>
      </w:r>
      <w:r w:rsidR="000D379C">
        <w:rPr>
          <w:sz w:val="32"/>
          <w:szCs w:val="32"/>
        </w:rPr>
        <w:t>at the current cyclical peak</w:t>
      </w:r>
      <w:r>
        <w:rPr>
          <w:sz w:val="32"/>
          <w:szCs w:val="32"/>
        </w:rPr>
        <w:t>, but the historical pattern goes way back.</w:t>
      </w:r>
    </w:p>
    <w:p w:rsidR="002B65A0" w:rsidRPr="00E03B55" w:rsidRDefault="00554696" w:rsidP="002B65A0">
      <w:pPr>
        <w:tabs>
          <w:tab w:val="num" w:pos="1440"/>
        </w:tabs>
        <w:rPr>
          <w:sz w:val="32"/>
          <w:szCs w:val="32"/>
        </w:rPr>
      </w:pPr>
      <w:r>
        <w:rPr>
          <w:sz w:val="32"/>
          <w:szCs w:val="32"/>
        </w:rPr>
        <w:t>One q</w:t>
      </w:r>
      <w:bookmarkStart w:id="0" w:name="_GoBack"/>
      <w:bookmarkEnd w:id="0"/>
      <w:r w:rsidR="002B65A0" w:rsidRPr="002B65A0">
        <w:rPr>
          <w:sz w:val="32"/>
          <w:szCs w:val="32"/>
        </w:rPr>
        <w:t>uestion:  Do I need to re-think this</w:t>
      </w:r>
      <w:r w:rsidR="00067542">
        <w:rPr>
          <w:sz w:val="32"/>
          <w:szCs w:val="32"/>
        </w:rPr>
        <w:t xml:space="preserve"> generalization</w:t>
      </w:r>
      <w:r w:rsidR="002B65A0" w:rsidRPr="002B65A0">
        <w:rPr>
          <w:sz w:val="32"/>
          <w:szCs w:val="32"/>
        </w:rPr>
        <w:t>, now</w:t>
      </w:r>
      <w:r w:rsidR="002B65A0">
        <w:rPr>
          <w:sz w:val="32"/>
          <w:szCs w:val="32"/>
        </w:rPr>
        <w:t xml:space="preserve"> that some Democrats have joined Republicans in supporting </w:t>
      </w:r>
      <w:r w:rsidR="002B65A0" w:rsidRPr="002B65A0">
        <w:rPr>
          <w:sz w:val="32"/>
          <w:szCs w:val="32"/>
        </w:rPr>
        <w:t xml:space="preserve">fiscal </w:t>
      </w:r>
      <w:r w:rsidR="002B65A0">
        <w:rPr>
          <w:sz w:val="32"/>
          <w:szCs w:val="32"/>
        </w:rPr>
        <w:t>and</w:t>
      </w:r>
      <w:r w:rsidR="002B65A0" w:rsidRPr="002B65A0">
        <w:rPr>
          <w:sz w:val="32"/>
          <w:szCs w:val="32"/>
        </w:rPr>
        <w:t xml:space="preserve"> monetary expansion </w:t>
      </w:r>
      <w:r w:rsidR="002B65A0">
        <w:rPr>
          <w:sz w:val="32"/>
          <w:szCs w:val="32"/>
        </w:rPr>
        <w:t xml:space="preserve">even though </w:t>
      </w:r>
      <w:r w:rsidR="002B65A0" w:rsidRPr="002B65A0">
        <w:rPr>
          <w:sz w:val="32"/>
          <w:szCs w:val="32"/>
        </w:rPr>
        <w:t xml:space="preserve">unemployment </w:t>
      </w:r>
      <w:r w:rsidR="002B65A0">
        <w:rPr>
          <w:sz w:val="32"/>
          <w:szCs w:val="32"/>
        </w:rPr>
        <w:t>is as low as</w:t>
      </w:r>
      <w:r w:rsidR="002B65A0" w:rsidRPr="002B65A0">
        <w:rPr>
          <w:sz w:val="32"/>
          <w:szCs w:val="32"/>
        </w:rPr>
        <w:t xml:space="preserve"> 3 ½ %?</w:t>
      </w:r>
    </w:p>
    <w:sectPr w:rsidR="002B65A0" w:rsidRPr="00E03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324D9"/>
    <w:multiLevelType w:val="hybridMultilevel"/>
    <w:tmpl w:val="A4FCE2D8"/>
    <w:lvl w:ilvl="0" w:tplc="386C1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FAD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EA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E9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4D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2A8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C2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4F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E80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4D398C"/>
    <w:multiLevelType w:val="hybridMultilevel"/>
    <w:tmpl w:val="B8D096B0"/>
    <w:lvl w:ilvl="0" w:tplc="6D328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E0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F00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70B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40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0E9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6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81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4A2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55"/>
    <w:rsid w:val="000452A7"/>
    <w:rsid w:val="00067542"/>
    <w:rsid w:val="000D379C"/>
    <w:rsid w:val="001A3C74"/>
    <w:rsid w:val="002A6B4F"/>
    <w:rsid w:val="002B65A0"/>
    <w:rsid w:val="002F1AA6"/>
    <w:rsid w:val="004341E4"/>
    <w:rsid w:val="00460D9C"/>
    <w:rsid w:val="00554696"/>
    <w:rsid w:val="00674EEE"/>
    <w:rsid w:val="0084745D"/>
    <w:rsid w:val="008D1B28"/>
    <w:rsid w:val="009F623B"/>
    <w:rsid w:val="00AD7088"/>
    <w:rsid w:val="00E03B55"/>
    <w:rsid w:val="00E21B98"/>
    <w:rsid w:val="00E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5569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881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288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2019-11-28T02:06:00Z</dcterms:created>
  <dcterms:modified xsi:type="dcterms:W3CDTF">2019-11-28T02:14:00Z</dcterms:modified>
</cp:coreProperties>
</file>