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276" w:rsidRDefault="00F60EFF" w:rsidP="00684805">
      <w:pPr>
        <w:jc w:val="right"/>
      </w:pPr>
      <w:r>
        <w:t>Oct.4</w:t>
      </w:r>
      <w:r w:rsidR="00DF0276">
        <w:t xml:space="preserve"> 2011</w:t>
      </w:r>
      <w:r w:rsidR="00DF0276">
        <w:br/>
      </w:r>
    </w:p>
    <w:p w:rsidR="00DF0276" w:rsidRDefault="00DF0276" w:rsidP="00684805">
      <w:pPr>
        <w:jc w:val="right"/>
      </w:pPr>
    </w:p>
    <w:p w:rsidR="00DF0276" w:rsidRPr="00C63C30" w:rsidRDefault="00DF0276" w:rsidP="00C63C30">
      <w:pPr>
        <w:jc w:val="center"/>
        <w:rPr>
          <w:b/>
          <w:sz w:val="28"/>
          <w:szCs w:val="28"/>
        </w:rPr>
      </w:pPr>
      <w:r>
        <w:rPr>
          <w:b/>
          <w:color w:val="000000"/>
          <w:sz w:val="28"/>
          <w:szCs w:val="28"/>
        </w:rPr>
        <w:t>Historical P</w:t>
      </w:r>
      <w:r w:rsidRPr="00C63C30">
        <w:rPr>
          <w:b/>
          <w:color w:val="000000"/>
          <w:sz w:val="28"/>
          <w:szCs w:val="28"/>
        </w:rPr>
        <w:t xml:space="preserve">recedents for the </w:t>
      </w:r>
      <w:r>
        <w:rPr>
          <w:b/>
          <w:color w:val="000000"/>
          <w:sz w:val="28"/>
          <w:szCs w:val="28"/>
        </w:rPr>
        <w:t>I</w:t>
      </w:r>
      <w:r w:rsidRPr="00C63C30">
        <w:rPr>
          <w:b/>
          <w:color w:val="000000"/>
          <w:sz w:val="28"/>
          <w:szCs w:val="28"/>
        </w:rPr>
        <w:t>nternationalization of the RMB</w:t>
      </w:r>
    </w:p>
    <w:p w:rsidR="00DF0276" w:rsidRDefault="00DF0276"/>
    <w:p w:rsidR="00DF0276" w:rsidRDefault="00DF0276"/>
    <w:p w:rsidR="00DF0276" w:rsidRDefault="00DF0276" w:rsidP="00684805">
      <w:pPr>
        <w:jc w:val="center"/>
        <w:rPr>
          <w:sz w:val="26"/>
          <w:szCs w:val="26"/>
        </w:rPr>
      </w:pPr>
      <w:r w:rsidRPr="001B4AAC">
        <w:rPr>
          <w:sz w:val="26"/>
          <w:szCs w:val="26"/>
        </w:rPr>
        <w:t xml:space="preserve">Jeffrey Frankel, </w:t>
      </w:r>
      <w:r w:rsidRPr="001B4AAC">
        <w:rPr>
          <w:sz w:val="26"/>
          <w:szCs w:val="26"/>
        </w:rPr>
        <w:br/>
        <w:t xml:space="preserve">Harpel Professor of Capital Formation and Growth, </w:t>
      </w:r>
      <w:smartTag w:uri="urn:schemas-microsoft-com:office:smarttags" w:element="PlaceName">
        <w:smartTag w:uri="urn:schemas-microsoft-com:office:smarttags" w:element="place">
          <w:r w:rsidRPr="001B4AAC">
            <w:rPr>
              <w:sz w:val="26"/>
              <w:szCs w:val="26"/>
            </w:rPr>
            <w:t>Harvard</w:t>
          </w:r>
        </w:smartTag>
        <w:r w:rsidRPr="001B4AAC">
          <w:rPr>
            <w:sz w:val="26"/>
            <w:szCs w:val="26"/>
          </w:rPr>
          <w:t xml:space="preserve"> </w:t>
        </w:r>
        <w:smartTag w:uri="urn:schemas-microsoft-com:office:smarttags" w:element="PlaceType">
          <w:r w:rsidRPr="001B4AAC">
            <w:rPr>
              <w:sz w:val="26"/>
              <w:szCs w:val="26"/>
            </w:rPr>
            <w:t>University</w:t>
          </w:r>
        </w:smartTag>
      </w:smartTag>
      <w:r w:rsidRPr="001B4AAC">
        <w:rPr>
          <w:sz w:val="26"/>
          <w:szCs w:val="26"/>
        </w:rPr>
        <w:br/>
      </w:r>
    </w:p>
    <w:p w:rsidR="00DF0276" w:rsidRDefault="00DF0276" w:rsidP="00684805">
      <w:pPr>
        <w:jc w:val="center"/>
        <w:rPr>
          <w:sz w:val="26"/>
          <w:szCs w:val="26"/>
        </w:rPr>
      </w:pPr>
    </w:p>
    <w:p w:rsidR="00DF0276" w:rsidRDefault="00DF0276" w:rsidP="00684805">
      <w:pPr>
        <w:jc w:val="center"/>
        <w:rPr>
          <w:sz w:val="26"/>
          <w:szCs w:val="26"/>
        </w:rPr>
      </w:pPr>
    </w:p>
    <w:p w:rsidR="00DF0276" w:rsidRPr="007143D2" w:rsidRDefault="007143D2" w:rsidP="00684805">
      <w:pPr>
        <w:jc w:val="center"/>
        <w:rPr>
          <w:sz w:val="22"/>
          <w:szCs w:val="22"/>
        </w:rPr>
      </w:pPr>
      <w:r w:rsidRPr="007143D2">
        <w:rPr>
          <w:sz w:val="22"/>
          <w:szCs w:val="22"/>
        </w:rPr>
        <w:t>This paper was origina</w:t>
      </w:r>
      <w:r w:rsidRPr="007143D2">
        <w:rPr>
          <w:sz w:val="22"/>
          <w:szCs w:val="22"/>
        </w:rPr>
        <w:t>l</w:t>
      </w:r>
      <w:r w:rsidRPr="007143D2">
        <w:rPr>
          <w:sz w:val="22"/>
          <w:szCs w:val="22"/>
        </w:rPr>
        <w:t>ly w</w:t>
      </w:r>
      <w:r w:rsidR="00DF0276" w:rsidRPr="007143D2">
        <w:rPr>
          <w:sz w:val="22"/>
          <w:szCs w:val="22"/>
        </w:rPr>
        <w:t xml:space="preserve">ritten for a </w:t>
      </w:r>
      <w:r w:rsidR="00DF0276" w:rsidRPr="007143D2">
        <w:rPr>
          <w:color w:val="000000"/>
          <w:sz w:val="22"/>
          <w:szCs w:val="22"/>
        </w:rPr>
        <w:t>workshop organized by the Council on Foreign Relations</w:t>
      </w:r>
      <w:r w:rsidRPr="007143D2">
        <w:rPr>
          <w:color w:val="000000"/>
          <w:sz w:val="22"/>
          <w:szCs w:val="22"/>
        </w:rPr>
        <w:t xml:space="preserve"> </w:t>
      </w:r>
      <w:r w:rsidR="00DF0276" w:rsidRPr="007143D2">
        <w:rPr>
          <w:color w:val="000000"/>
          <w:sz w:val="22"/>
          <w:szCs w:val="22"/>
        </w:rPr>
        <w:t>and the China Development Research Foundation</w:t>
      </w:r>
      <w:r>
        <w:rPr>
          <w:color w:val="000000"/>
          <w:sz w:val="22"/>
          <w:szCs w:val="22"/>
        </w:rPr>
        <w:t xml:space="preserve">, </w:t>
      </w:r>
      <w:r w:rsidR="00DF0276" w:rsidRPr="007143D2">
        <w:rPr>
          <w:sz w:val="22"/>
          <w:szCs w:val="22"/>
        </w:rPr>
        <w:t>Beijing, November 1, 2011</w:t>
      </w:r>
      <w:r w:rsidRPr="007143D2">
        <w:rPr>
          <w:sz w:val="22"/>
          <w:szCs w:val="22"/>
        </w:rPr>
        <w:t xml:space="preserve">.   The papers are posted at </w:t>
      </w:r>
      <w:hyperlink r:id="rId7" w:history="1">
        <w:r w:rsidRPr="007143D2">
          <w:rPr>
            <w:rStyle w:val="Hyperlink"/>
            <w:sz w:val="22"/>
            <w:szCs w:val="22"/>
          </w:rPr>
          <w:t>http://www.cfr.org/thinktank/cgs/beijingpapers.html</w:t>
        </w:r>
      </w:hyperlink>
      <w:r>
        <w:rPr>
          <w:sz w:val="22"/>
          <w:szCs w:val="22"/>
        </w:rPr>
        <w:t>.</w:t>
      </w:r>
    </w:p>
    <w:p w:rsidR="00DF0276" w:rsidRDefault="00DF0276" w:rsidP="00684805">
      <w:pPr>
        <w:jc w:val="center"/>
        <w:rPr>
          <w:sz w:val="26"/>
          <w:szCs w:val="26"/>
        </w:rPr>
      </w:pPr>
    </w:p>
    <w:p w:rsidR="00DF0276" w:rsidRPr="007960CC" w:rsidRDefault="00DF0276" w:rsidP="00684805">
      <w:pPr>
        <w:jc w:val="center"/>
        <w:rPr>
          <w:sz w:val="22"/>
          <w:szCs w:val="22"/>
        </w:rPr>
      </w:pPr>
      <w:r w:rsidRPr="007960CC">
        <w:rPr>
          <w:sz w:val="22"/>
          <w:szCs w:val="22"/>
        </w:rPr>
        <w:t>The author would like to thank Menzie Chinn</w:t>
      </w:r>
      <w:r>
        <w:rPr>
          <w:sz w:val="22"/>
          <w:szCs w:val="22"/>
        </w:rPr>
        <w:t>, Sebastian Mallaby,</w:t>
      </w:r>
      <w:r w:rsidRPr="007960CC">
        <w:rPr>
          <w:sz w:val="22"/>
          <w:szCs w:val="22"/>
        </w:rPr>
        <w:t xml:space="preserve"> </w:t>
      </w:r>
      <w:r w:rsidR="00F60EFF">
        <w:rPr>
          <w:sz w:val="22"/>
          <w:szCs w:val="22"/>
        </w:rPr>
        <w:t xml:space="preserve">Shang-Jin Wei, </w:t>
      </w:r>
      <w:r w:rsidRPr="007960CC">
        <w:rPr>
          <w:sz w:val="22"/>
          <w:szCs w:val="22"/>
        </w:rPr>
        <w:t>and Cynthia Mei Balloch.</w:t>
      </w:r>
    </w:p>
    <w:p w:rsidR="00DF0276" w:rsidRDefault="00DF0276" w:rsidP="00684805">
      <w:pPr>
        <w:jc w:val="center"/>
        <w:rPr>
          <w:sz w:val="26"/>
          <w:szCs w:val="26"/>
        </w:rPr>
      </w:pPr>
    </w:p>
    <w:p w:rsidR="00DF0276" w:rsidRDefault="00DF0276" w:rsidP="00684805">
      <w:pPr>
        <w:jc w:val="center"/>
        <w:rPr>
          <w:sz w:val="26"/>
          <w:szCs w:val="26"/>
        </w:rPr>
      </w:pPr>
    </w:p>
    <w:p w:rsidR="00DF0276" w:rsidRDefault="00DF0276" w:rsidP="00684805">
      <w:pPr>
        <w:jc w:val="center"/>
        <w:rPr>
          <w:sz w:val="26"/>
          <w:szCs w:val="26"/>
        </w:rPr>
      </w:pPr>
    </w:p>
    <w:p w:rsidR="00DF0276" w:rsidRDefault="00DF0276" w:rsidP="00684805">
      <w:pPr>
        <w:jc w:val="center"/>
        <w:rPr>
          <w:sz w:val="26"/>
          <w:szCs w:val="26"/>
        </w:rPr>
      </w:pPr>
    </w:p>
    <w:p w:rsidR="00DF0276" w:rsidRPr="0065025C" w:rsidRDefault="00DF0276" w:rsidP="00684805">
      <w:pPr>
        <w:jc w:val="center"/>
        <w:rPr>
          <w:sz w:val="26"/>
          <w:szCs w:val="26"/>
          <w:u w:val="single"/>
        </w:rPr>
      </w:pPr>
      <w:r w:rsidRPr="0065025C">
        <w:rPr>
          <w:sz w:val="26"/>
          <w:szCs w:val="26"/>
          <w:u w:val="single"/>
        </w:rPr>
        <w:t>Abstract</w:t>
      </w:r>
    </w:p>
    <w:p w:rsidR="00DF0276" w:rsidRDefault="00DF0276" w:rsidP="00684805">
      <w:pPr>
        <w:jc w:val="center"/>
      </w:pPr>
    </w:p>
    <w:p w:rsidR="00DF0276" w:rsidRDefault="00DF0276" w:rsidP="00E672E1">
      <w:r>
        <w:t>The renminbi is a fresh new hopeful among the ranks of international currencies.   This paper looks to history for help in evaluating the factors determining its prospects.  The three best precedents in the 20</w:t>
      </w:r>
      <w:r w:rsidRPr="007D637E">
        <w:rPr>
          <w:vertAlign w:val="superscript"/>
        </w:rPr>
        <w:t>th</w:t>
      </w:r>
      <w:r>
        <w:t xml:space="preserve"> century were the rise of the dollar from 1913 to 1945, the rise of the deutsche mark from 1973 to 1990, and the rise of the yen from 1978 to 1991.  The main fundamental determinants of international currency status are economic size, confidence in the currency, and depth of financial markets.   The new view is that, once these three factors are in place, internationalization of the currency can proceed quite rapidly.  Thus some observers have recently forecast that the RMB may even challenge the dollar in a decade.  But they underestimate the importance of the third criterion, the depth of financial markets. In principle, the Chinese government could decide to create that depth, which would require accepting an open capital account, diminished control over the domestic allocation of credit, and a flexible exchange rate. But although the Chinese government has been actively promoting offshore use of the currency since 2010, it has not done very much to meet these requirements.  Indeed, to promote internationalization as national policy would depart from the historical precedents. In all three twentieth-century cases of internationalization, there was little popular interest in the supposed prestige of having the country’s currency appear in the international listings, and businessmen feared that the currency would strengthen and damage their export competitiveness.   Probably </w:t>
      </w:r>
      <w:smartTag w:uri="urn:schemas-microsoft-com:office:smarttags" w:element="country-region">
        <w:smartTag w:uri="urn:schemas-microsoft-com:office:smarttags" w:element="place">
          <w:r>
            <w:t>China</w:t>
          </w:r>
        </w:smartTag>
      </w:smartTag>
      <w:r>
        <w:t>, likewise, is not yet fully ready to open its domestic financial markets and let the currency appreciate, so the renminbi will not be challenging the dollar for a long time.</w:t>
      </w:r>
    </w:p>
    <w:p w:rsidR="00DF0276" w:rsidRDefault="00DF0276"/>
    <w:p w:rsidR="00DF0276" w:rsidRDefault="00DF0276"/>
    <w:p w:rsidR="00DF0276" w:rsidRPr="001118E1" w:rsidRDefault="00DF0276" w:rsidP="001118E1">
      <w:pPr>
        <w:jc w:val="center"/>
        <w:rPr>
          <w:b/>
          <w:sz w:val="16"/>
          <w:szCs w:val="16"/>
        </w:rPr>
      </w:pPr>
      <w:r>
        <w:br w:type="page"/>
      </w:r>
      <w:r>
        <w:rPr>
          <w:b/>
          <w:color w:val="000000"/>
        </w:rPr>
        <w:lastRenderedPageBreak/>
        <w:t>Historical P</w:t>
      </w:r>
      <w:r w:rsidRPr="001118E1">
        <w:rPr>
          <w:b/>
          <w:color w:val="000000"/>
        </w:rPr>
        <w:t xml:space="preserve">recedents for the </w:t>
      </w:r>
      <w:r>
        <w:rPr>
          <w:b/>
          <w:color w:val="000000"/>
        </w:rPr>
        <w:t>I</w:t>
      </w:r>
      <w:r w:rsidRPr="001118E1">
        <w:rPr>
          <w:b/>
          <w:color w:val="000000"/>
        </w:rPr>
        <w:t>nternationalization of the RMB</w:t>
      </w:r>
    </w:p>
    <w:p w:rsidR="00DF0276" w:rsidRPr="001118E1" w:rsidRDefault="00DF0276" w:rsidP="001118E1">
      <w:pPr>
        <w:jc w:val="center"/>
        <w:rPr>
          <w:sz w:val="16"/>
          <w:szCs w:val="16"/>
        </w:rPr>
      </w:pPr>
    </w:p>
    <w:p w:rsidR="00DF0276" w:rsidRPr="001118E1" w:rsidRDefault="00DF0276" w:rsidP="001118E1">
      <w:pPr>
        <w:ind w:firstLine="720"/>
        <w:jc w:val="center"/>
      </w:pPr>
      <w:r w:rsidRPr="001118E1">
        <w:t>Jeffrey Frankel</w:t>
      </w:r>
    </w:p>
    <w:p w:rsidR="00DF0276" w:rsidRDefault="00DF0276" w:rsidP="0000752F">
      <w:pPr>
        <w:ind w:firstLine="720"/>
      </w:pPr>
    </w:p>
    <w:p w:rsidR="00DF0276" w:rsidRDefault="00DF0276" w:rsidP="0000752F">
      <w:pPr>
        <w:ind w:firstLine="720"/>
      </w:pPr>
    </w:p>
    <w:p w:rsidR="00DF0276" w:rsidRDefault="00DF0276" w:rsidP="0000752F">
      <w:pPr>
        <w:ind w:firstLine="720"/>
      </w:pPr>
    </w:p>
    <w:p w:rsidR="00DF0276" w:rsidRDefault="00DF0276" w:rsidP="0000752F">
      <w:pPr>
        <w:ind w:firstLine="720"/>
      </w:pPr>
      <w:r>
        <w:t>When pondering the prospects for the renminbi to become an international currency, it helps to look to history.  During the course of the 20</w:t>
      </w:r>
      <w:r w:rsidRPr="009A58F5">
        <w:rPr>
          <w:vertAlign w:val="superscript"/>
        </w:rPr>
        <w:t>th</w:t>
      </w:r>
      <w:r>
        <w:t xml:space="preserve"> century there were three major cases of national currencies that rose to international currency status: (1) the dollar during the first half of the century and (2) the mark and (3) the yen during the two decades following the 1971-73 breakup of the Bretton Woods system.   The three cases differ in many respects, including the terms on which the currencies ended the century.  But there are some commonalities in the circumstances in which each rose to international currency status, which may hold lessons for the renminbi.</w:t>
      </w:r>
    </w:p>
    <w:p w:rsidR="00DF0276" w:rsidRDefault="00DF0276" w:rsidP="0000752F">
      <w:pPr>
        <w:ind w:firstLine="720"/>
      </w:pPr>
      <w:r>
        <w:t xml:space="preserve">This paper considers briefly the internationalizations of the three currencies.   One striking conclusion is that in none of the three cases did nationalist sentiment initially push the international role for the currency.   Typically the public was indifferent, having surprisingly little desire to walk the world stage.  Businessmen were often outright opposed, fearing that a surge in demand for the currency would drive up its foreign exchange value and hurt their competitiveness.   The interests of the financial sector did little to counterbalance the interests of the manufacturing sector.  To be sure, some deliberate policy steps were taken that facilitated internationalization; but they were mostly pursued by a very small elite that did not have widespread support for its actions.  Generally, the internationalization occurred as an unplanned side effect of the economic and financial expansion of the country in question. </w:t>
      </w:r>
    </w:p>
    <w:p w:rsidR="00DF0276" w:rsidRDefault="00DF0276"/>
    <w:p w:rsidR="00DF0276" w:rsidRDefault="00DF0276" w:rsidP="0000752F">
      <w:pPr>
        <w:ind w:firstLine="720"/>
      </w:pPr>
      <w:r>
        <w:t>Before we begin, we must note the three major fundamentals that determine whether a currency is suited for international status.   (These are discussed at greater length in an appendix to this paper.</w:t>
      </w:r>
      <w:r>
        <w:rPr>
          <w:rStyle w:val="FootnoteReference"/>
        </w:rPr>
        <w:footnoteReference w:id="2"/>
      </w:r>
      <w:r>
        <w:t>)    The first is the size of the home economy, as measured by GDP or trade.   The second is confidence in the value of the currency, as measured by the long-term trend in its exchange rate, the variability of the exchange rate, the country’s long-term inflation rate, and its position as an international net creditor.  The third is the development of its financial markets, particularly depth, liquidity, dependability and openness.  A fourth question is more controversial:  when the fundamental strengths of one currency come to surpass those of others, does the international role of the rising currency evolve quickly (perhaps accelerated by a tipping phenomenon) or only slowly (gradual adjustment due to inertia)?</w:t>
      </w:r>
    </w:p>
    <w:p w:rsidR="00DF0276" w:rsidRDefault="00DF0276"/>
    <w:p w:rsidR="00DF0276" w:rsidRDefault="00DF0276" w:rsidP="00291140">
      <w:pPr>
        <w:ind w:firstLine="720"/>
      </w:pPr>
      <w:r>
        <w:t xml:space="preserve">At the end we consider </w:t>
      </w:r>
      <w:smartTag w:uri="urn:schemas-microsoft-com:office:smarttags" w:element="country-region">
        <w:smartTag w:uri="urn:schemas-microsoft-com:office:smarttags" w:element="place">
          <w:r>
            <w:t>China</w:t>
          </w:r>
        </w:smartTag>
      </w:smartTag>
      <w:r>
        <w:t xml:space="preserve">’s currency in light of this historical record. </w:t>
      </w:r>
    </w:p>
    <w:p w:rsidR="00DF0276" w:rsidRDefault="00DF0276"/>
    <w:p w:rsidR="00DF0276" w:rsidRDefault="00DF0276"/>
    <w:p w:rsidR="00DF0276" w:rsidRDefault="00DF0276"/>
    <w:p w:rsidR="00DF0276" w:rsidRDefault="00DF0276">
      <w:r w:rsidRPr="00F5556A">
        <w:rPr>
          <w:b/>
        </w:rPr>
        <w:t xml:space="preserve">The </w:t>
      </w:r>
      <w:r>
        <w:rPr>
          <w:b/>
        </w:rPr>
        <w:t xml:space="preserve">rapid </w:t>
      </w:r>
      <w:r w:rsidRPr="00F5556A">
        <w:rPr>
          <w:b/>
        </w:rPr>
        <w:t>ascent of the dollar</w:t>
      </w:r>
    </w:p>
    <w:p w:rsidR="00DF0276" w:rsidRDefault="00DF0276"/>
    <w:p w:rsidR="00DF0276" w:rsidRPr="00E672E1" w:rsidRDefault="00DF0276" w:rsidP="0000752F">
      <w:pPr>
        <w:ind w:firstLine="720"/>
        <w:rPr>
          <w:spacing w:val="-3"/>
        </w:rPr>
      </w:pPr>
      <w:r>
        <w:t>At the dawn of the 20</w:t>
      </w:r>
      <w:r w:rsidRPr="00F5556A">
        <w:rPr>
          <w:vertAlign w:val="superscript"/>
        </w:rPr>
        <w:t>th</w:t>
      </w:r>
      <w:r>
        <w:t xml:space="preserve"> century, the pound sterling reigned supreme.   </w:t>
      </w:r>
      <w:r>
        <w:rPr>
          <w:spacing w:val="-3"/>
        </w:rPr>
        <w:t>Historians estimate, for example, that roughly 60 percent of the world’s trade was invoiced in sterling in the late 19</w:t>
      </w:r>
      <w:r>
        <w:rPr>
          <w:spacing w:val="-3"/>
          <w:vertAlign w:val="superscript"/>
        </w:rPr>
        <w:t>th</w:t>
      </w:r>
      <w:r>
        <w:rPr>
          <w:spacing w:val="-3"/>
        </w:rPr>
        <w:t xml:space="preserve"> century. </w:t>
      </w:r>
      <w:r>
        <w:rPr>
          <w:rStyle w:val="FootnoteReference"/>
          <w:spacing w:val="-3"/>
        </w:rPr>
        <w:footnoteReference w:id="3"/>
      </w:r>
      <w:r>
        <w:rPr>
          <w:spacing w:val="-3"/>
        </w:rPr>
        <w:t xml:space="preserve">   In 1899 the share of pounds in known foreign exchange holdings of official institutions was almost two thirds, more than twice the total of the next nearest competitors, the French franc and German mark.</w:t>
      </w:r>
      <w:r>
        <w:rPr>
          <w:rStyle w:val="FootnoteReference"/>
          <w:spacing w:val="-3"/>
        </w:rPr>
        <w:footnoteReference w:id="4"/>
      </w:r>
      <w:r>
        <w:rPr>
          <w:spacing w:val="-3"/>
        </w:rPr>
        <w:t xml:space="preserve">   </w:t>
      </w:r>
      <w:r>
        <w:t>The dollar did not even make the running</w:t>
      </w:r>
      <w:r>
        <w:rPr>
          <w:spacing w:val="-3"/>
        </w:rPr>
        <w:t>.</w:t>
      </w:r>
      <w:r>
        <w:rPr>
          <w:rStyle w:val="EndnoteReference"/>
          <w:spacing w:val="-3"/>
        </w:rPr>
        <w:t xml:space="preserve"> </w:t>
      </w:r>
      <w:r>
        <w:rPr>
          <w:spacing w:val="-3"/>
        </w:rPr>
        <w:t xml:space="preserve">  </w:t>
      </w:r>
    </w:p>
    <w:p w:rsidR="00DF0276" w:rsidRDefault="00DF0276" w:rsidP="0000752F">
      <w:pPr>
        <w:ind w:firstLine="720"/>
      </w:pPr>
      <w:r>
        <w:rPr>
          <w:spacing w:val="-3"/>
        </w:rPr>
        <w:t xml:space="preserve">The ranking of the four currencies remained the same in 1913. </w:t>
      </w:r>
      <w:r>
        <w:t xml:space="preserve">And yet by 1917 the dollar had emerged as a major international currency.  Foreign central banks had begun to hold dollar reserves and the currency was increasingly used in trade and finance. Historians debate whether the dollar dethroned the pound soon thereafter, in the 1920s, or whether it merely joined the list of major international currencies at that point.  Either way, the dollar’s rise as an international currency after 1913 was rapid.  What explains this shift?  </w:t>
      </w:r>
    </w:p>
    <w:p w:rsidR="00DF0276" w:rsidRDefault="00DF0276" w:rsidP="00F14A99">
      <w:pPr>
        <w:ind w:firstLine="720"/>
      </w:pPr>
      <w:r>
        <w:t xml:space="preserve">Prior to 1913, the dollar’s main problem was not size (the first criterion for an international currency):  the </w:t>
      </w:r>
      <w:smartTag w:uri="urn:schemas-microsoft-com:office:smarttags" w:element="country-region">
        <w:r>
          <w:t>US</w:t>
        </w:r>
      </w:smartTag>
      <w:r>
        <w:t xml:space="preserve"> economy had surpassed the </w:t>
      </w:r>
      <w:smartTag w:uri="urn:schemas-microsoft-com:office:smarttags" w:element="country-region">
        <w:smartTag w:uri="urn:schemas-microsoft-com:office:smarttags" w:element="place">
          <w:r>
            <w:t>UK</w:t>
          </w:r>
        </w:smartTag>
      </w:smartTag>
      <w:r>
        <w:t xml:space="preserve"> economy, at least as measured by national output, in </w:t>
      </w:r>
      <w:r>
        <w:rPr>
          <w:spacing w:val="-3"/>
        </w:rPr>
        <w:t>1872.</w:t>
      </w:r>
      <w:r>
        <w:rPr>
          <w:rStyle w:val="FootnoteReference"/>
          <w:spacing w:val="-3"/>
        </w:rPr>
        <w:footnoteReference w:id="5"/>
      </w:r>
      <w:r>
        <w:rPr>
          <w:spacing w:val="-3"/>
        </w:rPr>
        <w:t xml:space="preserve">  </w:t>
      </w:r>
      <w:r>
        <w:t xml:space="preserve"> Rather, the country lacked financial markets that were deep, liquid, dependable and open.   Indeed, it even lacked a central bank, which is considered a pre-requisite for the development of markets in instruments such as bankers’ acceptances.</w:t>
      </w:r>
      <w:r w:rsidRPr="0006515B">
        <w:t xml:space="preserve"> </w:t>
      </w:r>
      <w:r>
        <w:t xml:space="preserve">  Perhaps the dollar also fell short in terms of foreign confidence in its value.  For one thing, the </w:t>
      </w:r>
      <w:smartTag w:uri="urn:schemas-microsoft-com:office:smarttags" w:element="country-region">
        <w:smartTag w:uri="urn:schemas-microsoft-com:office:smarttags" w:element="place">
          <w:r>
            <w:t>United States</w:t>
          </w:r>
        </w:smartTag>
      </w:smartTag>
      <w:r>
        <w:t xml:space="preserve"> was still an international debtor.   For another, it had a habit of experiencing occasional financial crashes.   Indeed the Panic of 1907, which came with a 50% fall in the Dow Jones Industrial Average and an 11% fall in production, was only ended when J. Pierpont Morgan famously locked Wall Street’s leaders into his study and refused to release them until they pledged to stand behind its teetering financial institutions. With the lender of last resort function dependent on the actions of a private citizen, international investors had reason to doubt the dollar’s future reliability.  </w:t>
      </w:r>
    </w:p>
    <w:p w:rsidR="00DF0276" w:rsidRDefault="00DF0276" w:rsidP="00F14A99">
      <w:pPr>
        <w:ind w:firstLine="720"/>
      </w:pPr>
      <w:r>
        <w:t xml:space="preserve">As Morgan would not always be around to play this role, the episode demonstrated the need for a central bank to act as lender of last resort.   Senator Nelson Aldrich, having become persuaded of this need, convened a meeting of six “duck hunters” on </w:t>
      </w:r>
      <w:smartTag w:uri="urn:schemas-microsoft-com:office:smarttags" w:element="PlaceName">
        <w:smartTag w:uri="urn:schemas-microsoft-com:office:smarttags" w:element="place">
          <w:r>
            <w:t>Jekyll</w:t>
          </w:r>
        </w:smartTag>
        <w:r>
          <w:t xml:space="preserve"> </w:t>
        </w:r>
        <w:smartTag w:uri="urn:schemas-microsoft-com:office:smarttags" w:element="PlaceType">
          <w:r>
            <w:t>Island</w:t>
          </w:r>
        </w:smartTag>
      </w:smartTag>
      <w:r>
        <w:t xml:space="preserve"> in 1910.  The meeting was chaired by financier Paul Warburg and attended by a small group of banking executives, including Benjamin Strong (head of Bankers Trust, representing Morgan).</w:t>
      </w:r>
      <w:r>
        <w:rPr>
          <w:rStyle w:val="FootnoteReference"/>
        </w:rPr>
        <w:footnoteReference w:id="6"/>
      </w:r>
      <w:r>
        <w:t xml:space="preserve">  They produced the Aldrich Plan, which eventually became the law establishing the Federal Reserve.   There is no question that this was a small elite taking steps that did not have broad support.   Attempts to found a national bank earlier in American history had foundered on populist suspicion of eastern </w:t>
      </w:r>
      <w:r>
        <w:lastRenderedPageBreak/>
        <w:t xml:space="preserve">banking interests, and this attempt would have met the same fate if the public had known the circumstances of its genesis.  But the six conspirators acted in extreme secrecy during their supposed duck hunting trip on </w:t>
      </w:r>
      <w:smartTag w:uri="urn:schemas-microsoft-com:office:smarttags" w:element="PlaceName">
        <w:smartTag w:uri="urn:schemas-microsoft-com:office:smarttags" w:element="place">
          <w:r>
            <w:t>Jekyll</w:t>
          </w:r>
        </w:smartTag>
        <w:r>
          <w:t xml:space="preserve"> </w:t>
        </w:r>
        <w:smartTag w:uri="urn:schemas-microsoft-com:office:smarttags" w:element="PlaceType">
          <w:r>
            <w:t>Island</w:t>
          </w:r>
        </w:smartTag>
      </w:smartTag>
      <w:r>
        <w:t>, and kept the secret for three years.  Despite their precautions, and a proposed organizational structure deliberately designed to disperse control beyond an Eastern banking establishment, there was strong populist opposition to the foundation of the Federal Reserve. The bill passed only in 1913 when a new president, Woodrow Wilson, decided to take ownership of it.</w:t>
      </w:r>
    </w:p>
    <w:p w:rsidR="00DF0276" w:rsidRDefault="00DF0276" w:rsidP="00EA3B6B">
      <w:pPr>
        <w:ind w:firstLine="720"/>
      </w:pPr>
      <w:r w:rsidDel="002058F5">
        <w:t xml:space="preserve"> </w:t>
      </w:r>
      <w:r>
        <w:t xml:space="preserve">Once the central bank was established, the United States made rapid progress in terms of the third criterion for an international currency, increasing the depth, liquidity and openness of US financial markets. Eichengreen (2011) argues that it was the establishment of a market in dollar-denominated trade acceptances among banks that mattered most. As the financial markets developed, so did the international role of the dollar. The onset of World War I accelerated the transformation: Large-scale wartime lending by the United States to Britain and other combatants reversed the nineteenth-century creditor-debtor relationship, and positioned the dollar as a strong currency – the second criterion for international status. </w:t>
      </w:r>
    </w:p>
    <w:p w:rsidR="00DF0276" w:rsidRDefault="00DF0276">
      <w:r>
        <w:tab/>
        <w:t xml:space="preserve">All this happened without any desire, whether on the part of the public or politicians, for international prestige or power on the world stage. The law creating the Fed squeezed through Congress because of the shock of the financial panic of 1907, not because Congress aspired to boost the dollar’s international standing.   Indeed, there is plenty of evidence that, even though the world was now ready for a new hegemon and the United States had the heft to play that role, it did not have the awareness, interest or skills to do so.  The failure of the US Senate to ratify the League of Nations in 1919, the passage of the Smoot Hawley tariff in 1930, and Roosevelt’s torpedoing of the London Economic Conference in 1933 are but three examples of U.S. reticence. (According to Kindleberger’s (1974) hegemonic stability theory, the resultant lack of global leadership and deficiency in the provision of international “public goods” had dire consequences for all countries.  The international monetary system in the interwar period was likened to an orchestra without a conductor.)     </w:t>
      </w:r>
    </w:p>
    <w:p w:rsidR="00DF0276" w:rsidRPr="006A760D" w:rsidRDefault="00DF0276">
      <w:r>
        <w:tab/>
        <w:t>One would expect that the internationalization of the dollar was in the interest of the business community, or at least the New York financial community.   But even here, the majority was not sufficiently interested to lobby for deliberate measures. Rather, internationalization of the dollar was an important part of the vision held by the same tiny elite who conspired to establish the Federal Reserve.  Broz (1999) argues, “Although financial reform was couched in terms of the national interest, Warburg explicitly tied it to improving the international position of the dollar.”</w:t>
      </w:r>
      <w:r w:rsidRPr="0067586C">
        <w:t xml:space="preserve"> </w:t>
      </w:r>
      <w:r>
        <w:t xml:space="preserve">Karmin (1999,  p.114) concludes, “for the plotters on Jekyll Island, the ulterior motive was to profit from the internationalization of the dollar.”  The outsized influence of the six duck hunters did not end with the establishment of the central bank in 1913.  </w:t>
      </w:r>
      <w:r w:rsidRPr="00EC59F5">
        <w:t>One of them</w:t>
      </w:r>
      <w:r>
        <w:t>,</w:t>
      </w:r>
      <w:r w:rsidRPr="00EC59F5">
        <w:t xml:space="preserve"> Benjamin Strong</w:t>
      </w:r>
      <w:r>
        <w:t>,</w:t>
      </w:r>
      <w:r w:rsidRPr="00EC59F5">
        <w:t xml:space="preserve"> became the first president of the New York Fed</w:t>
      </w:r>
      <w:r>
        <w:t xml:space="preserve"> in 1914 and served until his death in 1928.</w:t>
      </w:r>
      <w:r w:rsidRPr="00EC59F5">
        <w:t xml:space="preserve">  It was he, far more than anyone else, who built up the new institution and nurtured the new international currency</w:t>
      </w:r>
      <w:r>
        <w:t xml:space="preserve"> in the 1920s</w:t>
      </w:r>
      <w:r w:rsidRPr="00FC4174">
        <w:t>,</w:t>
      </w:r>
      <w:r w:rsidRPr="00FC4174">
        <w:rPr>
          <w:rStyle w:val="FootnoteReference"/>
        </w:rPr>
        <w:footnoteReference w:id="7"/>
      </w:r>
      <w:r w:rsidRPr="006A760D">
        <w:t xml:space="preserve"> for example promoting American lending to </w:t>
      </w:r>
      <w:r w:rsidRPr="006A760D">
        <w:lastRenderedPageBreak/>
        <w:t>Europe.</w:t>
      </w:r>
      <w:r w:rsidRPr="006A760D">
        <w:rPr>
          <w:rStyle w:val="FootnoteReference"/>
        </w:rPr>
        <w:footnoteReference w:id="8"/>
      </w:r>
      <w:r w:rsidRPr="006A760D">
        <w:t xml:space="preserve">  Another of the six, Frank Vanderlip, president of the bank that was to become Citi, led the way in opening international branches and expanding dollar </w:t>
      </w:r>
      <w:r>
        <w:t>lend</w:t>
      </w:r>
      <w:r w:rsidRPr="00FC4174">
        <w:t>ing</w:t>
      </w:r>
      <w:r w:rsidRPr="006A760D">
        <w:t>.</w:t>
      </w:r>
      <w:r w:rsidRPr="006A760D">
        <w:rPr>
          <w:rStyle w:val="FootnoteReference"/>
        </w:rPr>
        <w:footnoteReference w:id="9"/>
      </w:r>
    </w:p>
    <w:p w:rsidR="00DF0276" w:rsidRDefault="00DF0276" w:rsidP="006A760D">
      <w:pPr>
        <w:ind w:firstLine="720"/>
      </w:pPr>
      <w:r>
        <w:t>Regarding the speed of the dollar’s ascent, the traditional view has been that the dollar did not fully supplant the pound until after World War II and that this illustrates the strong inertia in international currency roles and the long lags in responding to changes in the fundamental determinants. Krugman (1984) put the lag at half a century.  The inertia is said to result from the network externalities that are intrinsic to the choice of money just as they are in the choice of language.  One decides to use the dollar for the same reason that one decides to learn English: everyone else has done it.</w:t>
      </w:r>
      <w:r>
        <w:rPr>
          <w:rStyle w:val="FootnoteReference"/>
        </w:rPr>
        <w:footnoteReference w:id="10"/>
      </w:r>
      <w:r>
        <w:t xml:space="preserve">  </w:t>
      </w:r>
    </w:p>
    <w:p w:rsidR="00DF0276" w:rsidRDefault="00DF0276" w:rsidP="00C1560C">
      <w:pPr>
        <w:ind w:firstLine="720"/>
      </w:pPr>
      <w:r>
        <w:t xml:space="preserve">The pound made a bit of a comeback in the late 1930s.  </w:t>
      </w:r>
      <w:r>
        <w:rPr>
          <w:spacing w:val="-3"/>
        </w:rPr>
        <w:t>As late as 1940, the level of foreign-owned liquid assets held in sterling was still double that held in dollars.  But by 1945, the position of the dollar and pound, as measured by this statistic, had precisely reversed.</w:t>
      </w:r>
      <w:r>
        <w:rPr>
          <w:rStyle w:val="FootnoteReference"/>
          <w:spacing w:val="-3"/>
        </w:rPr>
        <w:footnoteReference w:id="11"/>
      </w:r>
      <w:r>
        <w:t xml:space="preserve">  The dollar emerged from the war still convertible into gold, while the pound (and other currencies) did not. So the dollar standard became the de facto basis of the Bretton Woods system.  Some have placed the date of the pound’s dethronement as late as 1954, based on figures of foreign exchange reserve holdings.</w:t>
      </w:r>
      <w:r>
        <w:rPr>
          <w:rStyle w:val="FootnoteReference"/>
        </w:rPr>
        <w:footnoteReference w:id="12"/>
      </w:r>
      <w:r>
        <w:t xml:space="preserve">    That could conceivably imply a lag behind fundamentals as long as 80 years, if one viewed the key determining event as US GNP passing that of the UK in 1872.   </w:t>
      </w:r>
    </w:p>
    <w:p w:rsidR="00DF0276" w:rsidRDefault="00DF0276" w:rsidP="00C1560C">
      <w:pPr>
        <w:ind w:firstLine="720"/>
      </w:pPr>
      <w:r>
        <w:t>A more reasonable view is that the dethronement took place earlier than 1954 and the change in overall fundamentals took place later than 1872, during World War I. This is when the US attained the other criteria needed for an international currency: a central bank, net creditor status, liquid and open financial markets, and ia also when sterling lost its convertibility into gold (the first time)</w:t>
      </w:r>
      <w:r>
        <w:rPr>
          <w:rStyle w:val="FootnoteReference"/>
        </w:rPr>
        <w:footnoteReference w:id="13"/>
      </w:r>
      <w:r>
        <w:t xml:space="preserve"> as well as</w:t>
      </w:r>
      <w:r w:rsidRPr="009A2BC3">
        <w:t xml:space="preserve"> </w:t>
      </w:r>
      <w:r>
        <w:t xml:space="preserve">most of its creditor position.   If the fundamentals are judged to have switched in 1917, and the currency positions to have finally switched in 1945, then the lag was on the order of 30 years.   </w:t>
      </w:r>
    </w:p>
    <w:p w:rsidR="00DF0276" w:rsidRDefault="00DF0276" w:rsidP="00C1560C">
      <w:pPr>
        <w:ind w:firstLine="720"/>
        <w:rPr>
          <w:sz w:val="22"/>
          <w:szCs w:val="22"/>
        </w:rPr>
      </w:pPr>
      <w:r>
        <w:t>Others have recently argued that the lag was shorter</w:t>
      </w:r>
      <w:r w:rsidRPr="005C6689">
        <w:t xml:space="preserve"> </w:t>
      </w:r>
      <w:r>
        <w:t xml:space="preserve">still. They say that the reserve holding figures are distorted by Britain’s insistence that Commonwealth countries be required to hold pounds and be discouraged from spending them on other countries’ goods.  </w:t>
      </w:r>
      <w:r w:rsidRPr="0028473D">
        <w:t>Eichengreen (2011) and Eichengreen and Flandreau (201</w:t>
      </w:r>
      <w:r>
        <w:t>0</w:t>
      </w:r>
      <w:r w:rsidRPr="0028473D">
        <w:t xml:space="preserve">) point to the formation of the sterling bloc in the 1930s and offer the following evidence that the constraint continued to bind after the war:  In 1947, when the UK removed restrictions on use of </w:t>
      </w:r>
      <w:r w:rsidRPr="0028473D">
        <w:lastRenderedPageBreak/>
        <w:t>sterling (as it had agreed to do, under relentless American pressure), Commonwealth countries rushed to sell pounds for dollars, impelling the UK to restore the restrictions.</w:t>
      </w:r>
    </w:p>
    <w:p w:rsidR="00DF0276" w:rsidRDefault="00DF0276" w:rsidP="00C1560C">
      <w:pPr>
        <w:ind w:firstLine="720"/>
      </w:pPr>
      <w:r>
        <w:t>Eichengreen (2011), Eichengreen and Flandreau (2008, 2010), and Subramanian (2011a, b) argue that the dollar overtook the pound as early as the mid-1920s.   The implication is that the lag in this episode was less than ten years.  Eichengreen (2011, p. 32) writes:  “From a standing start in 1914, the dollar had already overtaken sterling by 1925.”</w:t>
      </w:r>
      <w:r>
        <w:rPr>
          <w:rStyle w:val="FootnoteReference"/>
        </w:rPr>
        <w:footnoteReference w:id="14"/>
      </w:r>
      <w:r>
        <w:t xml:space="preserve"> </w:t>
      </w:r>
    </w:p>
    <w:p w:rsidR="00DF0276" w:rsidRDefault="00DF0276" w:rsidP="00C1560C">
      <w:pPr>
        <w:ind w:firstLine="720"/>
      </w:pPr>
      <w:r>
        <w:t>Indeed, if one judges economic size not by GNP but by trade volume, then the implication is that the lag was even shorter.  The level of US exports first surpassed UK exports during World War I. The difference was very small throughout the 1920s and 1930s.  [UK trade was again larger than US trade in 1929.]  Not until World War II did US trade pull definitively ahead of UK trade.  Either way, the argument is that the transition in currency status was actually rather sudden, and that the dollar could fall from grace just as quickly today.</w:t>
      </w:r>
      <w:r>
        <w:rPr>
          <w:rStyle w:val="FootnoteReference"/>
        </w:rPr>
        <w:footnoteReference w:id="15"/>
      </w:r>
    </w:p>
    <w:p w:rsidR="00DF0276" w:rsidRDefault="00DF0276"/>
    <w:p w:rsidR="00DF0276" w:rsidRPr="007F64D0" w:rsidRDefault="00DF0276">
      <w:pPr>
        <w:rPr>
          <w:b/>
        </w:rPr>
      </w:pPr>
      <w:r w:rsidRPr="007F64D0">
        <w:rPr>
          <w:b/>
        </w:rPr>
        <w:t xml:space="preserve">The </w:t>
      </w:r>
      <w:r>
        <w:rPr>
          <w:b/>
        </w:rPr>
        <w:t xml:space="preserve">brief </w:t>
      </w:r>
      <w:r w:rsidRPr="007F64D0">
        <w:rPr>
          <w:b/>
        </w:rPr>
        <w:t>ascent of the deutsche mark</w:t>
      </w:r>
    </w:p>
    <w:p w:rsidR="00DF0276" w:rsidRDefault="00DF0276"/>
    <w:p w:rsidR="00DF0276" w:rsidRPr="0000752F" w:rsidRDefault="00DF0276" w:rsidP="0000752F">
      <w:pPr>
        <w:suppressAutoHyphens/>
        <w:jc w:val="both"/>
        <w:rPr>
          <w:spacing w:val="-3"/>
        </w:rPr>
      </w:pPr>
      <w:r>
        <w:tab/>
        <w:t>The deutsche mark attained such a high degree of confidence and prestige in the latter part of the 20</w:t>
      </w:r>
      <w:r w:rsidRPr="005D4BCF">
        <w:rPr>
          <w:vertAlign w:val="superscript"/>
        </w:rPr>
        <w:t>th</w:t>
      </w:r>
      <w:r>
        <w:t xml:space="preserve"> century that it is easy to forget how short was its life.   It was born in  Ludwig Erhard’s currency reform of 1948, replacing the Reichsmark (which itself had been created in 1924, in the aftermath of the German hyperinflation of 1921-23).   The Bundesbank was not founded until 1957.</w:t>
      </w:r>
      <w:r w:rsidRPr="00F444CB">
        <w:rPr>
          <w:spacing w:val="-3"/>
        </w:rPr>
        <w:t xml:space="preserve"> </w:t>
      </w:r>
    </w:p>
    <w:p w:rsidR="00DF0276" w:rsidRDefault="00DF0276" w:rsidP="002E686E">
      <w:r>
        <w:tab/>
        <w:t>By 1958, the period of dollar shortage</w:t>
      </w:r>
      <w:r>
        <w:rPr>
          <w:rStyle w:val="FootnoteReference"/>
        </w:rPr>
        <w:footnoteReference w:id="16"/>
      </w:r>
      <w:r>
        <w:t xml:space="preserve"> had ended</w:t>
      </w:r>
      <w:r w:rsidRPr="0000752F">
        <w:t xml:space="preserve"> </w:t>
      </w:r>
      <w:r>
        <w:t>and European currencies restored convertibility.</w:t>
      </w:r>
      <w:r>
        <w:rPr>
          <w:rStyle w:val="FootnoteReference"/>
        </w:rPr>
        <w:footnoteReference w:id="17"/>
      </w:r>
      <w:r>
        <w:t xml:space="preserve">  Almost immediately, a rising US balance of payments deficit and declining ratio of US gold reserves to dollar liabilities brought into question the long-term prospects for the dollar.  This was the dilemma that had been predicted by Triffin (1960).  But the trend was greatly accelerated by the US government’s Vietnam-era spending, which was not matched by a willingness to raise taxes to pay for it, but rather accompanied by monetary expansion and inflation. The second criterion for the dollar’s international status – its long-term credibility as a store of value – was put in doubt.  </w:t>
      </w:r>
    </w:p>
    <w:p w:rsidR="00DF0276" w:rsidRDefault="00DF0276" w:rsidP="002E686E">
      <w:r>
        <w:tab/>
        <w:t>The American response to this challenge revealed, again, how currency internationalization tends to come fairly low down a country’s priority list. U.S. government policy sought to protect the balance of payments, but not the internationalization of the dollar.  The Treasury instituted capital controls such as the Interest Equalization Tax.   The result of the controls together with financial repression in the banking system (reserve requirements and Regulation Q’s ceiling on the interest rate that banks were allowed to pay their depositors) was the relocation of banking business offshore, beginning with the Eurodollar market in London.</w:t>
      </w:r>
      <w:r>
        <w:rPr>
          <w:rStyle w:val="FootnoteReference"/>
        </w:rPr>
        <w:footnoteReference w:id="18"/>
      </w:r>
      <w:r>
        <w:t xml:space="preserve">   </w:t>
      </w:r>
    </w:p>
    <w:p w:rsidR="00DF0276" w:rsidRDefault="00DF0276" w:rsidP="00B97941">
      <w:pPr>
        <w:suppressAutoHyphens/>
        <w:jc w:val="both"/>
      </w:pPr>
    </w:p>
    <w:p w:rsidR="00DF0276" w:rsidRDefault="00DF0276" w:rsidP="005C6689">
      <w:pPr>
        <w:suppressAutoHyphens/>
        <w:ind w:firstLine="720"/>
        <w:jc w:val="both"/>
      </w:pPr>
      <w:r>
        <w:t>President Nixon took the dollar entirely off gold in 1971 and the fixed exchange rate system definitively ended in 1973.  U.S. inflation and depreciation further impaired the international attractiveness of the dollar as a store of value.   The United States was seen to be neglecting its responsibility to provide the “public good” of a stable anchor for the world monetary system.</w:t>
      </w:r>
      <w:r>
        <w:rPr>
          <w:rStyle w:val="FootnoteReference"/>
        </w:rPr>
        <w:footnoteReference w:id="19"/>
      </w:r>
      <w:r>
        <w:t xml:space="preserve">  </w:t>
      </w:r>
      <w:r>
        <w:rPr>
          <w:spacing w:val="-3"/>
        </w:rPr>
        <w:t xml:space="preserve">The depreciation of the dollar was concentrated particularly in four major episodes, one per decade: 1977-79, 1985-88, 1993-95, and 2002-2008.  In each episode the dollar exchange rate became an issue of conflict between the United States and its trading partners, Europe in particular.  American Treasury Secretaries were periodically faulted for a policy of "benign neglect" of the dollar's value. </w:t>
      </w:r>
      <w:r>
        <w:t xml:space="preserve">Presumably as a result, the share of dollars in international reserves began a long-term decline after 1977  (Figure 1). </w:t>
      </w:r>
    </w:p>
    <w:p w:rsidR="00DF0276" w:rsidRDefault="00DF0276"/>
    <w:p w:rsidR="00DF0276" w:rsidRDefault="00DF0276" w:rsidP="0075489B">
      <w:r>
        <w:t>Figure 1: Share of the dollar in foreign exchange reserve holdings, 1965-2009</w:t>
      </w:r>
    </w:p>
    <w:p w:rsidR="00DF0276" w:rsidRPr="005C6689" w:rsidRDefault="00DF0276" w:rsidP="0075489B">
      <w:pPr>
        <w:rPr>
          <w:sz w:val="18"/>
        </w:rPr>
      </w:pPr>
      <w:r w:rsidRPr="005C6689">
        <w:rPr>
          <w:sz w:val="18"/>
        </w:rPr>
        <w:t>Source: Menzie Chinn</w:t>
      </w:r>
    </w:p>
    <w:p w:rsidR="00DF0276" w:rsidRDefault="00E96D54" w:rsidP="007960CC">
      <w:r>
        <w:rPr>
          <w:noProof/>
        </w:rPr>
        <w:drawing>
          <wp:inline distT="0" distB="0" distL="0" distR="0">
            <wp:extent cx="5819775" cy="2971800"/>
            <wp:effectExtent l="1905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819775" cy="2971800"/>
                    </a:xfrm>
                    <a:prstGeom prst="rect">
                      <a:avLst/>
                    </a:prstGeom>
                    <a:noFill/>
                    <a:ln w="9525">
                      <a:noFill/>
                      <a:miter lim="800000"/>
                      <a:headEnd/>
                      <a:tailEnd/>
                    </a:ln>
                  </pic:spPr>
                </pic:pic>
              </a:graphicData>
            </a:graphic>
          </wp:inline>
        </w:drawing>
      </w:r>
    </w:p>
    <w:p w:rsidR="00DF0276" w:rsidRDefault="00DF0276" w:rsidP="00D8772A">
      <w:pPr>
        <w:suppressAutoHyphens/>
        <w:jc w:val="both"/>
      </w:pPr>
      <w:r>
        <w:tab/>
        <w:t>Two newly international currencies, the mark and the yen, began to gain share at the expense of the newly declining dollar and the still declining pound.  But, mirroring U.S. attitudes toward the internationalization of the dollar, the German attitude toward the mark involved little eagerness to internationalize it. To the contrary, German policy was opposed to internationalization.</w:t>
      </w:r>
      <w:r>
        <w:rPr>
          <w:rStyle w:val="FootnoteReference"/>
        </w:rPr>
        <w:footnoteReference w:id="20"/>
      </w:r>
      <w:r>
        <w:t xml:space="preserve">   In terms of foreign policy, there was an aversion to the idea of strutting the world stage.  Domestically, the economically and politically </w:t>
      </w:r>
      <w:r>
        <w:lastRenderedPageBreak/>
        <w:t xml:space="preserve">powerful manufacturing sector feared that internationalization would lead to upsurges in the demand for marks, which would result in either further appreciation, if the currency was allowed to float, or in monetary inflows, if the Bundesbank bought up dollars to resist the change in the exchange rate.  In the former case, appreciation would immediately hurt exporters’ international competitiveness.   In the latter case, the same loss of price competitiveness would eventually come, but via the even-less-welcome channel of inflation.  </w:t>
      </w:r>
    </w:p>
    <w:p w:rsidR="00DF0276" w:rsidRDefault="00DF0276" w:rsidP="00B841B7">
      <w:pPr>
        <w:suppressAutoHyphens/>
        <w:ind w:firstLine="720"/>
        <w:jc w:val="both"/>
      </w:pPr>
      <w:r>
        <w:t>Frieden (2000) has drawn a distinction between the financial sector, which supports a strong currency, and the manufacturing sector that does not.  In colloquial American terms, it is Wall Street versus Main Street.  One can see the banking sector weighing in, in countries where it is large and powerful:  the United Kingdom and Switzerland.  But the financial sector is probably too small, relative to manufacturing, to carry much weight in Germany (or, for that matter, in France or Japan).</w:t>
      </w:r>
    </w:p>
    <w:p w:rsidR="00DF0276" w:rsidRDefault="00DF0276" w:rsidP="00B42068">
      <w:pPr>
        <w:ind w:firstLine="720"/>
      </w:pPr>
      <w:r>
        <w:t>Nevertheless, the mark continued to gain status throughout the 1980s.  The trend took place not because of policy, but in spite of it.  It was a side effect of the growing size of the German economy (especially trade) and the impeccable reputation that the Bundesbank had established for keeping the mark strong in value, whether measured by inflation or the exchange rate.  By the foreign exchange reserve measure, the currency share reached almost 20% in 1989.</w:t>
      </w:r>
      <w:r>
        <w:rPr>
          <w:rStyle w:val="FootnoteReference"/>
        </w:rPr>
        <w:footnoteReference w:id="21"/>
      </w:r>
    </w:p>
    <w:p w:rsidR="00DF0276" w:rsidRDefault="00DF0276">
      <w:r>
        <w:tab/>
        <w:t>That year turns out to have been the peak in the mark’s share.   Slow economic growth may have been a contributing reason why the mark’s share of international reserves stopped rising in the 1990s.  Another is that the United States won the Cold War in 1989-91 and began seriously to put its house in order in the mid-1990s, as reflected in the length and strength of that decade’s non-inflationary economic expansion, the steady elimination of troublesome budget deficits, and the appreciation of the dollar in the second half of the decade.</w:t>
      </w:r>
    </w:p>
    <w:p w:rsidR="00DF0276" w:rsidRDefault="00DF0276">
      <w:r>
        <w:tab/>
        <w:t>More importantly, Germany spent the decade preparing euthanasia for its beloved currency.   The Maastricht Treaty of 1991 came to fruition in January 1999 when the mark, together with the French franc and nine other continental currencies, went out of existence in the historic creation of the euro.  German acquiescence was the ultimate expression of the absence of craving for the political prestige or economic power that an international currency might bring.</w:t>
      </w:r>
      <w:r w:rsidDel="00183DED">
        <w:rPr>
          <w:rStyle w:val="FootnoteReference"/>
        </w:rPr>
        <w:t xml:space="preserve"> </w:t>
      </w:r>
      <w:r>
        <w:t xml:space="preserve"> </w:t>
      </w:r>
      <w:r w:rsidRPr="00B42068">
        <w:rPr>
          <w:sz w:val="22"/>
          <w:szCs w:val="22"/>
        </w:rPr>
        <w:t>The motives on Germany’s part included a desire to assure its neighbors that they had nothing to fear from the even larger country that had been created by German reunification in 1991.   But this is just another illustration of the weakness of nationalistic forces.</w:t>
      </w:r>
    </w:p>
    <w:p w:rsidR="00DF0276" w:rsidRDefault="00DF0276" w:rsidP="0025632D">
      <w:r>
        <w:tab/>
        <w:t>As a footnote, the euro is a partial exception to the general phenomenon described in this paper. The motives for its creation were thoroughly political, with the ambition to acquire international status baked into it from the beginning.</w:t>
      </w:r>
      <w:r>
        <w:rPr>
          <w:rStyle w:val="FootnoteReference"/>
        </w:rPr>
        <w:footnoteReference w:id="22"/>
      </w:r>
      <w:r>
        <w:t xml:space="preserve"> In realizing this ambition, the euro started with two advantages – the fact that it was the home currency for a bloc that resembled the United States in terms of economic weight, and the fact that it seemed likely to inherit the credibility of the mark. As a result, the euro in its first decade </w:t>
      </w:r>
      <w:r>
        <w:lastRenderedPageBreak/>
        <w:t>advanced quickly into the ranks of the top reserve currencies. Since 2010 sovereign debt worries have severely dented reasonable expectations of the euro’s future.  But if the authorities were to respond to the crisis by creating a Eurobond, that would – once again as a side effect – give a big new boost to the fundamentals underpinning its role as an international reserve currency.</w:t>
      </w:r>
    </w:p>
    <w:p w:rsidR="00DF0276" w:rsidRDefault="00DF0276"/>
    <w:p w:rsidR="00DF0276" w:rsidRPr="007F64D0" w:rsidRDefault="00DF0276">
      <w:pPr>
        <w:rPr>
          <w:b/>
        </w:rPr>
      </w:pPr>
      <w:r w:rsidRPr="007F64D0">
        <w:rPr>
          <w:b/>
        </w:rPr>
        <w:t xml:space="preserve">The </w:t>
      </w:r>
      <w:r>
        <w:rPr>
          <w:b/>
        </w:rPr>
        <w:t xml:space="preserve">brief </w:t>
      </w:r>
      <w:r w:rsidRPr="007F64D0">
        <w:rPr>
          <w:b/>
        </w:rPr>
        <w:t>ascent of the yen</w:t>
      </w:r>
    </w:p>
    <w:p w:rsidR="00DF0276" w:rsidRDefault="00DF0276"/>
    <w:p w:rsidR="00DF0276" w:rsidRDefault="00DF0276" w:rsidP="00EA3C13">
      <w:pPr>
        <w:ind w:firstLine="720"/>
      </w:pPr>
      <w:r>
        <w:t>The period of internationalization of the yen can be divided into two halves.  The first period was the 1970s and 1980s, when international use of the yen trended upward even though domestic politics was opposed to internationalization and government policy was at best neutral towards it.  (The Japanese feared that increased demand for their money would hurt export competitiveness, just as the Germans did.) In the subsequent period, policy sought actively to promote internationalization.  But it was too late: economic fundamentals had already turned around, dominated by the shrinking economy. After World War II, Japan’s export-driven economic miracle allowed its currency to meet the first criterion for internationalization: the country’s weight, both in terms of its share of global GDP and in terms of share of global trade, grew rapidly. But it was slower to meet the other criteria. Only during the period 1960-1973 did the government begin to allow foreigners to acquire some types of assets in Japan.  Only in 1964 was full current account convertibility under the IMF Articles of Agreement restored.</w:t>
      </w:r>
      <w:r>
        <w:rPr>
          <w:rStyle w:val="FootnoteReference"/>
        </w:rPr>
        <w:footnoteReference w:id="23"/>
      </w:r>
    </w:p>
    <w:p w:rsidR="00DF0276" w:rsidRDefault="00DF0276" w:rsidP="008239DC">
      <w:pPr>
        <w:ind w:firstLine="720"/>
      </w:pPr>
      <w:r>
        <w:t>After the break-up of the Bretton Woods system (1971-73), central banks around the world began gradually to hold some yen as foreign exchange reserves, especially as the Bank of Japan began to establish a reputation for a currency that strengthened in value.   But other measures of internationalization, such as use of the currency in invoicing trade or denominating debt, continued to show a very low share for the yen.  (In 1979 only 25% of Japanese exports and 2% of imports were denominated in yen.)  This is not surprising:  Japanese financial markets remained uncompetitive, highly regulated, and mostly closed to foreigners.  The monetary authorities intervened to prevent the yen from appreciating in 1976 and 1977, another sign that the internationalization of the yen mattered less than the interests of Japan’s exporters.</w:t>
      </w:r>
      <w:r>
        <w:rPr>
          <w:rStyle w:val="FootnoteReference"/>
        </w:rPr>
        <w:footnoteReference w:id="24"/>
      </w:r>
    </w:p>
    <w:p w:rsidR="00DF0276" w:rsidRDefault="00DF0276" w:rsidP="008239DC">
      <w:pPr>
        <w:ind w:firstLine="720"/>
      </w:pPr>
      <w:r>
        <w:t xml:space="preserve">In 1979-80, the government began to allow foreign residents to hold a fuller range of domestic assets).   But politics and policy continued to oppose internationalization.   The Foreign Exchange Law of 1980 still allowed “minimum necessary controls” on capital flows to manage the exchange rate or balance of payments.  When further liberalization came, “gaiatsu” – foreign pressure from the US – was the main driving force.  Six months of negotiations between the two countries produced the Yen/Dollar Agreement in 1984.   The main political motive, which had become strong enough to counterbalance the fears of domestic manufacturers that they might lose competitiveness, was to satisfy US demands, in fear that the alternative of allowing protectionist sentiment to grow in the US Congress would be worse.    Support for internationalization from the Japanese financial sector was negligible.  This balance of political forces is illustrated by the content of the Yen/Dollar Agreement.  In addition to agreeing to the demands to </w:t>
      </w:r>
      <w:r>
        <w:lastRenderedPageBreak/>
        <w:t xml:space="preserve">further lift capital controls and to internationalize the yen, the government also agreed to give more favorable treatment to US banks and financial institutions wishing to do business in Japan.  It did </w:t>
      </w:r>
      <w:r w:rsidRPr="00A0788E">
        <w:rPr>
          <w:i/>
        </w:rPr>
        <w:t>not</w:t>
      </w:r>
      <w:r>
        <w:t xml:space="preserve"> agree to immediate and complete deregulation of domestic financial markets.</w:t>
      </w:r>
      <w:r>
        <w:rPr>
          <w:rStyle w:val="FootnoteReference"/>
        </w:rPr>
        <w:footnoteReference w:id="25"/>
      </w:r>
      <w:r>
        <w:t xml:space="preserve"> </w:t>
      </w:r>
    </w:p>
    <w:p w:rsidR="00DF0276" w:rsidRPr="00204239" w:rsidRDefault="00DF0276" w:rsidP="00204239">
      <w:pPr>
        <w:ind w:firstLine="720"/>
      </w:pPr>
      <w:r>
        <w:t>The US motive in pushing for internationalization of the yen was a theory that it would lead to appreciation and help US exporters.   This did not happen at first: US interest rates in 1984 were well above those in Japan, so that the removal of remaining capital controls allowed an acceleration in the net outflow of capital from Japan rather than the reverse.  The sharpest appreciation of the yen came, rather, in 1985-87, and is usually associated with the Plaza Accord, in which Japan agreed with the United States and Europeans to intervene in foreign exchange markets to push the dollar down.</w:t>
      </w:r>
      <w:r>
        <w:rPr>
          <w:rStyle w:val="FootnoteReference"/>
        </w:rPr>
        <w:footnoteReference w:id="26"/>
      </w:r>
      <w:r>
        <w:t xml:space="preserve">   </w:t>
      </w:r>
      <w:r w:rsidRPr="0028473D">
        <w:t>By this time, Japan</w:t>
      </w:r>
      <w:r>
        <w:t>’</w:t>
      </w:r>
      <w:r w:rsidRPr="0028473D">
        <w:t xml:space="preserve">s position in international trade was so strong that the insecurity shown by the post-war slogan “export or die” had begun to ease.  </w:t>
      </w:r>
    </w:p>
    <w:p w:rsidR="00DF0276" w:rsidRDefault="00DF0276" w:rsidP="008239DC">
      <w:pPr>
        <w:ind w:firstLine="720"/>
      </w:pPr>
      <w:r>
        <w:t>Some in Asia today believe that these American efforts to appreciate the yen -- the Yen/Dollar Agreement and the Plaza Accord -- were deliberate attempts to sabotage the Japanese economy and that they were ultimately successful in that aim in the 1990s.   This conspiracy theory goes one step too far.   It is important to recall the three-year episode that led to the Japanese crash of the 1990s: the 1987-89 bubbles in Japan’s stock market and real estate market.  During the bubble period the Japanese authorities were no longer intervening in favor of a strong yen, but if anything sought to prevent the dollar from depreciating further.</w:t>
      </w:r>
      <w:r>
        <w:rPr>
          <w:rStyle w:val="FootnoteReference"/>
        </w:rPr>
        <w:footnoteReference w:id="27"/>
      </w:r>
      <w:r>
        <w:t xml:space="preserve">  In retrospect, the Bank of Japan’s monetary policy was too easy during this period (the same mistake made by the Fed in 2005-06).  </w:t>
      </w:r>
      <w:r>
        <w:rPr>
          <w:rStyle w:val="FootnoteReference"/>
        </w:rPr>
        <w:footnoteReference w:id="28"/>
      </w:r>
      <w:r>
        <w:t xml:space="preserve">   International use of the yen continued gradually to rise in the 1980s.</w:t>
      </w:r>
      <w:r>
        <w:rPr>
          <w:rStyle w:val="FootnoteReference"/>
        </w:rPr>
        <w:footnoteReference w:id="29"/>
      </w:r>
      <w:r>
        <w:t xml:space="preserve"> Its share of foreign exchange reserves reached almost 9% in 1991.  (Figure 2.)  That turned out to be the peak.  Most commentators however, distracted by the continued appreciation of the yen against the dollar during 1990-95, failed to notice that the trend in the 1990s had shifted back toward rising international use of the dollar.</w:t>
      </w:r>
      <w:r>
        <w:rPr>
          <w:rStyle w:val="FootnoteReference"/>
        </w:rPr>
        <w:footnoteReference w:id="30"/>
      </w:r>
      <w:r>
        <w:t xml:space="preserve">   Indeed, it was fashionable to pronounce that the US was in decline as a world power, especially relative to Japan,</w:t>
      </w:r>
      <w:r>
        <w:rPr>
          <w:rStyle w:val="FootnoteReference"/>
        </w:rPr>
        <w:footnoteReference w:id="31"/>
      </w:r>
      <w:r>
        <w:t xml:space="preserve"> and that the dollar was in decline as an international currency, especially relative to the yen.</w:t>
      </w:r>
      <w:r>
        <w:rPr>
          <w:rStyle w:val="FootnoteReference"/>
        </w:rPr>
        <w:footnoteReference w:id="32"/>
      </w:r>
      <w:r>
        <w:t xml:space="preserve"> </w:t>
      </w:r>
    </w:p>
    <w:p w:rsidR="00DF0276" w:rsidRDefault="00DF0276">
      <w:pPr>
        <w:rPr>
          <w:b/>
        </w:rPr>
      </w:pPr>
      <w:r>
        <w:t xml:space="preserve">In the 1990s, official policy at last shifted firmly in favor of internationalization, with the aims of reducing exchange rate risk for domestic firms, facilitating business for Japanese </w:t>
      </w:r>
      <w:r>
        <w:lastRenderedPageBreak/>
        <w:t>banks and other financial institutions, and promoting Japan as a financial center.</w:t>
      </w:r>
      <w:r>
        <w:rPr>
          <w:rStyle w:val="FootnoteReference"/>
        </w:rPr>
        <w:footnoteReference w:id="33"/>
      </w:r>
      <w:r>
        <w:t xml:space="preserve"> </w:t>
      </w:r>
      <w:r>
        <w:rPr>
          <w:rStyle w:val="FootnoteReference"/>
        </w:rPr>
        <w:footnoteReference w:id="34"/>
      </w:r>
      <w:r>
        <w:t>The prime minister in 1996 announced a comprehensive package of financial liberalization.  The resulting “big bang” of 1998 did not live up to its advance billing, however.   Further attempts were made to reverse what by now was the decline in the status of Tokyo as one of the world’s top financial centers.</w:t>
      </w:r>
      <w:r>
        <w:rPr>
          <w:rStyle w:val="FootnoteReference"/>
        </w:rPr>
        <w:footnoteReference w:id="35"/>
      </w:r>
      <w:r>
        <w:t xml:space="preserve">   This work continued, indeed intensified, into the next decade.  But it became progressively more evident that the effort had failed.  Indicators of the yen’s international use were shrinking, as an effect of the ills afflicting Japan’s real economy, which had shown hardly any growth since the bursting of the land and equity bubbles at the start of the 1990s.  “By the end of 2003, it was clear that any further attempt to internationalise the yen…would be futile without a fundamental change in the economic might of Japan…” (Takagi, 2011, p. 9).   Although the yen received safe haven capital inflows after the global financial crisis of 2008,  attained a high in the nominal exchange rate in 2011, and remains an international currency that ranks at least as high as pound sterling and the Swiss franc, its rise as an international currency peaked twenty years ago.</w:t>
      </w:r>
    </w:p>
    <w:p w:rsidR="00DF0276" w:rsidRDefault="00DF0276" w:rsidP="00884890">
      <w:pPr>
        <w:ind w:firstLine="720"/>
        <w:rPr>
          <w:b/>
        </w:rPr>
      </w:pPr>
    </w:p>
    <w:p w:rsidR="00DF0276" w:rsidRPr="00C55560" w:rsidRDefault="00DF0276" w:rsidP="00884890">
      <w:pPr>
        <w:ind w:firstLine="720"/>
        <w:rPr>
          <w:b/>
        </w:rPr>
      </w:pPr>
      <w:r w:rsidRPr="00C55560">
        <w:rPr>
          <w:b/>
        </w:rPr>
        <w:t>Statistical estimation of adjustment to fundamental determinants</w:t>
      </w:r>
    </w:p>
    <w:p w:rsidR="00DF0276" w:rsidRDefault="00DF0276" w:rsidP="004D0C41"/>
    <w:p w:rsidR="00DF0276" w:rsidRDefault="00DF0276" w:rsidP="00C55560">
      <w:r>
        <w:tab/>
        <w:t xml:space="preserve">The period during which the mark and the yen rose to true international currency status (1975-1990), surpassing the pound and Swiss franc for the number 2 and number 3 slots, offers the opportunity to ascertain empirically how quickly foreign exchange reserve holdings adjust to economic fundamentals.   Shares in central banks’ foreign exchange reserve holdings are the most important measure of international currency status as well as the most easily measured. </w:t>
      </w:r>
    </w:p>
    <w:p w:rsidR="00DF0276" w:rsidRDefault="00DF0276">
      <w:pPr>
        <w:ind w:firstLine="720"/>
      </w:pPr>
      <w:r>
        <w:t>There have been a number of attempts to estimate statistically the determinants of reserve shares.</w:t>
      </w:r>
      <w:r>
        <w:rPr>
          <w:rStyle w:val="FootnoteReference"/>
        </w:rPr>
        <w:footnoteReference w:id="36"/>
      </w:r>
      <w:r>
        <w:t xml:space="preserve">  The period 1973-1998 is just barely long enough to get useful econometric estimates regarding the influence of the major determinants of the shares of five international currencies (dollar, mark, yen, pound, Swiss franc).  It does not include the once-in-a-century phenomenon of one currency overthrowing another in the number one slot.   But it is possible to put together a decent set of consistent data over this period, and the twenty-five year period does neatly include the rise of the mark and yen.</w:t>
      </w:r>
    </w:p>
    <w:p w:rsidR="00DF0276" w:rsidRDefault="00DF0276" w:rsidP="004D0C41"/>
    <w:p w:rsidR="00DF0276" w:rsidRDefault="00DF0276" w:rsidP="004D0C41"/>
    <w:p w:rsidR="00DF0276" w:rsidRDefault="00DF0276" w:rsidP="004D0C41"/>
    <w:p w:rsidR="00DF0276" w:rsidRDefault="00DF0276" w:rsidP="004D0C41"/>
    <w:p w:rsidR="00DF0276" w:rsidRDefault="00DF0276" w:rsidP="004D0C41"/>
    <w:p w:rsidR="00DF0276" w:rsidRDefault="00DF0276" w:rsidP="004D0C41"/>
    <w:p w:rsidR="00DF0276" w:rsidRDefault="00DF0276" w:rsidP="004D0C41"/>
    <w:p w:rsidR="00DF0276" w:rsidRDefault="00DF0276" w:rsidP="004D0C41"/>
    <w:p w:rsidR="00DF0276" w:rsidRPr="00F45703" w:rsidRDefault="00DF0276" w:rsidP="004D0C41">
      <w:pPr>
        <w:rPr>
          <w:rFonts w:ascii="Arial" w:hAnsi="Arial" w:cs="Arial"/>
          <w:sz w:val="8"/>
          <w:szCs w:val="8"/>
        </w:rPr>
      </w:pPr>
      <w:r>
        <w:lastRenderedPageBreak/>
        <w:t xml:space="preserve">Figure 2: </w:t>
      </w:r>
      <w:r w:rsidRPr="00B24C70">
        <w:rPr>
          <w:rFonts w:ascii="Arial" w:hAnsi="Arial" w:cs="Arial"/>
        </w:rPr>
        <w:t>Reserves held by central banks as shares of total – 3 major currencies</w:t>
      </w:r>
    </w:p>
    <w:p w:rsidR="00DF0276" w:rsidRPr="00F45703" w:rsidRDefault="00DF0276">
      <w:pPr>
        <w:rPr>
          <w:rFonts w:ascii="Arial" w:hAnsi="Arial" w:cs="Arial"/>
          <w:sz w:val="8"/>
          <w:szCs w:val="8"/>
        </w:rPr>
      </w:pPr>
    </w:p>
    <w:p w:rsidR="00DF0276" w:rsidRDefault="00DF0276">
      <w:r>
        <w:t>Source: Chinn and Frankel (2008)</w:t>
      </w:r>
      <w:r w:rsidRPr="00F45703">
        <w:rPr>
          <w:rFonts w:ascii="Arial" w:hAnsi="Arial" w:cs="Arial"/>
          <w:sz w:val="20"/>
          <w:szCs w:val="20"/>
        </w:rPr>
        <w:t xml:space="preserve"> </w:t>
      </w:r>
      <w:r>
        <w:rPr>
          <w:rFonts w:ascii="Arial" w:hAnsi="Arial" w:cs="Arial"/>
          <w:sz w:val="20"/>
          <w:szCs w:val="20"/>
        </w:rPr>
        <w:br/>
      </w:r>
      <w:r w:rsidRPr="0013247C">
        <w:rPr>
          <w:rFonts w:ascii="Arial" w:hAnsi="Arial" w:cs="Arial"/>
          <w:sz w:val="20"/>
          <w:szCs w:val="20"/>
        </w:rPr>
        <w:t>revised IMF data spliced into old data after 1979, and COFER data starting 1995.</w:t>
      </w:r>
    </w:p>
    <w:p w:rsidR="00DF0276" w:rsidRDefault="00E96D54">
      <w:pPr>
        <w:rPr>
          <w:spacing w:val="-3"/>
        </w:rPr>
      </w:pPr>
      <w:r>
        <w:rPr>
          <w:noProof/>
          <w:spacing w:val="-3"/>
        </w:rPr>
        <w:drawing>
          <wp:inline distT="0" distB="0" distL="0" distR="0">
            <wp:extent cx="5362575" cy="2905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362575" cy="2905125"/>
                    </a:xfrm>
                    <a:prstGeom prst="rect">
                      <a:avLst/>
                    </a:prstGeom>
                    <a:noFill/>
                    <a:ln w="9525">
                      <a:noFill/>
                      <a:miter lim="800000"/>
                      <a:headEnd/>
                      <a:tailEnd/>
                    </a:ln>
                  </pic:spPr>
                </pic:pic>
              </a:graphicData>
            </a:graphic>
          </wp:inline>
        </w:drawing>
      </w:r>
    </w:p>
    <w:p w:rsidR="00DF0276" w:rsidRDefault="00DF0276" w:rsidP="007A5988">
      <w:pPr>
        <w:ind w:firstLine="720"/>
      </w:pPr>
      <w:r>
        <w:t>The data set ends in 1999, because that is when the mark and franc go out of existence.     It does not extend further back than 1973 because we need data on all three fundamental determinants: not just on country size and confidence, but also on the depth of the countries’ financial markets.</w:t>
      </w:r>
      <w:r w:rsidRPr="00D51313">
        <w:t xml:space="preserve"> </w:t>
      </w:r>
      <w:r>
        <w:t xml:space="preserve">Chinn and Frankel (2007, 2008)  measure confidence in the currency’s value using trend inflation, trend depreciation, exchange rate volatility, and international asset position.   We use as a measure of depth of the countries’ financial markets the volume of turnover in the foreign exchange market.  </w:t>
      </w:r>
    </w:p>
    <w:p w:rsidR="00DF0276" w:rsidRDefault="00DF0276" w:rsidP="0002399C">
      <w:pPr>
        <w:rPr>
          <w:sz w:val="20"/>
          <w:szCs w:val="20"/>
        </w:rPr>
      </w:pPr>
    </w:p>
    <w:p w:rsidR="00DF0276" w:rsidRPr="00F45703" w:rsidRDefault="00DF0276" w:rsidP="007A5988">
      <w:pPr>
        <w:rPr>
          <w:b/>
          <w:sz w:val="8"/>
          <w:szCs w:val="8"/>
        </w:rPr>
      </w:pPr>
      <w:r>
        <w:rPr>
          <w:sz w:val="20"/>
          <w:szCs w:val="20"/>
        </w:rPr>
        <w:tab/>
      </w:r>
      <w:r>
        <w:rPr>
          <w:b/>
        </w:rPr>
        <w:t>Table 1</w:t>
      </w:r>
      <w:r w:rsidRPr="00F45703">
        <w:rPr>
          <w:b/>
        </w:rPr>
        <w:t xml:space="preserve">: </w:t>
      </w:r>
      <w:r w:rsidRPr="00F45703">
        <w:t>Panel Regression for Determination of Currency Shares</w:t>
      </w:r>
    </w:p>
    <w:p w:rsidR="00DF0276" w:rsidRPr="00F45703" w:rsidRDefault="00DF0276" w:rsidP="007A5988">
      <w:pPr>
        <w:rPr>
          <w:b/>
          <w:sz w:val="8"/>
          <w:szCs w:val="8"/>
        </w:rPr>
      </w:pPr>
    </w:p>
    <w:tbl>
      <w:tblPr>
        <w:tblW w:w="7935" w:type="dxa"/>
        <w:tblInd w:w="93" w:type="dxa"/>
        <w:tblBorders>
          <w:top w:val="single" w:sz="4" w:space="0" w:color="auto"/>
          <w:left w:val="single" w:sz="4" w:space="0" w:color="auto"/>
          <w:bottom w:val="single" w:sz="4" w:space="0" w:color="auto"/>
          <w:right w:val="single" w:sz="4" w:space="0" w:color="auto"/>
        </w:tblBorders>
        <w:tblLayout w:type="fixed"/>
        <w:tblLook w:val="0000"/>
      </w:tblPr>
      <w:tblGrid>
        <w:gridCol w:w="3255"/>
        <w:gridCol w:w="1080"/>
        <w:gridCol w:w="1080"/>
        <w:gridCol w:w="1980"/>
        <w:gridCol w:w="540"/>
      </w:tblGrid>
      <w:tr w:rsidR="00DF0276" w:rsidTr="007A5988">
        <w:trPr>
          <w:trHeight w:val="255"/>
        </w:trPr>
        <w:tc>
          <w:tcPr>
            <w:tcW w:w="7935" w:type="dxa"/>
            <w:gridSpan w:val="5"/>
            <w:tcBorders>
              <w:top w:val="single" w:sz="4" w:space="0" w:color="auto"/>
              <w:bottom w:val="nil"/>
            </w:tcBorders>
            <w:vAlign w:val="bottom"/>
          </w:tcPr>
          <w:p w:rsidR="00DF0276" w:rsidRPr="00F45703" w:rsidRDefault="00DF0276" w:rsidP="007A5988">
            <w:pPr>
              <w:jc w:val="center"/>
            </w:pPr>
            <w:r w:rsidRPr="00F45703">
              <w:rPr>
                <w:sz w:val="22"/>
                <w:szCs w:val="22"/>
              </w:rPr>
              <w:t>Dependent variable: logit of currency shares in reserve holdings</w:t>
            </w:r>
          </w:p>
        </w:tc>
      </w:tr>
      <w:tr w:rsidR="00DF0276" w:rsidTr="007A5988">
        <w:trPr>
          <w:trHeight w:val="255"/>
        </w:trPr>
        <w:tc>
          <w:tcPr>
            <w:tcW w:w="7935" w:type="dxa"/>
            <w:gridSpan w:val="5"/>
            <w:tcBorders>
              <w:top w:val="nil"/>
              <w:bottom w:val="single" w:sz="4" w:space="0" w:color="auto"/>
            </w:tcBorders>
            <w:vAlign w:val="bottom"/>
          </w:tcPr>
          <w:p w:rsidR="00DF0276" w:rsidRPr="007A5988" w:rsidRDefault="00DF0276" w:rsidP="007A5988">
            <w:pPr>
              <w:jc w:val="center"/>
            </w:pPr>
            <w:r w:rsidRPr="007A5988">
              <w:t>Pre-euro sample (1973-98)</w:t>
            </w:r>
          </w:p>
        </w:tc>
      </w:tr>
      <w:tr w:rsidR="00DF0276" w:rsidTr="00485453">
        <w:tblPrEx>
          <w:tblBorders>
            <w:top w:val="none" w:sz="0" w:space="0" w:color="auto"/>
            <w:left w:val="none" w:sz="0" w:space="0" w:color="auto"/>
            <w:bottom w:val="none" w:sz="0" w:space="0" w:color="auto"/>
            <w:right w:val="none" w:sz="0" w:space="0" w:color="auto"/>
          </w:tblBorders>
        </w:tblPrEx>
        <w:trPr>
          <w:trHeight w:val="255"/>
        </w:trPr>
        <w:tc>
          <w:tcPr>
            <w:tcW w:w="3255" w:type="dxa"/>
          </w:tcPr>
          <w:p w:rsidR="00DF0276" w:rsidRDefault="00DF0276" w:rsidP="007A5988">
            <w:pPr>
              <w:jc w:val="center"/>
              <w:rPr>
                <w:sz w:val="20"/>
              </w:rPr>
            </w:pPr>
          </w:p>
        </w:tc>
        <w:tc>
          <w:tcPr>
            <w:tcW w:w="2160" w:type="dxa"/>
            <w:gridSpan w:val="2"/>
          </w:tcPr>
          <w:p w:rsidR="00DF0276" w:rsidRDefault="00DF0276">
            <w:pPr>
              <w:rPr>
                <w:sz w:val="20"/>
              </w:rPr>
            </w:pPr>
            <w:r>
              <w:rPr>
                <w:sz w:val="20"/>
              </w:rPr>
              <w:t>Coefficient estimate</w:t>
            </w:r>
          </w:p>
        </w:tc>
        <w:tc>
          <w:tcPr>
            <w:tcW w:w="1980" w:type="dxa"/>
          </w:tcPr>
          <w:p w:rsidR="00DF0276" w:rsidRDefault="00DF0276" w:rsidP="002F4832">
            <w:pPr>
              <w:jc w:val="center"/>
              <w:rPr>
                <w:sz w:val="20"/>
              </w:rPr>
            </w:pPr>
            <w:r>
              <w:rPr>
                <w:sz w:val="20"/>
              </w:rPr>
              <w:t>Standard Error</w:t>
            </w:r>
          </w:p>
        </w:tc>
        <w:tc>
          <w:tcPr>
            <w:tcW w:w="540" w:type="dxa"/>
          </w:tcPr>
          <w:p w:rsidR="00DF0276" w:rsidRDefault="00DF0276" w:rsidP="007A5988">
            <w:pPr>
              <w:jc w:val="center"/>
              <w:rPr>
                <w:sz w:val="20"/>
              </w:rPr>
            </w:pPr>
          </w:p>
        </w:tc>
      </w:tr>
      <w:tr w:rsidR="00DF0276" w:rsidTr="00485453">
        <w:tblPrEx>
          <w:tblBorders>
            <w:top w:val="none" w:sz="0" w:space="0" w:color="auto"/>
            <w:left w:val="none" w:sz="0" w:space="0" w:color="auto"/>
            <w:bottom w:val="none" w:sz="0" w:space="0" w:color="auto"/>
            <w:right w:val="none" w:sz="0" w:space="0" w:color="auto"/>
          </w:tblBorders>
        </w:tblPrEx>
        <w:trPr>
          <w:trHeight w:val="255"/>
        </w:trPr>
        <w:tc>
          <w:tcPr>
            <w:tcW w:w="3255" w:type="dxa"/>
          </w:tcPr>
          <w:p w:rsidR="00DF0276" w:rsidRPr="003B418F" w:rsidRDefault="00DF0276" w:rsidP="007A5988">
            <w:pPr>
              <w:jc w:val="center"/>
              <w:rPr>
                <w:sz w:val="16"/>
                <w:szCs w:val="16"/>
              </w:rPr>
            </w:pPr>
          </w:p>
          <w:p w:rsidR="00DF0276" w:rsidRDefault="00DF0276" w:rsidP="007A5988">
            <w:pPr>
              <w:jc w:val="center"/>
              <w:rPr>
                <w:sz w:val="20"/>
              </w:rPr>
            </w:pPr>
            <w:r>
              <w:rPr>
                <w:sz w:val="20"/>
              </w:rPr>
              <w:t>Constant</w:t>
            </w:r>
          </w:p>
        </w:tc>
        <w:tc>
          <w:tcPr>
            <w:tcW w:w="1080" w:type="dxa"/>
          </w:tcPr>
          <w:p w:rsidR="00DF0276" w:rsidRPr="007A5988" w:rsidRDefault="00DF0276" w:rsidP="007A5988">
            <w:pPr>
              <w:jc w:val="center"/>
              <w:rPr>
                <w:b/>
              </w:rPr>
            </w:pPr>
            <w:r w:rsidRPr="007A5988">
              <w:rPr>
                <w:b/>
              </w:rPr>
              <w:t>-0.65</w:t>
            </w:r>
          </w:p>
        </w:tc>
        <w:tc>
          <w:tcPr>
            <w:tcW w:w="3060" w:type="dxa"/>
            <w:gridSpan w:val="2"/>
          </w:tcPr>
          <w:p w:rsidR="00DF0276" w:rsidRDefault="00DF0276" w:rsidP="007A5988">
            <w:pPr>
              <w:jc w:val="center"/>
              <w:rPr>
                <w:b/>
                <w:sz w:val="20"/>
              </w:rPr>
            </w:pPr>
            <w:r>
              <w:rPr>
                <w:b/>
                <w:sz w:val="20"/>
              </w:rPr>
              <w:t>[0.15]</w:t>
            </w:r>
          </w:p>
        </w:tc>
        <w:tc>
          <w:tcPr>
            <w:tcW w:w="540" w:type="dxa"/>
          </w:tcPr>
          <w:p w:rsidR="00DF0276" w:rsidRDefault="00DF0276" w:rsidP="007A5988">
            <w:pPr>
              <w:jc w:val="center"/>
              <w:rPr>
                <w:b/>
                <w:sz w:val="20"/>
              </w:rPr>
            </w:pPr>
          </w:p>
        </w:tc>
      </w:tr>
      <w:tr w:rsidR="00DF0276" w:rsidTr="00485453">
        <w:tblPrEx>
          <w:tblBorders>
            <w:top w:val="none" w:sz="0" w:space="0" w:color="auto"/>
            <w:left w:val="none" w:sz="0" w:space="0" w:color="auto"/>
            <w:bottom w:val="none" w:sz="0" w:space="0" w:color="auto"/>
            <w:right w:val="none" w:sz="0" w:space="0" w:color="auto"/>
          </w:tblBorders>
        </w:tblPrEx>
        <w:trPr>
          <w:trHeight w:val="255"/>
        </w:trPr>
        <w:tc>
          <w:tcPr>
            <w:tcW w:w="3255" w:type="dxa"/>
          </w:tcPr>
          <w:p w:rsidR="00DF0276" w:rsidRPr="003B418F" w:rsidRDefault="00DF0276" w:rsidP="002F4832">
            <w:pPr>
              <w:jc w:val="center"/>
              <w:rPr>
                <w:sz w:val="16"/>
                <w:szCs w:val="16"/>
              </w:rPr>
            </w:pPr>
          </w:p>
          <w:p w:rsidR="00DF0276" w:rsidRPr="00EE4B60" w:rsidRDefault="00DF0276" w:rsidP="002F4832">
            <w:pPr>
              <w:jc w:val="center"/>
            </w:pPr>
            <w:r w:rsidRPr="00EE4B60">
              <w:t>GDP</w:t>
            </w:r>
            <w:r>
              <w:t xml:space="preserve"> </w:t>
            </w:r>
            <w:r w:rsidRPr="00EE4B60">
              <w:t>ratio (y)</w:t>
            </w:r>
          </w:p>
        </w:tc>
        <w:tc>
          <w:tcPr>
            <w:tcW w:w="1080" w:type="dxa"/>
          </w:tcPr>
          <w:p w:rsidR="00DF0276" w:rsidRPr="00EE4B60" w:rsidRDefault="00DF0276" w:rsidP="002F4832">
            <w:pPr>
              <w:jc w:val="center"/>
              <w:rPr>
                <w:b/>
              </w:rPr>
            </w:pPr>
            <w:r>
              <w:rPr>
                <w:b/>
              </w:rPr>
              <w:t>2.77</w:t>
            </w:r>
          </w:p>
        </w:tc>
        <w:tc>
          <w:tcPr>
            <w:tcW w:w="3060" w:type="dxa"/>
            <w:gridSpan w:val="2"/>
          </w:tcPr>
          <w:p w:rsidR="00DF0276" w:rsidRPr="00EE4B60" w:rsidRDefault="00DF0276" w:rsidP="002F4832">
            <w:pPr>
              <w:jc w:val="center"/>
              <w:rPr>
                <w:b/>
              </w:rPr>
            </w:pPr>
            <w:r>
              <w:rPr>
                <w:b/>
                <w:sz w:val="20"/>
              </w:rPr>
              <w:t>[0.64]</w:t>
            </w:r>
          </w:p>
        </w:tc>
        <w:tc>
          <w:tcPr>
            <w:tcW w:w="540" w:type="dxa"/>
          </w:tcPr>
          <w:p w:rsidR="00DF0276" w:rsidRPr="00EE4B60" w:rsidRDefault="00DF0276" w:rsidP="007A5988">
            <w:pPr>
              <w:jc w:val="center"/>
              <w:rPr>
                <w:b/>
              </w:rPr>
            </w:pPr>
          </w:p>
        </w:tc>
      </w:tr>
      <w:tr w:rsidR="00DF0276" w:rsidTr="00485453">
        <w:tblPrEx>
          <w:tblBorders>
            <w:top w:val="none" w:sz="0" w:space="0" w:color="auto"/>
            <w:left w:val="none" w:sz="0" w:space="0" w:color="auto"/>
            <w:bottom w:val="none" w:sz="0" w:space="0" w:color="auto"/>
            <w:right w:val="none" w:sz="0" w:space="0" w:color="auto"/>
          </w:tblBorders>
        </w:tblPrEx>
        <w:trPr>
          <w:trHeight w:val="255"/>
        </w:trPr>
        <w:tc>
          <w:tcPr>
            <w:tcW w:w="3255" w:type="dxa"/>
          </w:tcPr>
          <w:p w:rsidR="00DF0276" w:rsidRPr="003B418F" w:rsidRDefault="00DF0276" w:rsidP="002F4832">
            <w:pPr>
              <w:jc w:val="center"/>
              <w:rPr>
                <w:sz w:val="16"/>
                <w:szCs w:val="16"/>
              </w:rPr>
            </w:pPr>
          </w:p>
          <w:p w:rsidR="00DF0276" w:rsidRPr="00EE4B60" w:rsidRDefault="00DF0276" w:rsidP="002F4832">
            <w:pPr>
              <w:jc w:val="center"/>
            </w:pPr>
            <w:r w:rsidRPr="00EE4B60">
              <w:t>Inflation</w:t>
            </w:r>
            <w:r>
              <w:t xml:space="preserve"> </w:t>
            </w:r>
            <w:r w:rsidRPr="00EE4B60">
              <w:t>diff</w:t>
            </w:r>
            <w:r>
              <w:t>erential</w:t>
            </w:r>
            <w:r w:rsidRPr="00EE4B60">
              <w:t xml:space="preserve"> (π)</w:t>
            </w:r>
          </w:p>
        </w:tc>
        <w:tc>
          <w:tcPr>
            <w:tcW w:w="1080" w:type="dxa"/>
          </w:tcPr>
          <w:p w:rsidR="00DF0276" w:rsidRPr="00EE4B60" w:rsidRDefault="00DF0276" w:rsidP="002F4832">
            <w:pPr>
              <w:jc w:val="center"/>
              <w:rPr>
                <w:b/>
              </w:rPr>
            </w:pPr>
            <w:r w:rsidRPr="00EE4B60">
              <w:rPr>
                <w:b/>
              </w:rPr>
              <w:t>-2.6</w:t>
            </w:r>
            <w:r>
              <w:rPr>
                <w:b/>
              </w:rPr>
              <w:t>4</w:t>
            </w:r>
          </w:p>
        </w:tc>
        <w:tc>
          <w:tcPr>
            <w:tcW w:w="3060" w:type="dxa"/>
            <w:gridSpan w:val="2"/>
          </w:tcPr>
          <w:p w:rsidR="00DF0276" w:rsidRPr="00EE4B60" w:rsidRDefault="00DF0276" w:rsidP="002F4832">
            <w:pPr>
              <w:jc w:val="center"/>
              <w:rPr>
                <w:b/>
              </w:rPr>
            </w:pPr>
            <w:r>
              <w:rPr>
                <w:b/>
                <w:sz w:val="20"/>
              </w:rPr>
              <w:t>[1.16]</w:t>
            </w:r>
          </w:p>
        </w:tc>
        <w:tc>
          <w:tcPr>
            <w:tcW w:w="540" w:type="dxa"/>
          </w:tcPr>
          <w:p w:rsidR="00DF0276" w:rsidRDefault="00DF0276" w:rsidP="007A5988">
            <w:pPr>
              <w:jc w:val="center"/>
              <w:rPr>
                <w:b/>
                <w:sz w:val="20"/>
              </w:rPr>
            </w:pPr>
          </w:p>
        </w:tc>
      </w:tr>
      <w:tr w:rsidR="00DF0276" w:rsidTr="00485453">
        <w:tblPrEx>
          <w:tblBorders>
            <w:top w:val="none" w:sz="0" w:space="0" w:color="auto"/>
            <w:left w:val="none" w:sz="0" w:space="0" w:color="auto"/>
            <w:bottom w:val="none" w:sz="0" w:space="0" w:color="auto"/>
            <w:right w:val="none" w:sz="0" w:space="0" w:color="auto"/>
          </w:tblBorders>
        </w:tblPrEx>
        <w:trPr>
          <w:trHeight w:val="255"/>
        </w:trPr>
        <w:tc>
          <w:tcPr>
            <w:tcW w:w="3255" w:type="dxa"/>
          </w:tcPr>
          <w:p w:rsidR="00DF0276" w:rsidRDefault="00DF0276" w:rsidP="002F4832">
            <w:pPr>
              <w:jc w:val="center"/>
              <w:rPr>
                <w:sz w:val="20"/>
              </w:rPr>
            </w:pPr>
          </w:p>
        </w:tc>
        <w:tc>
          <w:tcPr>
            <w:tcW w:w="1080" w:type="dxa"/>
          </w:tcPr>
          <w:p w:rsidR="00DF0276" w:rsidRDefault="00DF0276" w:rsidP="002F4832">
            <w:pPr>
              <w:jc w:val="center"/>
              <w:rPr>
                <w:b/>
                <w:sz w:val="20"/>
              </w:rPr>
            </w:pPr>
          </w:p>
        </w:tc>
        <w:tc>
          <w:tcPr>
            <w:tcW w:w="3060" w:type="dxa"/>
            <w:gridSpan w:val="2"/>
          </w:tcPr>
          <w:p w:rsidR="00DF0276" w:rsidRDefault="00DF0276" w:rsidP="002F4832">
            <w:pPr>
              <w:jc w:val="center"/>
              <w:rPr>
                <w:b/>
                <w:sz w:val="20"/>
              </w:rPr>
            </w:pPr>
          </w:p>
        </w:tc>
        <w:tc>
          <w:tcPr>
            <w:tcW w:w="540" w:type="dxa"/>
          </w:tcPr>
          <w:p w:rsidR="00DF0276" w:rsidRDefault="00DF0276" w:rsidP="007A5988">
            <w:pPr>
              <w:jc w:val="center"/>
              <w:rPr>
                <w:b/>
                <w:sz w:val="20"/>
              </w:rPr>
            </w:pPr>
          </w:p>
        </w:tc>
      </w:tr>
      <w:tr w:rsidR="00DF0276" w:rsidTr="00485453">
        <w:tblPrEx>
          <w:tblBorders>
            <w:top w:val="none" w:sz="0" w:space="0" w:color="auto"/>
            <w:left w:val="none" w:sz="0" w:space="0" w:color="auto"/>
            <w:bottom w:val="none" w:sz="0" w:space="0" w:color="auto"/>
            <w:right w:val="none" w:sz="0" w:space="0" w:color="auto"/>
          </w:tblBorders>
        </w:tblPrEx>
        <w:trPr>
          <w:trHeight w:val="255"/>
        </w:trPr>
        <w:tc>
          <w:tcPr>
            <w:tcW w:w="3255" w:type="dxa"/>
          </w:tcPr>
          <w:p w:rsidR="00DF0276" w:rsidRPr="00EE4B60" w:rsidRDefault="00DF0276" w:rsidP="002F4832">
            <w:pPr>
              <w:jc w:val="center"/>
            </w:pPr>
            <w:r w:rsidRPr="00EE4B60">
              <w:t>Ex</w:t>
            </w:r>
            <w:r>
              <w:t xml:space="preserve">change </w:t>
            </w:r>
            <w:r w:rsidRPr="00EE4B60">
              <w:t>rate</w:t>
            </w:r>
            <w:r>
              <w:t xml:space="preserve"> </w:t>
            </w:r>
            <w:r w:rsidRPr="00EE4B60">
              <w:t>var</w:t>
            </w:r>
            <w:r>
              <w:t>iability</w:t>
            </w:r>
            <w:r w:rsidRPr="00EE4B60">
              <w:t xml:space="preserve"> (σ)</w:t>
            </w:r>
          </w:p>
        </w:tc>
        <w:tc>
          <w:tcPr>
            <w:tcW w:w="1080" w:type="dxa"/>
          </w:tcPr>
          <w:p w:rsidR="00DF0276" w:rsidRPr="00EE4B60" w:rsidRDefault="00DF0276" w:rsidP="002F4832">
            <w:pPr>
              <w:jc w:val="center"/>
              <w:rPr>
                <w:b/>
              </w:rPr>
            </w:pPr>
            <w:r>
              <w:rPr>
                <w:b/>
              </w:rPr>
              <w:t>-0.98</w:t>
            </w:r>
          </w:p>
        </w:tc>
        <w:tc>
          <w:tcPr>
            <w:tcW w:w="3060" w:type="dxa"/>
            <w:gridSpan w:val="2"/>
          </w:tcPr>
          <w:p w:rsidR="00DF0276" w:rsidRPr="00EE4B60" w:rsidRDefault="00DF0276" w:rsidP="002F4832">
            <w:pPr>
              <w:jc w:val="center"/>
            </w:pPr>
            <w:r>
              <w:rPr>
                <w:b/>
                <w:sz w:val="20"/>
              </w:rPr>
              <w:t>[0.57]</w:t>
            </w:r>
          </w:p>
        </w:tc>
        <w:tc>
          <w:tcPr>
            <w:tcW w:w="540" w:type="dxa"/>
          </w:tcPr>
          <w:p w:rsidR="00DF0276" w:rsidRPr="00EE4B60" w:rsidRDefault="00DF0276" w:rsidP="007A5988">
            <w:pPr>
              <w:jc w:val="center"/>
              <w:rPr>
                <w:b/>
              </w:rPr>
            </w:pPr>
          </w:p>
        </w:tc>
      </w:tr>
      <w:tr w:rsidR="00DF0276" w:rsidTr="00485453">
        <w:tblPrEx>
          <w:tblBorders>
            <w:top w:val="none" w:sz="0" w:space="0" w:color="auto"/>
            <w:left w:val="none" w:sz="0" w:space="0" w:color="auto"/>
            <w:bottom w:val="none" w:sz="0" w:space="0" w:color="auto"/>
            <w:right w:val="none" w:sz="0" w:space="0" w:color="auto"/>
          </w:tblBorders>
        </w:tblPrEx>
        <w:trPr>
          <w:trHeight w:val="255"/>
        </w:trPr>
        <w:tc>
          <w:tcPr>
            <w:tcW w:w="3255" w:type="dxa"/>
          </w:tcPr>
          <w:p w:rsidR="00DF0276" w:rsidRPr="003B418F" w:rsidRDefault="00DF0276" w:rsidP="002F4832">
            <w:pPr>
              <w:jc w:val="center"/>
              <w:rPr>
                <w:sz w:val="16"/>
                <w:szCs w:val="16"/>
              </w:rPr>
            </w:pPr>
          </w:p>
          <w:p w:rsidR="00DF0276" w:rsidRPr="00EE4B60" w:rsidRDefault="00DF0276" w:rsidP="002F4832">
            <w:pPr>
              <w:jc w:val="center"/>
            </w:pPr>
            <w:r>
              <w:t>FX t</w:t>
            </w:r>
            <w:r w:rsidRPr="00EE4B60">
              <w:t>urnover</w:t>
            </w:r>
            <w:r>
              <w:t xml:space="preserve"> </w:t>
            </w:r>
            <w:r w:rsidRPr="00EE4B60">
              <w:t>ratio (to)</w:t>
            </w:r>
          </w:p>
        </w:tc>
        <w:tc>
          <w:tcPr>
            <w:tcW w:w="1080" w:type="dxa"/>
          </w:tcPr>
          <w:p w:rsidR="00DF0276" w:rsidRPr="00EE4B60" w:rsidRDefault="00DF0276" w:rsidP="002F4832">
            <w:pPr>
              <w:jc w:val="center"/>
            </w:pPr>
            <w:r w:rsidRPr="00EE4B60">
              <w:rPr>
                <w:bCs/>
              </w:rPr>
              <w:t>0.4</w:t>
            </w:r>
            <w:r>
              <w:rPr>
                <w:bCs/>
              </w:rPr>
              <w:t>5</w:t>
            </w:r>
          </w:p>
        </w:tc>
        <w:tc>
          <w:tcPr>
            <w:tcW w:w="3060" w:type="dxa"/>
            <w:gridSpan w:val="2"/>
          </w:tcPr>
          <w:p w:rsidR="00DF0276" w:rsidRPr="00EE4B60" w:rsidRDefault="00DF0276" w:rsidP="002F4832">
            <w:pPr>
              <w:jc w:val="center"/>
            </w:pPr>
            <w:r>
              <w:rPr>
                <w:bCs/>
                <w:sz w:val="20"/>
              </w:rPr>
              <w:t>[0.29]</w:t>
            </w:r>
          </w:p>
        </w:tc>
        <w:tc>
          <w:tcPr>
            <w:tcW w:w="540" w:type="dxa"/>
          </w:tcPr>
          <w:p w:rsidR="00DF0276" w:rsidRPr="00C96AB8" w:rsidRDefault="00DF0276" w:rsidP="007A5988">
            <w:pPr>
              <w:jc w:val="center"/>
              <w:rPr>
                <w:b/>
              </w:rPr>
            </w:pPr>
          </w:p>
        </w:tc>
      </w:tr>
      <w:tr w:rsidR="00DF0276" w:rsidTr="00485453">
        <w:tblPrEx>
          <w:tblBorders>
            <w:top w:val="none" w:sz="0" w:space="0" w:color="auto"/>
            <w:left w:val="none" w:sz="0" w:space="0" w:color="auto"/>
            <w:bottom w:val="none" w:sz="0" w:space="0" w:color="auto"/>
            <w:right w:val="none" w:sz="0" w:space="0" w:color="auto"/>
          </w:tblBorders>
        </w:tblPrEx>
        <w:trPr>
          <w:trHeight w:val="255"/>
        </w:trPr>
        <w:tc>
          <w:tcPr>
            <w:tcW w:w="3255" w:type="dxa"/>
          </w:tcPr>
          <w:p w:rsidR="00DF0276" w:rsidRPr="003B418F" w:rsidRDefault="00DF0276" w:rsidP="002F4832">
            <w:pPr>
              <w:jc w:val="center"/>
              <w:rPr>
                <w:sz w:val="16"/>
                <w:szCs w:val="16"/>
                <w:lang w:val="de-DE"/>
              </w:rPr>
            </w:pPr>
          </w:p>
          <w:p w:rsidR="00DF0276" w:rsidRPr="007273E1" w:rsidRDefault="00DF0276" w:rsidP="002F4832">
            <w:pPr>
              <w:jc w:val="center"/>
              <w:rPr>
                <w:lang w:val="de-DE"/>
              </w:rPr>
            </w:pPr>
            <w:r w:rsidRPr="007273E1">
              <w:rPr>
                <w:lang w:val="de-DE"/>
              </w:rPr>
              <w:t>Lag</w:t>
            </w:r>
            <w:r>
              <w:rPr>
                <w:lang w:val="de-DE"/>
              </w:rPr>
              <w:t xml:space="preserve"> of logit of shares</w:t>
            </w:r>
          </w:p>
        </w:tc>
        <w:tc>
          <w:tcPr>
            <w:tcW w:w="1080" w:type="dxa"/>
          </w:tcPr>
          <w:p w:rsidR="00DF0276" w:rsidRPr="007273E1" w:rsidRDefault="00DF0276" w:rsidP="002F4832">
            <w:pPr>
              <w:jc w:val="center"/>
              <w:rPr>
                <w:b/>
                <w:bCs/>
              </w:rPr>
            </w:pPr>
            <w:r>
              <w:rPr>
                <w:b/>
                <w:bCs/>
              </w:rPr>
              <w:t>0.85</w:t>
            </w:r>
          </w:p>
        </w:tc>
        <w:tc>
          <w:tcPr>
            <w:tcW w:w="3060" w:type="dxa"/>
            <w:gridSpan w:val="2"/>
          </w:tcPr>
          <w:p w:rsidR="00DF0276" w:rsidRPr="007273E1" w:rsidRDefault="00DF0276" w:rsidP="002F4832">
            <w:pPr>
              <w:jc w:val="center"/>
              <w:rPr>
                <w:b/>
                <w:bCs/>
              </w:rPr>
            </w:pPr>
            <w:r>
              <w:rPr>
                <w:b/>
                <w:bCs/>
                <w:sz w:val="20"/>
              </w:rPr>
              <w:t>[0.03]</w:t>
            </w:r>
          </w:p>
        </w:tc>
        <w:tc>
          <w:tcPr>
            <w:tcW w:w="540" w:type="dxa"/>
          </w:tcPr>
          <w:p w:rsidR="00DF0276" w:rsidRPr="007273E1" w:rsidRDefault="00DF0276" w:rsidP="007A5988">
            <w:pPr>
              <w:jc w:val="center"/>
              <w:rPr>
                <w:b/>
                <w:bCs/>
              </w:rPr>
            </w:pPr>
          </w:p>
        </w:tc>
      </w:tr>
      <w:tr w:rsidR="00DF0276" w:rsidTr="00485453">
        <w:tblPrEx>
          <w:tblBorders>
            <w:top w:val="none" w:sz="0" w:space="0" w:color="auto"/>
            <w:left w:val="none" w:sz="0" w:space="0" w:color="auto"/>
            <w:bottom w:val="none" w:sz="0" w:space="0" w:color="auto"/>
            <w:right w:val="none" w:sz="0" w:space="0" w:color="auto"/>
          </w:tblBorders>
        </w:tblPrEx>
        <w:trPr>
          <w:trHeight w:val="255"/>
        </w:trPr>
        <w:tc>
          <w:tcPr>
            <w:tcW w:w="3255" w:type="dxa"/>
          </w:tcPr>
          <w:p w:rsidR="00DF0276" w:rsidRDefault="00DF0276" w:rsidP="002F4832">
            <w:pPr>
              <w:jc w:val="center"/>
              <w:rPr>
                <w:sz w:val="20"/>
              </w:rPr>
            </w:pPr>
          </w:p>
        </w:tc>
        <w:tc>
          <w:tcPr>
            <w:tcW w:w="1080" w:type="dxa"/>
          </w:tcPr>
          <w:p w:rsidR="00DF0276" w:rsidRDefault="00DF0276" w:rsidP="002F4832">
            <w:pPr>
              <w:jc w:val="center"/>
              <w:rPr>
                <w:b/>
                <w:bCs/>
                <w:sz w:val="20"/>
              </w:rPr>
            </w:pPr>
          </w:p>
        </w:tc>
        <w:tc>
          <w:tcPr>
            <w:tcW w:w="3060" w:type="dxa"/>
            <w:gridSpan w:val="2"/>
          </w:tcPr>
          <w:p w:rsidR="00DF0276" w:rsidRDefault="00DF0276" w:rsidP="002F4832">
            <w:pPr>
              <w:jc w:val="center"/>
              <w:rPr>
                <w:b/>
                <w:bCs/>
                <w:sz w:val="20"/>
              </w:rPr>
            </w:pPr>
          </w:p>
        </w:tc>
        <w:tc>
          <w:tcPr>
            <w:tcW w:w="540" w:type="dxa"/>
          </w:tcPr>
          <w:p w:rsidR="00DF0276" w:rsidRDefault="00DF0276" w:rsidP="007A5988">
            <w:pPr>
              <w:jc w:val="center"/>
              <w:rPr>
                <w:b/>
                <w:bCs/>
                <w:sz w:val="20"/>
              </w:rPr>
            </w:pPr>
          </w:p>
        </w:tc>
      </w:tr>
      <w:tr w:rsidR="00DF0276" w:rsidTr="00F45703">
        <w:trPr>
          <w:trHeight w:val="350"/>
        </w:trPr>
        <w:tc>
          <w:tcPr>
            <w:tcW w:w="7935" w:type="dxa"/>
            <w:gridSpan w:val="5"/>
            <w:tcBorders>
              <w:top w:val="single" w:sz="4" w:space="0" w:color="auto"/>
              <w:bottom w:val="single" w:sz="4" w:space="0" w:color="auto"/>
            </w:tcBorders>
            <w:vAlign w:val="bottom"/>
          </w:tcPr>
          <w:p w:rsidR="00DF0276" w:rsidRDefault="00DF0276" w:rsidP="00F45703">
            <w:pPr>
              <w:rPr>
                <w:sz w:val="20"/>
              </w:rPr>
            </w:pPr>
            <w:r>
              <w:rPr>
                <w:sz w:val="20"/>
              </w:rPr>
              <w:t xml:space="preserve">N = 182    Adjusted R2 = 0.97    Estimated using OLS.        </w:t>
            </w:r>
          </w:p>
        </w:tc>
      </w:tr>
    </w:tbl>
    <w:p w:rsidR="00DF0276" w:rsidRDefault="00DF0276" w:rsidP="007A5988">
      <w:pPr>
        <w:rPr>
          <w:sz w:val="20"/>
        </w:rPr>
      </w:pPr>
      <w:r>
        <w:rPr>
          <w:sz w:val="20"/>
        </w:rPr>
        <w:t xml:space="preserve">Notes: Dependent variable is logit, i.e., log(share/(1-share)).      </w:t>
      </w:r>
    </w:p>
    <w:p w:rsidR="00DF0276" w:rsidRDefault="00DF0276" w:rsidP="007A5988">
      <w:pPr>
        <w:rPr>
          <w:sz w:val="20"/>
        </w:rPr>
      </w:pPr>
      <w:r>
        <w:rPr>
          <w:sz w:val="20"/>
        </w:rPr>
        <w:t>All variables are in decimal form.     GDP is at market rates.</w:t>
      </w:r>
    </w:p>
    <w:p w:rsidR="00DF0276" w:rsidRDefault="00DF0276" w:rsidP="007A5988">
      <w:pPr>
        <w:rPr>
          <w:sz w:val="20"/>
        </w:rPr>
      </w:pPr>
      <w:r>
        <w:rPr>
          <w:sz w:val="20"/>
        </w:rPr>
        <w:t xml:space="preserve">Figures in bold face are significant at the 10% level. </w:t>
      </w:r>
    </w:p>
    <w:p w:rsidR="00DF0276" w:rsidRDefault="00DF0276" w:rsidP="0002399C">
      <w:pPr>
        <w:rPr>
          <w:sz w:val="20"/>
          <w:szCs w:val="20"/>
        </w:rPr>
      </w:pPr>
    </w:p>
    <w:p w:rsidR="00DF0276" w:rsidRDefault="00DF0276" w:rsidP="00F45703">
      <w:r>
        <w:tab/>
        <w:t>The functional form that seems to fit the data well is called a logit.  It allows a change in fundamentals from 50% to 51% to have a far bigger effect on currency shares than a change from 0 to 1%.   This “tipping phenomenon” is one manifestation of network externalities in the choice of an international currency.   Table 1 reports the results of one equation.   The fundamental factors of GDP, the inflation differential, and exchange rate variability all appear statistically significant.   Foreign exchange turnover is also of the hypothesized sign, but is not significant in this particular regression.</w:t>
      </w:r>
      <w:r>
        <w:rPr>
          <w:rStyle w:val="FootnoteReference"/>
        </w:rPr>
        <w:footnoteReference w:id="37"/>
      </w:r>
    </w:p>
    <w:p w:rsidR="00DF0276" w:rsidRPr="009C1E9F" w:rsidRDefault="00DF0276" w:rsidP="0002399C">
      <w:r w:rsidRPr="009C1E9F">
        <w:tab/>
        <w:t>Of great interest is the effect of the lagged reserves variable.  In this equation, its coefficient is estimated at 0.85.  That means that, each year, the currency shares move 15% of the way toward</w:t>
      </w:r>
      <w:r>
        <w:t xml:space="preserve"> their long-run equilibrium</w:t>
      </w:r>
      <w:r w:rsidRPr="009C1E9F">
        <w:t>.   The half</w:t>
      </w:r>
      <w:r>
        <w:t>-</w:t>
      </w:r>
      <w:r w:rsidRPr="009C1E9F">
        <w:t xml:space="preserve">life </w:t>
      </w:r>
      <w:r>
        <w:t xml:space="preserve">of the adjustment process </w:t>
      </w:r>
      <w:r w:rsidRPr="009C1E9F">
        <w:t>is four years (0.85 to the 5</w:t>
      </w:r>
      <w:r w:rsidRPr="009C1E9F">
        <w:rPr>
          <w:vertAlign w:val="superscript"/>
        </w:rPr>
        <w:t>th</w:t>
      </w:r>
      <w:r w:rsidRPr="009C1E9F">
        <w:t xml:space="preserve"> power is 0.5).    For concreteness, if one country’s fundamentals such as size register a sudden leap from 70% of a rival’s level to 110%, the prediction is that its reserve currency share will reach 90% of its rival’s after 4 years and 100% after 8 years.  (Some other versions of the equation give substantially slower speeds of adjustment.)</w:t>
      </w:r>
    </w:p>
    <w:p w:rsidR="00DF0276" w:rsidRPr="009C1E9F" w:rsidRDefault="00DF0276" w:rsidP="0002399C">
      <w:r>
        <w:rPr>
          <w:sz w:val="20"/>
          <w:szCs w:val="20"/>
        </w:rPr>
        <w:tab/>
      </w:r>
      <w:r w:rsidRPr="009C1E9F">
        <w:t xml:space="preserve">Subramanian (2011a, b) pursues the same econometric approach, but extends the reserve data back to 1900 (with a gap between 1929 and 1958).  The advantage is that the sample spans the period when the dollar overtook the pound.   The disadvantage is that he </w:t>
      </w:r>
      <w:r>
        <w:t xml:space="preserve">has to </w:t>
      </w:r>
      <w:r w:rsidRPr="009C1E9F">
        <w:t>omit any measure of the depth of financial markets or of the rate of return.  He finds that size (which in his case is trade) is a very powerful predictor, and he also finds a role for countries’ net creditor status (significant at the 10% level).</w:t>
      </w:r>
    </w:p>
    <w:p w:rsidR="00DF0276" w:rsidRPr="00B25FAD" w:rsidRDefault="00DF0276" w:rsidP="0002399C"/>
    <w:p w:rsidR="00DF0276" w:rsidRDefault="00DF0276">
      <w:r w:rsidRPr="00045927">
        <w:rPr>
          <w:b/>
        </w:rPr>
        <w:t>Conclusions</w:t>
      </w:r>
    </w:p>
    <w:p w:rsidR="00DF0276" w:rsidRDefault="00DF0276"/>
    <w:p w:rsidR="00DF0276" w:rsidRDefault="00DF0276" w:rsidP="0002399C">
      <w:r>
        <w:tab/>
        <w:t>What lessons can we draw from the experience of the past century?  What lessons, in particular, can be drawn for the international currency prospects of the latest contender, the renminbi?</w:t>
      </w:r>
      <w:r>
        <w:rPr>
          <w:rStyle w:val="FootnoteReference"/>
        </w:rPr>
        <w:footnoteReference w:id="38"/>
      </w:r>
    </w:p>
    <w:p w:rsidR="00DF0276" w:rsidRDefault="00DF0276" w:rsidP="009E11BC">
      <w:pPr>
        <w:ind w:firstLine="720"/>
      </w:pPr>
      <w:r>
        <w:t>Could China’s currency be in the same position as the US dollar at the time of World War I, poised to make a rapid ascent and even rival the position of the historical leader?   This is what Subramanian (2011a, b) concludes, enthusing that the renminbi might overtake the dollar around 2022.   Such analyses are based on the calculation that at current rates of growth, the Chinese economy may overtake the US economy within a decade, even by the GDP criterion for size, let alone by the trade criterion.</w:t>
      </w:r>
      <w:r>
        <w:rPr>
          <w:rStyle w:val="FootnoteReference"/>
        </w:rPr>
        <w:footnoteReference w:id="39"/>
      </w:r>
      <w:r>
        <w:t xml:space="preserve"> Another determinant consistent with this conclusion is the prospective rate of return:  everyone </w:t>
      </w:r>
      <w:r>
        <w:lastRenderedPageBreak/>
        <w:t>expects the RMB to appreciate against the dollar in the long run.</w:t>
      </w:r>
      <w:r>
        <w:rPr>
          <w:rStyle w:val="FootnoteReference"/>
        </w:rPr>
        <w:footnoteReference w:id="40"/>
      </w:r>
      <w:r>
        <w:t xml:space="preserve">  China is a creditor and is still running large surpluses while the US is a debtor and is still running large deficits.  </w:t>
      </w:r>
    </w:p>
    <w:p w:rsidR="00DF0276" w:rsidRDefault="00DF0276" w:rsidP="00EF072E">
      <w:pPr>
        <w:ind w:firstLine="720"/>
      </w:pPr>
      <w:r>
        <w:t>But the third criterion for international currency status is conspicuously missing: deep, liquid, open capital markets.</w:t>
      </w:r>
    </w:p>
    <w:p w:rsidR="00DF0276" w:rsidRDefault="00DF0276" w:rsidP="00EF072E">
      <w:r>
        <w:t xml:space="preserve">On the </w:t>
      </w:r>
      <w:r w:rsidRPr="0043160A">
        <w:t>one hand</w:t>
      </w:r>
      <w:r>
        <w:t>, it is true that:</w:t>
      </w:r>
    </w:p>
    <w:p w:rsidR="00DF0276" w:rsidRDefault="00DF0276" w:rsidP="00EF072E">
      <w:pPr>
        <w:numPr>
          <w:ilvl w:val="0"/>
          <w:numId w:val="3"/>
        </w:numPr>
      </w:pPr>
      <w:r w:rsidRPr="0043160A">
        <w:t>China is starting to use RMB in international trade</w:t>
      </w:r>
    </w:p>
    <w:p w:rsidR="00DF0276" w:rsidRPr="0043160A" w:rsidRDefault="00DF0276" w:rsidP="00EF072E">
      <w:pPr>
        <w:numPr>
          <w:ilvl w:val="0"/>
          <w:numId w:val="3"/>
        </w:numPr>
      </w:pPr>
      <w:r w:rsidRPr="0043160A">
        <w:t xml:space="preserve">Foreign central banks </w:t>
      </w:r>
      <w:r>
        <w:t xml:space="preserve">have been able to </w:t>
      </w:r>
      <w:r w:rsidRPr="0043160A">
        <w:t>hold RMB since Aug</w:t>
      </w:r>
      <w:r>
        <w:t>ust</w:t>
      </w:r>
      <w:r w:rsidRPr="0043160A">
        <w:t xml:space="preserve"> 2010</w:t>
      </w:r>
      <w:r>
        <w:t xml:space="preserve"> (</w:t>
      </w:r>
      <w:r w:rsidRPr="0043160A">
        <w:t>Malaysia’s went first, buying RMB bon</w:t>
      </w:r>
      <w:r>
        <w:t>ds for its FX reserves, in September 2010.)</w:t>
      </w:r>
    </w:p>
    <w:p w:rsidR="00DF0276" w:rsidRPr="0043160A" w:rsidRDefault="00DF0276" w:rsidP="00EF072E">
      <w:pPr>
        <w:numPr>
          <w:ilvl w:val="0"/>
          <w:numId w:val="3"/>
        </w:numPr>
      </w:pPr>
      <w:r>
        <w:t xml:space="preserve">A </w:t>
      </w:r>
      <w:r w:rsidRPr="0043160A">
        <w:t xml:space="preserve">RMB market is now developing in Hong Kong. </w:t>
      </w:r>
      <w:r>
        <w:t xml:space="preserve">Between 2007 and 2010, </w:t>
      </w:r>
      <w:r w:rsidRPr="0043160A">
        <w:t>RMB 62 b</w:t>
      </w:r>
      <w:r>
        <w:t>illion of</w:t>
      </w:r>
      <w:r w:rsidRPr="0043160A">
        <w:t xml:space="preserve"> RMB bonds (27 batches) </w:t>
      </w:r>
      <w:r>
        <w:t xml:space="preserve">were </w:t>
      </w:r>
      <w:r w:rsidRPr="0043160A">
        <w:t>issued offshore</w:t>
      </w:r>
      <w:r>
        <w:t xml:space="preserve"> </w:t>
      </w:r>
      <w:r w:rsidRPr="0043160A">
        <w:t>including by McDonald’s.</w:t>
      </w:r>
      <w:r>
        <w:t xml:space="preserve">  The </w:t>
      </w:r>
      <w:r w:rsidRPr="0043160A">
        <w:t>Bank of China H</w:t>
      </w:r>
      <w:r>
        <w:t>ong Kong</w:t>
      </w:r>
      <w:r w:rsidRPr="0043160A">
        <w:t xml:space="preserve"> launched an</w:t>
      </w:r>
      <w:r>
        <w:t xml:space="preserve"> RMB bond</w:t>
      </w:r>
      <w:r w:rsidRPr="0043160A">
        <w:t xml:space="preserve"> index </w:t>
      </w:r>
      <w:r>
        <w:t xml:space="preserve">on </w:t>
      </w:r>
      <w:r w:rsidRPr="0043160A">
        <w:t>Dec</w:t>
      </w:r>
      <w:r>
        <w:t>ember</w:t>
      </w:r>
      <w:r w:rsidRPr="0043160A">
        <w:t xml:space="preserve"> 31, 2010.</w:t>
      </w:r>
    </w:p>
    <w:p w:rsidR="00DF0276" w:rsidRDefault="00DF0276" w:rsidP="00EF072E">
      <w:pPr>
        <w:numPr>
          <w:ilvl w:val="0"/>
          <w:numId w:val="3"/>
        </w:numPr>
      </w:pPr>
      <w:r w:rsidRPr="0043160A">
        <w:t>In November</w:t>
      </w:r>
      <w:r>
        <w:t xml:space="preserve"> 2010</w:t>
      </w:r>
      <w:r w:rsidRPr="0043160A">
        <w:t xml:space="preserve">, RMB deposits </w:t>
      </w:r>
      <w:r>
        <w:t xml:space="preserve">in Hong Kong </w:t>
      </w:r>
      <w:r w:rsidRPr="0043160A">
        <w:t>reached RMB 280 b.</w:t>
      </w:r>
    </w:p>
    <w:p w:rsidR="00DF0276" w:rsidRPr="0043160A" w:rsidRDefault="00DF0276" w:rsidP="00EF072E">
      <w:r>
        <w:t>On the other hand, however:</w:t>
      </w:r>
    </w:p>
    <w:p w:rsidR="00DF0276" w:rsidRPr="0043160A" w:rsidRDefault="00DF0276" w:rsidP="00EF072E">
      <w:pPr>
        <w:numPr>
          <w:ilvl w:val="0"/>
          <w:numId w:val="5"/>
        </w:numPr>
      </w:pPr>
      <w:r w:rsidRPr="0043160A">
        <w:t>RMB bonds and deposits in H</w:t>
      </w:r>
      <w:r>
        <w:t xml:space="preserve">ong Kong </w:t>
      </w:r>
      <w:r w:rsidRPr="0043160A">
        <w:t>are small as a fraction</w:t>
      </w:r>
      <w:r>
        <w:t xml:space="preserve"> of total RMB bonds and deposits (a</w:t>
      </w:r>
      <w:r w:rsidRPr="0043160A">
        <w:t>nd of course H</w:t>
      </w:r>
      <w:r>
        <w:t>ong Kong is in any case part of China).</w:t>
      </w:r>
    </w:p>
    <w:p w:rsidR="00DF0276" w:rsidRPr="0043160A" w:rsidRDefault="00DF0276" w:rsidP="00EF072E">
      <w:pPr>
        <w:numPr>
          <w:ilvl w:val="0"/>
          <w:numId w:val="5"/>
        </w:numPr>
      </w:pPr>
      <w:r w:rsidRPr="0043160A">
        <w:t xml:space="preserve">Development of China’s </w:t>
      </w:r>
      <w:r>
        <w:t xml:space="preserve">domestic </w:t>
      </w:r>
      <w:r w:rsidRPr="0043160A">
        <w:t>financial market has just begun.</w:t>
      </w:r>
    </w:p>
    <w:p w:rsidR="00DF0276" w:rsidRDefault="00DF0276" w:rsidP="00622D05">
      <w:pPr>
        <w:numPr>
          <w:ilvl w:val="0"/>
          <w:numId w:val="5"/>
        </w:numPr>
      </w:pPr>
      <w:r>
        <w:t>It is s</w:t>
      </w:r>
      <w:r w:rsidRPr="0043160A">
        <w:t>till very highly regulated</w:t>
      </w:r>
      <w:r>
        <w:t>, and the d</w:t>
      </w:r>
      <w:r w:rsidRPr="0043160A">
        <w:t xml:space="preserve">omestic system </w:t>
      </w:r>
      <w:r>
        <w:t xml:space="preserve">is </w:t>
      </w:r>
      <w:r w:rsidRPr="0043160A">
        <w:t xml:space="preserve"> “financially repressed.”</w:t>
      </w:r>
    </w:p>
    <w:p w:rsidR="00DF0276" w:rsidRPr="0043160A" w:rsidRDefault="00DF0276" w:rsidP="00622D05">
      <w:pPr>
        <w:numPr>
          <w:ilvl w:val="0"/>
          <w:numId w:val="5"/>
        </w:numPr>
      </w:pPr>
      <w:r w:rsidRPr="0043160A">
        <w:t xml:space="preserve">Cross-border capital flows </w:t>
      </w:r>
      <w:r>
        <w:t xml:space="preserve">are </w:t>
      </w:r>
      <w:r w:rsidRPr="0043160A">
        <w:t>subject to heavy controls.</w:t>
      </w:r>
      <w:r>
        <w:t xml:space="preserve"> </w:t>
      </w:r>
      <w:r w:rsidRPr="0043160A">
        <w:t xml:space="preserve">Foreign companies still cannot borrow in </w:t>
      </w:r>
      <w:r>
        <w:t xml:space="preserve">mainland </w:t>
      </w:r>
      <w:r w:rsidRPr="0043160A">
        <w:t>China.</w:t>
      </w:r>
    </w:p>
    <w:p w:rsidR="00DF0276" w:rsidRDefault="00DF0276" w:rsidP="00622D05">
      <w:pPr>
        <w:ind w:firstLine="720"/>
      </w:pPr>
      <w:r>
        <w:t>In short, by the criteria of l</w:t>
      </w:r>
      <w:r w:rsidRPr="0043160A">
        <w:t xml:space="preserve">iquidity, breadth, </w:t>
      </w:r>
      <w:r>
        <w:t xml:space="preserve">and </w:t>
      </w:r>
      <w:r w:rsidRPr="0043160A">
        <w:t>openness</w:t>
      </w:r>
      <w:r>
        <w:t>, Chinese financial markets still have a long way t</w:t>
      </w:r>
      <w:r w:rsidRPr="0043160A">
        <w:t>o</w:t>
      </w:r>
      <w:r>
        <w:t xml:space="preserve"> go before they catch up with those of other major currencies</w:t>
      </w:r>
      <w:r w:rsidRPr="0043160A">
        <w:t>.</w:t>
      </w:r>
      <w:r>
        <w:t xml:space="preserve">  For this reason, the renminbi in 2010-2011 has only just begun to act as an international currency.</w:t>
      </w:r>
    </w:p>
    <w:p w:rsidR="00DF0276" w:rsidRDefault="00DF0276" w:rsidP="006C07D2">
      <w:r>
        <w:tab/>
        <w:t>The government in Beijing since 2010 has deliberately pursued offshore international use of the currency. In principle, it could accelerate the financial market development necessary to realize this goal. But if it were to do that, it would be acting contrary to the three precedents examined in this paper, the dollar, mark and yen.  Moreover, it would be doing so despite the tremendous importance of its manufacturing sector relative to its financial sector, which would make one expect a reluctance to internationalize the currency, for the same competitiveness reasons</w:t>
      </w:r>
      <w:r w:rsidRPr="00F92CD6">
        <w:t xml:space="preserve"> </w:t>
      </w:r>
      <w:r>
        <w:t xml:space="preserve">as in the earlier cases.  As Subramanian (2011a, p.5) admits, </w:t>
      </w:r>
      <w:r w:rsidRPr="00E554EF">
        <w:t>“For China, therefore, there is a tension between the export-led growth strategy, which requires denying foreigners the ability to buy Chinese assets, and promoting reserve currency status, which requires unrestricted access to foreigners to buy Chinese assets.”</w:t>
      </w:r>
      <w:r>
        <w:t xml:space="preserve">  </w:t>
      </w:r>
    </w:p>
    <w:p w:rsidR="00DF0276" w:rsidRDefault="00DF0276" w:rsidP="00657B60">
      <w:pPr>
        <w:ind w:firstLine="720"/>
      </w:pPr>
      <w:r>
        <w:t xml:space="preserve">Not only does China’s announced policy defy the logic of political economy. The country’s sequencing of its reforms appears unorthodox. China is encouraging the use of the RMB outside its borders, not having yet begun to remove its controls on capital inflows or outflows and barely having begun to liberalize domestic financial markets.  </w:t>
      </w:r>
      <w:r>
        <w:lastRenderedPageBreak/>
        <w:t xml:space="preserve">This is not the usual pattern.  </w:t>
      </w:r>
      <w:r w:rsidRPr="006C07D2">
        <w:t>McCauley (2011</w:t>
      </w:r>
      <w:r>
        <w:t>, p.1</w:t>
      </w:r>
      <w:r w:rsidRPr="006C07D2">
        <w:t>)</w:t>
      </w:r>
      <w:r>
        <w:t xml:space="preserve"> notes</w:t>
      </w:r>
      <w:r w:rsidRPr="006C07D2">
        <w:t>:</w:t>
      </w:r>
      <w:r>
        <w:t xml:space="preserve"> “One cannot find any precedent for the effort of the Chinese authorities to develop an offshore market while keeping in place extensive controls on the cross-border flows of capital.  No other country has set out to develop an offshore market….” </w:t>
      </w:r>
    </w:p>
    <w:p w:rsidR="00DF0276" w:rsidRPr="00EF072E" w:rsidRDefault="00DF0276">
      <w:r>
        <w:tab/>
        <w:t>What is China up to?   One can only speculate.  But there are several possible hypotheses.    The first is that the country seeks the advantages of international currency status – seignorage, convenience for its firms, and international prestige (often seen to be among the trappings appropriate for a newly arrived economic powerhouse) – and that it puts even higher priority on these goals than on continuing the export-led development strategy that it has been following until now.   The second hypothesis is that it does not fully realize the tension between the goal of internationalization and the goal of keeping the currency competitively valued, and that the offshore strategy is evidence that it thinks it can pursue both simultaneously.   A third hypothesis is that the internationalization strategy is the work of an elite few—the Chinese counterparts to the duck hunters of Jekyll Island. This elite might be motivated by the worry that the export led strategy has finally run into limits, especially inflation and a housing bubble. It might recognize the importance of shifting the economy from exports to the domestic sector, and might see financial opening, the easing of financial repression,</w:t>
      </w:r>
      <w:r w:rsidRPr="00B5693C">
        <w:t xml:space="preserve"> </w:t>
      </w:r>
      <w:r>
        <w:t>and RMB appreciation, as contributing to that strategy.</w:t>
      </w:r>
      <w:r>
        <w:rPr>
          <w:rStyle w:val="FootnoteReference"/>
        </w:rPr>
        <w:footnoteReference w:id="41"/>
      </w:r>
      <w:r>
        <w:t xml:space="preserve">  These three hypotheses are not necessarily mutually exclusive:  The elite few could be appealing to the advantages of international currency status as a way of overcoming the competitiveness fears of others.</w:t>
      </w:r>
      <w:r w:rsidRPr="0065025C">
        <w:t xml:space="preserve"> </w:t>
      </w:r>
      <w:r>
        <w:t xml:space="preserve"> Hong Kong is an eager participant.  But if China is not yet ready to liberalize its domestic financial markets, to legalize capital inflows, or to let the currency appreciate, then full internationalization is probably a long way off.</w:t>
      </w:r>
    </w:p>
    <w:p w:rsidR="00DF0276" w:rsidRDefault="00DF0276"/>
    <w:p w:rsidR="00DF0276" w:rsidRDefault="00DF0276"/>
    <w:p w:rsidR="00DF0276" w:rsidRPr="00492700" w:rsidRDefault="00DF0276" w:rsidP="00685928">
      <w:pPr>
        <w:jc w:val="center"/>
        <w:rPr>
          <w:b/>
          <w:u w:val="single"/>
        </w:rPr>
      </w:pPr>
      <w:r w:rsidRPr="00492700">
        <w:rPr>
          <w:b/>
          <w:u w:val="single"/>
        </w:rPr>
        <w:t>References</w:t>
      </w:r>
    </w:p>
    <w:p w:rsidR="00DF0276" w:rsidRDefault="00DF0276"/>
    <w:p w:rsidR="00DF0276" w:rsidRPr="00045927" w:rsidRDefault="00DF0276" w:rsidP="00E04647">
      <w:pPr>
        <w:rPr>
          <w:sz w:val="20"/>
          <w:szCs w:val="20"/>
        </w:rPr>
      </w:pPr>
      <w:r w:rsidRPr="00045927">
        <w:rPr>
          <w:sz w:val="20"/>
          <w:szCs w:val="20"/>
        </w:rPr>
        <w:t xml:space="preserve">Ahamed, Liaquat, 2009, </w:t>
      </w:r>
      <w:r w:rsidRPr="00045927">
        <w:rPr>
          <w:i/>
          <w:sz w:val="20"/>
          <w:szCs w:val="20"/>
        </w:rPr>
        <w:t>Lords of Finance: The Bankers Who Broke the World</w:t>
      </w:r>
      <w:r w:rsidRPr="00045927">
        <w:rPr>
          <w:sz w:val="20"/>
          <w:szCs w:val="20"/>
        </w:rPr>
        <w:t xml:space="preserve">,” Penguin </w:t>
      </w:r>
      <w:r>
        <w:rPr>
          <w:sz w:val="20"/>
          <w:szCs w:val="20"/>
        </w:rPr>
        <w:t>Press</w:t>
      </w:r>
      <w:r w:rsidRPr="00045927">
        <w:rPr>
          <w:sz w:val="20"/>
          <w:szCs w:val="20"/>
        </w:rPr>
        <w:t>.</w:t>
      </w:r>
    </w:p>
    <w:p w:rsidR="00DF0276" w:rsidRPr="00045927" w:rsidRDefault="00DF0276" w:rsidP="00E04647">
      <w:pPr>
        <w:rPr>
          <w:sz w:val="20"/>
          <w:szCs w:val="20"/>
        </w:rPr>
      </w:pPr>
    </w:p>
    <w:p w:rsidR="00DF0276" w:rsidRPr="00045927" w:rsidRDefault="00DF0276" w:rsidP="00883AA6">
      <w:pPr>
        <w:suppressAutoHyphens/>
        <w:jc w:val="both"/>
        <w:rPr>
          <w:spacing w:val="-3"/>
          <w:sz w:val="20"/>
          <w:szCs w:val="20"/>
        </w:rPr>
      </w:pPr>
      <w:r w:rsidRPr="00045927">
        <w:rPr>
          <w:spacing w:val="-3"/>
          <w:sz w:val="20"/>
          <w:szCs w:val="20"/>
        </w:rPr>
        <w:t xml:space="preserve">Aliber, Robert, 1966, </w:t>
      </w:r>
      <w:r w:rsidRPr="00045927">
        <w:rPr>
          <w:i/>
          <w:spacing w:val="-3"/>
          <w:sz w:val="20"/>
          <w:szCs w:val="20"/>
        </w:rPr>
        <w:t>The Future of the Dollar as an International Currency</w:t>
      </w:r>
      <w:r w:rsidRPr="00045927">
        <w:rPr>
          <w:spacing w:val="-3"/>
          <w:sz w:val="20"/>
          <w:szCs w:val="20"/>
        </w:rPr>
        <w:t>, Frederick Praeger, Publishers, New York.</w:t>
      </w:r>
    </w:p>
    <w:p w:rsidR="00DF0276" w:rsidRPr="00045927" w:rsidRDefault="00DF0276" w:rsidP="00883AA6">
      <w:pPr>
        <w:suppressAutoHyphens/>
        <w:jc w:val="both"/>
        <w:rPr>
          <w:spacing w:val="-3"/>
          <w:sz w:val="20"/>
          <w:szCs w:val="20"/>
        </w:rPr>
      </w:pPr>
    </w:p>
    <w:p w:rsidR="00DF0276" w:rsidRPr="00045927" w:rsidRDefault="00DF0276" w:rsidP="00883AA6">
      <w:pPr>
        <w:tabs>
          <w:tab w:val="left" w:pos="0"/>
        </w:tabs>
        <w:suppressAutoHyphens/>
        <w:rPr>
          <w:sz w:val="20"/>
          <w:szCs w:val="20"/>
        </w:rPr>
      </w:pPr>
      <w:r w:rsidRPr="00045927">
        <w:rPr>
          <w:sz w:val="20"/>
          <w:szCs w:val="20"/>
        </w:rPr>
        <w:t xml:space="preserve">Alogoskoufis, George and Richard Portes, 1992, "European Monetary Union and International Currencies in a Tripolar World," in Matthew Canzoneri, Vittorio Grilli and Paul Masson (eds), </w:t>
      </w:r>
      <w:r w:rsidRPr="00045927">
        <w:rPr>
          <w:i/>
          <w:sz w:val="20"/>
          <w:szCs w:val="20"/>
        </w:rPr>
        <w:t>Establishing a Central Bank: Issues in Europe and Lessons from the U.S.</w:t>
      </w:r>
      <w:r w:rsidRPr="00045927">
        <w:rPr>
          <w:sz w:val="20"/>
          <w:szCs w:val="20"/>
        </w:rPr>
        <w:t>, Cambridge: Cambridge University Press, pp.273-302.</w:t>
      </w:r>
    </w:p>
    <w:p w:rsidR="00DF0276" w:rsidRPr="00045927" w:rsidRDefault="00DF0276" w:rsidP="00E04647">
      <w:pPr>
        <w:rPr>
          <w:sz w:val="20"/>
          <w:szCs w:val="20"/>
        </w:rPr>
      </w:pPr>
    </w:p>
    <w:p w:rsidR="00DF0276" w:rsidRPr="00045927" w:rsidRDefault="00DF0276" w:rsidP="00883AA6">
      <w:pPr>
        <w:tabs>
          <w:tab w:val="left" w:pos="0"/>
        </w:tabs>
        <w:suppressAutoHyphens/>
        <w:jc w:val="both"/>
        <w:rPr>
          <w:spacing w:val="-3"/>
          <w:sz w:val="20"/>
          <w:szCs w:val="20"/>
        </w:rPr>
      </w:pPr>
      <w:r w:rsidRPr="00045927">
        <w:rPr>
          <w:spacing w:val="-3"/>
          <w:sz w:val="20"/>
          <w:szCs w:val="20"/>
        </w:rPr>
        <w:t xml:space="preserve">Bergsten, C. Fred, 1975, </w:t>
      </w:r>
      <w:r w:rsidRPr="00045927">
        <w:rPr>
          <w:i/>
          <w:spacing w:val="-3"/>
          <w:sz w:val="20"/>
          <w:szCs w:val="20"/>
        </w:rPr>
        <w:t>The Dilemmas of the Dollar,</w:t>
      </w:r>
      <w:r w:rsidRPr="00045927">
        <w:rPr>
          <w:spacing w:val="-3"/>
          <w:sz w:val="20"/>
          <w:szCs w:val="20"/>
        </w:rPr>
        <w:t xml:space="preserve"> New York Univ. Press, New York.</w:t>
      </w:r>
    </w:p>
    <w:p w:rsidR="00DF0276" w:rsidRPr="00045927" w:rsidRDefault="00DF0276" w:rsidP="00883AA6">
      <w:pPr>
        <w:jc w:val="both"/>
        <w:rPr>
          <w:sz w:val="20"/>
          <w:szCs w:val="20"/>
        </w:rPr>
      </w:pPr>
    </w:p>
    <w:p w:rsidR="00DF0276" w:rsidRPr="00045927" w:rsidRDefault="00DF0276" w:rsidP="00883AA6">
      <w:pPr>
        <w:jc w:val="both"/>
        <w:rPr>
          <w:sz w:val="20"/>
          <w:szCs w:val="20"/>
        </w:rPr>
      </w:pPr>
      <w:r w:rsidRPr="00045927">
        <w:rPr>
          <w:sz w:val="20"/>
          <w:szCs w:val="20"/>
        </w:rPr>
        <w:t xml:space="preserve">Bergsten, C. Fred, 1997, “The Dollar and the Euro,” </w:t>
      </w:r>
      <w:r w:rsidRPr="00045927">
        <w:rPr>
          <w:i/>
          <w:sz w:val="20"/>
          <w:szCs w:val="20"/>
        </w:rPr>
        <w:t>Foreign Affairs</w:t>
      </w:r>
      <w:r w:rsidRPr="00045927">
        <w:rPr>
          <w:sz w:val="20"/>
          <w:szCs w:val="20"/>
        </w:rPr>
        <w:t>, July/August, 83-95.</w:t>
      </w:r>
    </w:p>
    <w:p w:rsidR="00DF0276" w:rsidRPr="00045927" w:rsidRDefault="00DF0276" w:rsidP="00883AA6">
      <w:pPr>
        <w:tabs>
          <w:tab w:val="left" w:pos="0"/>
        </w:tabs>
        <w:suppressAutoHyphens/>
        <w:jc w:val="both"/>
        <w:rPr>
          <w:spacing w:val="-3"/>
          <w:sz w:val="20"/>
          <w:szCs w:val="20"/>
        </w:rPr>
      </w:pPr>
    </w:p>
    <w:p w:rsidR="00DF0276" w:rsidRPr="00045927" w:rsidRDefault="00DF0276" w:rsidP="00883AA6">
      <w:pPr>
        <w:suppressAutoHyphens/>
        <w:jc w:val="both"/>
        <w:rPr>
          <w:spacing w:val="-3"/>
          <w:sz w:val="20"/>
          <w:szCs w:val="20"/>
        </w:rPr>
      </w:pPr>
      <w:r w:rsidRPr="00045927">
        <w:rPr>
          <w:spacing w:val="-3"/>
          <w:sz w:val="20"/>
          <w:szCs w:val="20"/>
        </w:rPr>
        <w:t xml:space="preserve">Black, Stanley, 1985, "International Money and International Monetary Arrangements," Chapter 22 in </w:t>
      </w:r>
      <w:r w:rsidRPr="00045927">
        <w:rPr>
          <w:i/>
          <w:spacing w:val="-3"/>
          <w:sz w:val="20"/>
          <w:szCs w:val="20"/>
        </w:rPr>
        <w:t>Handbook of International Economics</w:t>
      </w:r>
      <w:r w:rsidRPr="00045927">
        <w:rPr>
          <w:spacing w:val="-3"/>
          <w:sz w:val="20"/>
          <w:szCs w:val="20"/>
        </w:rPr>
        <w:t>, edited by Ron Jones and Peter Kenen, Elsevier Science Publishers.</w:t>
      </w:r>
    </w:p>
    <w:p w:rsidR="00DF0276" w:rsidRPr="00045927" w:rsidRDefault="00DF0276" w:rsidP="00883AA6">
      <w:pPr>
        <w:tabs>
          <w:tab w:val="left" w:pos="0"/>
        </w:tabs>
        <w:suppressAutoHyphens/>
        <w:jc w:val="both"/>
        <w:rPr>
          <w:spacing w:val="-3"/>
          <w:sz w:val="20"/>
          <w:szCs w:val="20"/>
        </w:rPr>
      </w:pPr>
    </w:p>
    <w:p w:rsidR="00DF0276" w:rsidRPr="00045927" w:rsidRDefault="00DF0276" w:rsidP="00883AA6">
      <w:pPr>
        <w:tabs>
          <w:tab w:val="left" w:pos="0"/>
        </w:tabs>
        <w:suppressAutoHyphens/>
        <w:jc w:val="both"/>
        <w:rPr>
          <w:spacing w:val="-3"/>
          <w:sz w:val="20"/>
          <w:szCs w:val="20"/>
        </w:rPr>
      </w:pPr>
      <w:r w:rsidRPr="00045927">
        <w:rPr>
          <w:spacing w:val="-3"/>
          <w:sz w:val="20"/>
          <w:szCs w:val="20"/>
        </w:rPr>
        <w:t xml:space="preserve">Black, Stanley, 1989, "Transactions Costs and Vehicle Currencies," </w:t>
      </w:r>
      <w:r w:rsidRPr="00045927">
        <w:rPr>
          <w:i/>
          <w:spacing w:val="-3"/>
          <w:sz w:val="20"/>
          <w:szCs w:val="20"/>
        </w:rPr>
        <w:t>Journal of  International Money and Finance</w:t>
      </w:r>
      <w:r w:rsidRPr="00045927">
        <w:rPr>
          <w:spacing w:val="-3"/>
          <w:sz w:val="20"/>
          <w:szCs w:val="20"/>
        </w:rPr>
        <w:t xml:space="preserve"> 10 (4), Dec: 512-26.</w:t>
      </w:r>
    </w:p>
    <w:p w:rsidR="00DF0276" w:rsidRPr="00045927" w:rsidRDefault="00DF0276" w:rsidP="00883AA6">
      <w:pPr>
        <w:tabs>
          <w:tab w:val="left" w:pos="0"/>
        </w:tabs>
        <w:suppressAutoHyphens/>
        <w:jc w:val="both"/>
        <w:rPr>
          <w:rFonts w:eastAsia="MS Mincho"/>
          <w:color w:val="000000"/>
          <w:sz w:val="20"/>
          <w:szCs w:val="20"/>
          <w:lang w:eastAsia="ja-JP"/>
        </w:rPr>
      </w:pPr>
    </w:p>
    <w:p w:rsidR="00DF0276" w:rsidRPr="00045927" w:rsidRDefault="00DF0276" w:rsidP="00883AA6">
      <w:pPr>
        <w:tabs>
          <w:tab w:val="left" w:pos="0"/>
        </w:tabs>
        <w:suppressAutoHyphens/>
        <w:jc w:val="both"/>
        <w:rPr>
          <w:spacing w:val="-3"/>
          <w:sz w:val="20"/>
          <w:szCs w:val="20"/>
        </w:rPr>
      </w:pPr>
      <w:r w:rsidRPr="00045927">
        <w:rPr>
          <w:rFonts w:eastAsia="MS Mincho"/>
          <w:color w:val="000000"/>
          <w:sz w:val="20"/>
          <w:szCs w:val="20"/>
          <w:lang w:eastAsia="ja-JP"/>
        </w:rPr>
        <w:t xml:space="preserve">Broz, Lawrence, 1997, </w:t>
      </w:r>
      <w:r w:rsidRPr="00045927">
        <w:rPr>
          <w:rFonts w:eastAsia="MS Mincho"/>
          <w:i/>
          <w:color w:val="000000"/>
          <w:sz w:val="20"/>
          <w:szCs w:val="20"/>
          <w:lang w:eastAsia="ja-JP"/>
        </w:rPr>
        <w:t>The International Origins of the Federal Reserve System</w:t>
      </w:r>
      <w:r w:rsidRPr="00045927">
        <w:rPr>
          <w:rFonts w:eastAsia="MS Mincho"/>
          <w:color w:val="000000"/>
          <w:sz w:val="20"/>
          <w:szCs w:val="20"/>
          <w:lang w:eastAsia="ja-JP"/>
        </w:rPr>
        <w:t xml:space="preserve"> </w:t>
      </w:r>
      <w:r>
        <w:rPr>
          <w:rFonts w:eastAsia="MS Mincho"/>
          <w:color w:val="000000"/>
          <w:sz w:val="20"/>
          <w:szCs w:val="20"/>
          <w:lang w:eastAsia="ja-JP"/>
        </w:rPr>
        <w:t>(</w:t>
      </w:r>
      <w:r w:rsidRPr="00045927">
        <w:rPr>
          <w:rFonts w:eastAsia="MS Mincho"/>
          <w:color w:val="000000"/>
          <w:sz w:val="20"/>
          <w:szCs w:val="20"/>
          <w:lang w:eastAsia="ja-JP"/>
        </w:rPr>
        <w:t>Cornell Univ. Press: Ithaca</w:t>
      </w:r>
      <w:r>
        <w:rPr>
          <w:rFonts w:eastAsia="MS Mincho"/>
          <w:color w:val="000000"/>
          <w:sz w:val="20"/>
          <w:szCs w:val="20"/>
          <w:lang w:eastAsia="ja-JP"/>
        </w:rPr>
        <w:t>)</w:t>
      </w:r>
      <w:r w:rsidRPr="00045927">
        <w:rPr>
          <w:rFonts w:eastAsia="MS Mincho"/>
          <w:color w:val="000000"/>
          <w:sz w:val="20"/>
          <w:szCs w:val="20"/>
          <w:lang w:eastAsia="ja-JP"/>
        </w:rPr>
        <w:t>.</w:t>
      </w:r>
    </w:p>
    <w:p w:rsidR="00DF0276" w:rsidRPr="00045927" w:rsidRDefault="00DF0276" w:rsidP="00FC0197">
      <w:pPr>
        <w:rPr>
          <w:rFonts w:eastAsia="MS Mincho"/>
          <w:color w:val="000000"/>
          <w:sz w:val="20"/>
          <w:szCs w:val="20"/>
          <w:lang w:eastAsia="ja-JP"/>
        </w:rPr>
      </w:pPr>
    </w:p>
    <w:p w:rsidR="00DF0276" w:rsidRPr="00045927" w:rsidRDefault="00DF0276" w:rsidP="00FC0197">
      <w:pPr>
        <w:rPr>
          <w:rFonts w:eastAsia="MS Mincho"/>
          <w:color w:val="000000"/>
          <w:sz w:val="20"/>
          <w:szCs w:val="20"/>
          <w:lang w:eastAsia="ja-JP"/>
        </w:rPr>
      </w:pPr>
      <w:r w:rsidRPr="00045927">
        <w:rPr>
          <w:rFonts w:eastAsia="MS Mincho"/>
          <w:color w:val="000000"/>
          <w:sz w:val="20"/>
          <w:szCs w:val="20"/>
          <w:lang w:eastAsia="ja-JP"/>
        </w:rPr>
        <w:t xml:space="preserve">Broz, Lawrence, 1999, “Origins of the Federal Reserve System: International Incentives and the Domestic Free-rider Problem,”  </w:t>
      </w:r>
      <w:r w:rsidRPr="00045927">
        <w:rPr>
          <w:rFonts w:eastAsia="MS Mincho"/>
          <w:i/>
          <w:color w:val="000000"/>
          <w:sz w:val="20"/>
          <w:szCs w:val="20"/>
          <w:lang w:eastAsia="ja-JP"/>
        </w:rPr>
        <w:t>International Organization</w:t>
      </w:r>
      <w:r w:rsidRPr="00045927">
        <w:rPr>
          <w:rFonts w:eastAsia="MS Mincho"/>
          <w:color w:val="000000"/>
          <w:sz w:val="20"/>
          <w:szCs w:val="20"/>
          <w:lang w:eastAsia="ja-JP"/>
        </w:rPr>
        <w:t xml:space="preserve"> 53,</w:t>
      </w:r>
      <w:r>
        <w:rPr>
          <w:rFonts w:eastAsia="MS Mincho"/>
          <w:color w:val="000000"/>
          <w:sz w:val="20"/>
          <w:szCs w:val="20"/>
          <w:lang w:eastAsia="ja-JP"/>
        </w:rPr>
        <w:t xml:space="preserve"> no. 1, W</w:t>
      </w:r>
      <w:r w:rsidRPr="00045927">
        <w:rPr>
          <w:rFonts w:eastAsia="MS Mincho"/>
          <w:color w:val="000000"/>
          <w:sz w:val="20"/>
          <w:szCs w:val="20"/>
          <w:lang w:eastAsia="ja-JP"/>
        </w:rPr>
        <w:t>inter.</w:t>
      </w:r>
    </w:p>
    <w:p w:rsidR="00DF0276" w:rsidRPr="00045927" w:rsidRDefault="00DF0276" w:rsidP="00FC0197">
      <w:pPr>
        <w:rPr>
          <w:rFonts w:eastAsia="MS Mincho"/>
          <w:color w:val="000000"/>
          <w:sz w:val="20"/>
          <w:szCs w:val="20"/>
          <w:lang w:eastAsia="ja-JP"/>
        </w:rPr>
      </w:pPr>
    </w:p>
    <w:p w:rsidR="00DF0276" w:rsidRDefault="00DF0276" w:rsidP="00FC0197">
      <w:pPr>
        <w:rPr>
          <w:sz w:val="20"/>
          <w:szCs w:val="20"/>
        </w:rPr>
      </w:pPr>
      <w:r w:rsidRPr="00045927">
        <w:rPr>
          <w:sz w:val="20"/>
          <w:szCs w:val="20"/>
        </w:rPr>
        <w:t>Chen, H</w:t>
      </w:r>
      <w:r>
        <w:rPr>
          <w:sz w:val="20"/>
          <w:szCs w:val="20"/>
        </w:rPr>
        <w:t>.</w:t>
      </w:r>
      <w:r w:rsidRPr="00045927">
        <w:rPr>
          <w:sz w:val="20"/>
          <w:szCs w:val="20"/>
        </w:rPr>
        <w:t>, W</w:t>
      </w:r>
      <w:r>
        <w:rPr>
          <w:sz w:val="20"/>
          <w:szCs w:val="20"/>
        </w:rPr>
        <w:t>.</w:t>
      </w:r>
      <w:r w:rsidRPr="00045927">
        <w:rPr>
          <w:sz w:val="20"/>
          <w:szCs w:val="20"/>
        </w:rPr>
        <w:t xml:space="preserve"> Peng and C</w:t>
      </w:r>
      <w:r>
        <w:rPr>
          <w:sz w:val="20"/>
          <w:szCs w:val="20"/>
        </w:rPr>
        <w:t>.</w:t>
      </w:r>
      <w:r w:rsidRPr="00045927">
        <w:rPr>
          <w:sz w:val="20"/>
          <w:szCs w:val="20"/>
        </w:rPr>
        <w:t xml:space="preserve"> Shu</w:t>
      </w:r>
      <w:r>
        <w:rPr>
          <w:sz w:val="20"/>
          <w:szCs w:val="20"/>
        </w:rPr>
        <w:t>, 2009,</w:t>
      </w:r>
      <w:r w:rsidRPr="00045927">
        <w:rPr>
          <w:sz w:val="20"/>
          <w:szCs w:val="20"/>
        </w:rPr>
        <w:t xml:space="preserve"> “The </w:t>
      </w:r>
      <w:r>
        <w:rPr>
          <w:sz w:val="20"/>
          <w:szCs w:val="20"/>
        </w:rPr>
        <w:t>P</w:t>
      </w:r>
      <w:r w:rsidRPr="00045927">
        <w:rPr>
          <w:sz w:val="20"/>
          <w:szCs w:val="20"/>
        </w:rPr>
        <w:t xml:space="preserve">otential of the </w:t>
      </w:r>
      <w:r>
        <w:rPr>
          <w:sz w:val="20"/>
          <w:szCs w:val="20"/>
        </w:rPr>
        <w:t>R</w:t>
      </w:r>
      <w:r w:rsidRPr="00045927">
        <w:rPr>
          <w:sz w:val="20"/>
          <w:szCs w:val="20"/>
        </w:rPr>
        <w:t xml:space="preserve">enminbi as an </w:t>
      </w:r>
      <w:r>
        <w:rPr>
          <w:sz w:val="20"/>
          <w:szCs w:val="20"/>
        </w:rPr>
        <w:t>I</w:t>
      </w:r>
      <w:r w:rsidRPr="00045927">
        <w:rPr>
          <w:sz w:val="20"/>
          <w:szCs w:val="20"/>
        </w:rPr>
        <w:t xml:space="preserve">nternational </w:t>
      </w:r>
      <w:r>
        <w:rPr>
          <w:sz w:val="20"/>
          <w:szCs w:val="20"/>
        </w:rPr>
        <w:t>C</w:t>
      </w:r>
      <w:r w:rsidRPr="00045927">
        <w:rPr>
          <w:sz w:val="20"/>
          <w:szCs w:val="20"/>
        </w:rPr>
        <w:t xml:space="preserve">urrency: </w:t>
      </w:r>
      <w:r>
        <w:rPr>
          <w:sz w:val="20"/>
          <w:szCs w:val="20"/>
        </w:rPr>
        <w:t>W</w:t>
      </w:r>
      <w:r w:rsidRPr="00045927">
        <w:rPr>
          <w:sz w:val="20"/>
          <w:szCs w:val="20"/>
        </w:rPr>
        <w:t xml:space="preserve">hat </w:t>
      </w:r>
      <w:r>
        <w:rPr>
          <w:sz w:val="20"/>
          <w:szCs w:val="20"/>
        </w:rPr>
        <w:t>W</w:t>
      </w:r>
      <w:r w:rsidRPr="00045927">
        <w:rPr>
          <w:sz w:val="20"/>
          <w:szCs w:val="20"/>
        </w:rPr>
        <w:t xml:space="preserve">e </w:t>
      </w:r>
      <w:r>
        <w:rPr>
          <w:sz w:val="20"/>
          <w:szCs w:val="20"/>
        </w:rPr>
        <w:t>C</w:t>
      </w:r>
      <w:r w:rsidRPr="00045927">
        <w:rPr>
          <w:sz w:val="20"/>
          <w:szCs w:val="20"/>
        </w:rPr>
        <w:t>an</w:t>
      </w:r>
      <w:r>
        <w:rPr>
          <w:sz w:val="20"/>
          <w:szCs w:val="20"/>
        </w:rPr>
        <w:t xml:space="preserve"> L</w:t>
      </w:r>
      <w:r w:rsidRPr="00045927">
        <w:rPr>
          <w:sz w:val="20"/>
          <w:szCs w:val="20"/>
        </w:rPr>
        <w:t xml:space="preserve">earn from </w:t>
      </w:r>
      <w:r>
        <w:rPr>
          <w:sz w:val="20"/>
          <w:szCs w:val="20"/>
        </w:rPr>
        <w:t>I</w:t>
      </w:r>
      <w:r w:rsidRPr="00045927">
        <w:rPr>
          <w:sz w:val="20"/>
          <w:szCs w:val="20"/>
        </w:rPr>
        <w:t xml:space="preserve">nternational </w:t>
      </w:r>
      <w:r>
        <w:rPr>
          <w:sz w:val="20"/>
          <w:szCs w:val="20"/>
        </w:rPr>
        <w:t>E</w:t>
      </w:r>
      <w:r w:rsidRPr="00045927">
        <w:rPr>
          <w:sz w:val="20"/>
          <w:szCs w:val="20"/>
        </w:rPr>
        <w:t>xperience</w:t>
      </w:r>
      <w:r>
        <w:rPr>
          <w:sz w:val="20"/>
          <w:szCs w:val="20"/>
        </w:rPr>
        <w:t>,”</w:t>
      </w:r>
      <w:r w:rsidRPr="00045927">
        <w:rPr>
          <w:sz w:val="20"/>
          <w:szCs w:val="20"/>
        </w:rPr>
        <w:t xml:space="preserve"> presented at the BoK/BIS seminar on </w:t>
      </w:r>
      <w:r w:rsidRPr="00045927">
        <w:rPr>
          <w:i/>
          <w:iCs/>
          <w:sz w:val="20"/>
          <w:szCs w:val="20"/>
        </w:rPr>
        <w:t>Currency internationalisation: lessons from the global financial crisis and prospects for the future in Asia and the Pacific</w:t>
      </w:r>
      <w:r w:rsidRPr="00045927">
        <w:rPr>
          <w:sz w:val="20"/>
          <w:szCs w:val="20"/>
        </w:rPr>
        <w:t>, Seoul, 19–20 March.</w:t>
      </w:r>
    </w:p>
    <w:p w:rsidR="00DF0276" w:rsidRDefault="00DF0276" w:rsidP="001B0E91">
      <w:pPr>
        <w:suppressAutoHyphens/>
        <w:spacing w:line="240" w:lineRule="atLeast"/>
        <w:jc w:val="both"/>
        <w:rPr>
          <w:spacing w:val="-3"/>
          <w:sz w:val="20"/>
        </w:rPr>
      </w:pPr>
    </w:p>
    <w:p w:rsidR="00DF0276" w:rsidRPr="006370E5" w:rsidRDefault="00DF0276" w:rsidP="001B0E91">
      <w:pPr>
        <w:suppressAutoHyphens/>
        <w:spacing w:line="240" w:lineRule="atLeast"/>
        <w:jc w:val="both"/>
        <w:rPr>
          <w:spacing w:val="-3"/>
          <w:sz w:val="20"/>
        </w:rPr>
      </w:pPr>
      <w:r w:rsidRPr="001F20EC">
        <w:rPr>
          <w:spacing w:val="-3"/>
          <w:sz w:val="20"/>
        </w:rPr>
        <w:t>Chen</w:t>
      </w:r>
      <w:r>
        <w:rPr>
          <w:spacing w:val="-3"/>
          <w:sz w:val="20"/>
        </w:rPr>
        <w:t>,</w:t>
      </w:r>
      <w:r w:rsidRPr="001F20EC">
        <w:rPr>
          <w:spacing w:val="-3"/>
          <w:sz w:val="20"/>
        </w:rPr>
        <w:t xml:space="preserve"> Yulu, </w:t>
      </w:r>
      <w:r>
        <w:rPr>
          <w:spacing w:val="-3"/>
          <w:sz w:val="20"/>
        </w:rPr>
        <w:t xml:space="preserve">Fang </w:t>
      </w:r>
      <w:r w:rsidRPr="001F20EC">
        <w:rPr>
          <w:spacing w:val="-3"/>
          <w:sz w:val="20"/>
        </w:rPr>
        <w:t>Wang</w:t>
      </w:r>
      <w:r>
        <w:rPr>
          <w:spacing w:val="-3"/>
          <w:sz w:val="20"/>
        </w:rPr>
        <w:t xml:space="preserve"> and Ming </w:t>
      </w:r>
      <w:r w:rsidRPr="001F20EC">
        <w:rPr>
          <w:spacing w:val="-3"/>
          <w:sz w:val="20"/>
        </w:rPr>
        <w:t>Yang</w:t>
      </w:r>
      <w:r>
        <w:rPr>
          <w:spacing w:val="-3"/>
          <w:sz w:val="20"/>
        </w:rPr>
        <w:t xml:space="preserve">, 2005, </w:t>
      </w:r>
      <w:r w:rsidRPr="001F20EC">
        <w:rPr>
          <w:spacing w:val="-3"/>
          <w:sz w:val="20"/>
        </w:rPr>
        <w:t>“Currency Internationalization as a</w:t>
      </w:r>
      <w:r>
        <w:rPr>
          <w:spacing w:val="-3"/>
          <w:sz w:val="20"/>
        </w:rPr>
        <w:t xml:space="preserve"> National Competitive Strategy: </w:t>
      </w:r>
      <w:r w:rsidRPr="001F20EC">
        <w:rPr>
          <w:spacing w:val="-3"/>
          <w:sz w:val="20"/>
        </w:rPr>
        <w:t xml:space="preserve">US Dollar's Empirical Evidence—And a Study on the Issue of Renminbi,” </w:t>
      </w:r>
      <w:r w:rsidRPr="001F20EC">
        <w:rPr>
          <w:i/>
          <w:iCs/>
          <w:spacing w:val="-3"/>
          <w:sz w:val="20"/>
        </w:rPr>
        <w:t>Economic Research Journal</w:t>
      </w:r>
      <w:r w:rsidRPr="001F20EC">
        <w:rPr>
          <w:spacing w:val="-3"/>
          <w:sz w:val="20"/>
        </w:rPr>
        <w:t>.</w:t>
      </w:r>
    </w:p>
    <w:p w:rsidR="00DF0276" w:rsidRPr="00045927" w:rsidRDefault="00DF0276" w:rsidP="00FC0197">
      <w:pPr>
        <w:rPr>
          <w:rFonts w:eastAsia="MS Mincho"/>
          <w:color w:val="000000"/>
          <w:sz w:val="20"/>
          <w:szCs w:val="20"/>
          <w:lang w:eastAsia="ja-JP"/>
        </w:rPr>
      </w:pPr>
    </w:p>
    <w:p w:rsidR="00DF0276" w:rsidRPr="00045927" w:rsidRDefault="00DF0276" w:rsidP="00FC0197">
      <w:pPr>
        <w:rPr>
          <w:sz w:val="20"/>
          <w:szCs w:val="20"/>
        </w:rPr>
      </w:pPr>
      <w:r w:rsidRPr="00045927">
        <w:rPr>
          <w:sz w:val="20"/>
          <w:szCs w:val="20"/>
        </w:rPr>
        <w:t>Cheung, Yin-Wong, Guonan Ma and Robert McCauly, 2010, “Renminbising China’s foreign assets,” HKIMR WP no. 16/2010, June.</w:t>
      </w:r>
    </w:p>
    <w:p w:rsidR="00DF0276" w:rsidRPr="00045927" w:rsidRDefault="00DF0276" w:rsidP="008A0E5C">
      <w:pPr>
        <w:autoSpaceDE w:val="0"/>
        <w:autoSpaceDN w:val="0"/>
        <w:adjustRightInd w:val="0"/>
        <w:spacing w:line="240" w:lineRule="atLeast"/>
        <w:rPr>
          <w:rFonts w:eastAsia="SimSun"/>
          <w:color w:val="000000"/>
          <w:sz w:val="20"/>
          <w:szCs w:val="20"/>
        </w:rPr>
      </w:pPr>
    </w:p>
    <w:p w:rsidR="00DF0276" w:rsidRPr="00045927" w:rsidRDefault="00DF0276" w:rsidP="006370E5">
      <w:pPr>
        <w:autoSpaceDE w:val="0"/>
        <w:autoSpaceDN w:val="0"/>
        <w:adjustRightInd w:val="0"/>
        <w:rPr>
          <w:sz w:val="20"/>
          <w:szCs w:val="20"/>
        </w:rPr>
      </w:pPr>
      <w:r w:rsidRPr="00045927">
        <w:rPr>
          <w:sz w:val="20"/>
          <w:szCs w:val="20"/>
        </w:rPr>
        <w:t xml:space="preserve">Chinn, Menzie, and Jeffrey Frankel , 2007, </w:t>
      </w:r>
      <w:r w:rsidRPr="00045927">
        <w:rPr>
          <w:rFonts w:eastAsia="SimSun"/>
          <w:color w:val="000000"/>
          <w:sz w:val="20"/>
          <w:szCs w:val="20"/>
        </w:rPr>
        <w:t xml:space="preserve">“Will the Euro Eventually Surpass the Dollar as Leading International Reserve Currency?” in  </w:t>
      </w:r>
      <w:r w:rsidRPr="00045927">
        <w:rPr>
          <w:rFonts w:eastAsia="SimSun"/>
          <w:i/>
          <w:color w:val="000000"/>
          <w:sz w:val="20"/>
          <w:szCs w:val="20"/>
        </w:rPr>
        <w:t>G7 Current Account Imbalances: Sustainability and Adjustment</w:t>
      </w:r>
      <w:r w:rsidRPr="00045927">
        <w:rPr>
          <w:rFonts w:eastAsia="SimSun"/>
          <w:color w:val="000000"/>
          <w:sz w:val="20"/>
          <w:szCs w:val="20"/>
        </w:rPr>
        <w:t>,</w:t>
      </w:r>
      <w:r w:rsidRPr="00045927">
        <w:rPr>
          <w:rFonts w:eastAsia="SimSun"/>
          <w:b/>
          <w:color w:val="000000"/>
          <w:sz w:val="20"/>
          <w:szCs w:val="20"/>
        </w:rPr>
        <w:t xml:space="preserve"> </w:t>
      </w:r>
      <w:r w:rsidRPr="00045927">
        <w:rPr>
          <w:rFonts w:eastAsia="SimSun"/>
          <w:color w:val="000000"/>
          <w:sz w:val="20"/>
          <w:szCs w:val="20"/>
        </w:rPr>
        <w:t xml:space="preserve">edited by Richard Clarida (University of Chicago Press: Chicago).   NBER WP No.11508.  </w:t>
      </w:r>
      <w:r w:rsidRPr="00045927">
        <w:rPr>
          <w:color w:val="000000"/>
          <w:sz w:val="20"/>
          <w:szCs w:val="20"/>
        </w:rPr>
        <w:t>Chinese translation forthcoming</w:t>
      </w:r>
      <w:r w:rsidRPr="00045927">
        <w:rPr>
          <w:i/>
          <w:color w:val="000000"/>
          <w:sz w:val="20"/>
          <w:szCs w:val="20"/>
        </w:rPr>
        <w:t>, International Finance,</w:t>
      </w:r>
      <w:r w:rsidRPr="00045927">
        <w:rPr>
          <w:color w:val="000000"/>
          <w:sz w:val="20"/>
          <w:szCs w:val="20"/>
        </w:rPr>
        <w:t xml:space="preserve"> Central Bank of China, Taipei</w:t>
      </w:r>
      <w:r w:rsidRPr="00045927">
        <w:rPr>
          <w:sz w:val="20"/>
          <w:szCs w:val="20"/>
        </w:rPr>
        <w:t>.</w:t>
      </w:r>
    </w:p>
    <w:p w:rsidR="00DF0276" w:rsidRPr="00045927" w:rsidRDefault="00DF0276" w:rsidP="00FC0197">
      <w:pPr>
        <w:rPr>
          <w:sz w:val="20"/>
          <w:szCs w:val="20"/>
        </w:rPr>
      </w:pPr>
    </w:p>
    <w:p w:rsidR="00DF0276" w:rsidRDefault="00DF0276" w:rsidP="00FC0197">
      <w:pPr>
        <w:rPr>
          <w:rFonts w:eastAsia="SimSun"/>
          <w:sz w:val="20"/>
          <w:szCs w:val="20"/>
        </w:rPr>
      </w:pPr>
      <w:r w:rsidRPr="00045927">
        <w:rPr>
          <w:sz w:val="20"/>
          <w:szCs w:val="20"/>
        </w:rPr>
        <w:t xml:space="preserve">Chinn, Menzie, and Jeffrey Frankel , 2008, </w:t>
      </w:r>
      <w:r w:rsidRPr="00045927">
        <w:rPr>
          <w:rFonts w:eastAsia="SimSun"/>
          <w:sz w:val="20"/>
          <w:szCs w:val="20"/>
        </w:rPr>
        <w:t xml:space="preserve">“Why the Euro Will Rival the Dollar,”  </w:t>
      </w:r>
      <w:r w:rsidRPr="00045927">
        <w:rPr>
          <w:sz w:val="20"/>
          <w:szCs w:val="20"/>
          <w:u w:val="single"/>
        </w:rPr>
        <w:t>International Finance</w:t>
      </w:r>
      <w:r w:rsidRPr="00045927">
        <w:rPr>
          <w:sz w:val="20"/>
          <w:szCs w:val="20"/>
        </w:rPr>
        <w:t xml:space="preserve"> 11, no. 1,  49-73</w:t>
      </w:r>
      <w:r w:rsidRPr="00045927">
        <w:rPr>
          <w:i/>
          <w:sz w:val="20"/>
          <w:szCs w:val="20"/>
        </w:rPr>
        <w:t xml:space="preserve">. </w:t>
      </w:r>
      <w:r w:rsidRPr="00045927">
        <w:rPr>
          <w:rFonts w:eastAsia="SimSun"/>
          <w:sz w:val="20"/>
          <w:szCs w:val="20"/>
        </w:rPr>
        <w:t xml:space="preserve">  </w:t>
      </w:r>
    </w:p>
    <w:p w:rsidR="00DF0276" w:rsidRDefault="00DF0276" w:rsidP="00FC0197">
      <w:pPr>
        <w:rPr>
          <w:rFonts w:eastAsia="SimSun"/>
          <w:sz w:val="20"/>
          <w:szCs w:val="20"/>
        </w:rPr>
      </w:pPr>
    </w:p>
    <w:p w:rsidR="00DF0276" w:rsidRPr="00045927" w:rsidRDefault="00DF0276" w:rsidP="00FC0197">
      <w:pPr>
        <w:rPr>
          <w:rFonts w:eastAsia="SimSun"/>
          <w:sz w:val="20"/>
          <w:szCs w:val="20"/>
        </w:rPr>
      </w:pPr>
      <w:r>
        <w:rPr>
          <w:rFonts w:cs="GKDAHF+TimesNewRoman"/>
          <w:color w:val="000000"/>
          <w:sz w:val="20"/>
          <w:szCs w:val="20"/>
        </w:rPr>
        <w:t xml:space="preserve">Cline, William, 2005, </w:t>
      </w:r>
      <w:r>
        <w:rPr>
          <w:rFonts w:ascii="GKDFLN+TimesNewRoman,Italic" w:hAnsi="GKDFLN+TimesNewRoman,Italic" w:cs="GKDFLN+TimesNewRoman,Italic"/>
          <w:color w:val="000000"/>
          <w:sz w:val="20"/>
          <w:szCs w:val="20"/>
        </w:rPr>
        <w:t xml:space="preserve">The United States as a Debtor Nation </w:t>
      </w:r>
      <w:r>
        <w:rPr>
          <w:rFonts w:cs="GKDAHF+TimesNewRoman"/>
          <w:color w:val="000000"/>
          <w:sz w:val="20"/>
          <w:szCs w:val="20"/>
        </w:rPr>
        <w:t>(Institute for International Economics, Washington DC).</w:t>
      </w:r>
    </w:p>
    <w:p w:rsidR="00DF0276" w:rsidRPr="00045927" w:rsidRDefault="00DF0276" w:rsidP="00FC0197">
      <w:pPr>
        <w:rPr>
          <w:rFonts w:eastAsia="SimSun"/>
          <w:sz w:val="20"/>
          <w:szCs w:val="20"/>
        </w:rPr>
      </w:pPr>
    </w:p>
    <w:p w:rsidR="00DF0276" w:rsidRPr="00045927" w:rsidRDefault="00DF0276" w:rsidP="00883AA6">
      <w:pPr>
        <w:pStyle w:val="BodyText"/>
        <w:rPr>
          <w:sz w:val="20"/>
          <w:szCs w:val="20"/>
        </w:rPr>
      </w:pPr>
      <w:r w:rsidRPr="00045927">
        <w:rPr>
          <w:sz w:val="20"/>
          <w:szCs w:val="20"/>
        </w:rPr>
        <w:t xml:space="preserve">Cohen, Benjamin J., 1971, </w:t>
      </w:r>
      <w:r w:rsidRPr="00045927">
        <w:rPr>
          <w:i/>
          <w:sz w:val="20"/>
          <w:szCs w:val="20"/>
        </w:rPr>
        <w:t>The Future of Sterling as an International Currency</w:t>
      </w:r>
      <w:r w:rsidRPr="00045927">
        <w:rPr>
          <w:sz w:val="20"/>
          <w:szCs w:val="20"/>
        </w:rPr>
        <w:t>, Macmillan: London.</w:t>
      </w:r>
    </w:p>
    <w:p w:rsidR="00DF0276" w:rsidRDefault="00DF0276" w:rsidP="00045927">
      <w:pPr>
        <w:pStyle w:val="BodyText"/>
        <w:rPr>
          <w:sz w:val="20"/>
          <w:szCs w:val="20"/>
        </w:rPr>
      </w:pPr>
      <w:r w:rsidRPr="00045927">
        <w:rPr>
          <w:sz w:val="20"/>
          <w:szCs w:val="20"/>
        </w:rPr>
        <w:t xml:space="preserve">Detken, Carsten, and Philippe Hartmann, 2002, “Features of the Euro’s Role in International Financial Markets,” </w:t>
      </w:r>
      <w:r w:rsidRPr="00045927">
        <w:rPr>
          <w:i/>
          <w:sz w:val="20"/>
          <w:szCs w:val="20"/>
        </w:rPr>
        <w:t>Economic Policy</w:t>
      </w:r>
      <w:r w:rsidRPr="00045927">
        <w:rPr>
          <w:sz w:val="20"/>
          <w:szCs w:val="20"/>
        </w:rPr>
        <w:t xml:space="preserve"> 35, Fall, 555-597.</w:t>
      </w:r>
    </w:p>
    <w:p w:rsidR="00DF0276" w:rsidRDefault="00DF0276" w:rsidP="00A13D39">
      <w:pPr>
        <w:spacing w:before="100" w:beforeAutospacing="1" w:after="100" w:afterAutospacing="1"/>
        <w:rPr>
          <w:sz w:val="20"/>
          <w:szCs w:val="20"/>
        </w:rPr>
      </w:pPr>
      <w:r w:rsidRPr="00A13D39">
        <w:rPr>
          <w:sz w:val="20"/>
          <w:szCs w:val="20"/>
        </w:rPr>
        <w:t>Dobson, Wendy, and Paul R. Masson</w:t>
      </w:r>
      <w:r>
        <w:rPr>
          <w:sz w:val="20"/>
          <w:szCs w:val="20"/>
        </w:rPr>
        <w:t>,</w:t>
      </w:r>
      <w:r w:rsidRPr="00A13D39">
        <w:rPr>
          <w:sz w:val="20"/>
          <w:szCs w:val="20"/>
        </w:rPr>
        <w:t xml:space="preserve"> 2009</w:t>
      </w:r>
      <w:r>
        <w:rPr>
          <w:sz w:val="20"/>
          <w:szCs w:val="20"/>
        </w:rPr>
        <w:t>,</w:t>
      </w:r>
      <w:r w:rsidRPr="00A13D39">
        <w:rPr>
          <w:sz w:val="20"/>
          <w:szCs w:val="20"/>
        </w:rPr>
        <w:t xml:space="preserve"> </w:t>
      </w:r>
      <w:r>
        <w:rPr>
          <w:sz w:val="20"/>
          <w:szCs w:val="20"/>
        </w:rPr>
        <w:t>“</w:t>
      </w:r>
      <w:r w:rsidRPr="00A13D39">
        <w:rPr>
          <w:sz w:val="20"/>
          <w:szCs w:val="20"/>
        </w:rPr>
        <w:t>Will the Renminbi Become a World Currency?</w:t>
      </w:r>
      <w:r>
        <w:rPr>
          <w:sz w:val="20"/>
          <w:szCs w:val="20"/>
        </w:rPr>
        <w:t>”</w:t>
      </w:r>
      <w:r w:rsidRPr="00A13D39">
        <w:rPr>
          <w:sz w:val="20"/>
          <w:szCs w:val="20"/>
        </w:rPr>
        <w:t xml:space="preserve"> </w:t>
      </w:r>
      <w:r w:rsidRPr="00A13D39">
        <w:rPr>
          <w:rStyle w:val="Emphasis"/>
          <w:sz w:val="20"/>
          <w:szCs w:val="20"/>
        </w:rPr>
        <w:t>China Economic Review</w:t>
      </w:r>
      <w:r w:rsidRPr="00A13D39">
        <w:rPr>
          <w:sz w:val="20"/>
          <w:szCs w:val="20"/>
        </w:rPr>
        <w:t xml:space="preserve"> 20(1): 124–135.</w:t>
      </w:r>
    </w:p>
    <w:p w:rsidR="00DF0276" w:rsidRDefault="00DF0276">
      <w:pPr>
        <w:tabs>
          <w:tab w:val="left" w:pos="1008"/>
          <w:tab w:val="left" w:pos="7200"/>
        </w:tabs>
        <w:jc w:val="both"/>
        <w:rPr>
          <w:sz w:val="20"/>
          <w:szCs w:val="20"/>
        </w:rPr>
      </w:pPr>
      <w:r w:rsidRPr="0028473D">
        <w:rPr>
          <w:sz w:val="20"/>
          <w:szCs w:val="20"/>
          <w:u w:val="single"/>
        </w:rPr>
        <w:t xml:space="preserve">Dominguez, Kathryn, and Jeffrey Frankel, 1993, </w:t>
      </w:r>
      <w:r w:rsidRPr="0028473D">
        <w:rPr>
          <w:i/>
          <w:sz w:val="20"/>
          <w:szCs w:val="20"/>
          <w:u w:val="single"/>
        </w:rPr>
        <w:t>Does Foreign Exchange Intervention Work?</w:t>
      </w:r>
      <w:r w:rsidRPr="0028473D">
        <w:rPr>
          <w:sz w:val="20"/>
          <w:szCs w:val="20"/>
        </w:rPr>
        <w:t xml:space="preserve"> (Institute for International Economics, Washington, D.C.). </w:t>
      </w:r>
    </w:p>
    <w:p w:rsidR="00DF0276" w:rsidRDefault="00DF0276">
      <w:pPr>
        <w:tabs>
          <w:tab w:val="left" w:pos="1008"/>
          <w:tab w:val="left" w:pos="7200"/>
        </w:tabs>
        <w:jc w:val="both"/>
      </w:pPr>
    </w:p>
    <w:p w:rsidR="00DF0276" w:rsidRPr="00045927" w:rsidRDefault="00DF0276" w:rsidP="00883AA6">
      <w:pPr>
        <w:tabs>
          <w:tab w:val="left" w:pos="0"/>
        </w:tabs>
        <w:suppressAutoHyphens/>
        <w:jc w:val="both"/>
        <w:rPr>
          <w:spacing w:val="-3"/>
          <w:sz w:val="20"/>
          <w:szCs w:val="20"/>
        </w:rPr>
      </w:pPr>
      <w:r w:rsidRPr="00A13D39">
        <w:rPr>
          <w:spacing w:val="-3"/>
          <w:sz w:val="20"/>
          <w:szCs w:val="20"/>
        </w:rPr>
        <w:t>Dooley, Michael, J. Saul Lizondo, and Donald Mathieson, 1989, "The Currency Composition of Foreign</w:t>
      </w:r>
      <w:r w:rsidRPr="00045927">
        <w:rPr>
          <w:spacing w:val="-3"/>
          <w:sz w:val="20"/>
          <w:szCs w:val="20"/>
        </w:rPr>
        <w:t xml:space="preserve"> Exchange Reserves," </w:t>
      </w:r>
      <w:r w:rsidRPr="00045927">
        <w:rPr>
          <w:i/>
          <w:spacing w:val="-3"/>
          <w:sz w:val="20"/>
          <w:szCs w:val="20"/>
        </w:rPr>
        <w:t xml:space="preserve">IMF Staff Papers </w:t>
      </w:r>
      <w:r w:rsidRPr="00045927">
        <w:rPr>
          <w:spacing w:val="-3"/>
          <w:sz w:val="20"/>
          <w:szCs w:val="20"/>
        </w:rPr>
        <w:t>36, no.2, June, 385-434.</w:t>
      </w:r>
    </w:p>
    <w:p w:rsidR="00DF0276" w:rsidRPr="00045927" w:rsidRDefault="00DF0276" w:rsidP="00FC0197">
      <w:pPr>
        <w:rPr>
          <w:rFonts w:eastAsia="SimSun"/>
          <w:sz w:val="20"/>
          <w:szCs w:val="20"/>
        </w:rPr>
      </w:pPr>
    </w:p>
    <w:p w:rsidR="00DF0276" w:rsidRPr="00045927" w:rsidRDefault="00DF0276" w:rsidP="00883AA6">
      <w:pPr>
        <w:suppressAutoHyphens/>
        <w:jc w:val="both"/>
        <w:rPr>
          <w:spacing w:val="-3"/>
          <w:sz w:val="20"/>
          <w:szCs w:val="20"/>
        </w:rPr>
      </w:pPr>
      <w:r w:rsidRPr="00045927">
        <w:rPr>
          <w:spacing w:val="-3"/>
          <w:sz w:val="20"/>
          <w:szCs w:val="20"/>
        </w:rPr>
        <w:t xml:space="preserve">Eichengreen, Barry, 1992, </w:t>
      </w:r>
      <w:r w:rsidRPr="00045927">
        <w:rPr>
          <w:i/>
          <w:spacing w:val="-3"/>
          <w:sz w:val="20"/>
          <w:szCs w:val="20"/>
        </w:rPr>
        <w:t>Golden Fetters: The Gold Standard and the Great Depression 1919-39</w:t>
      </w:r>
      <w:r w:rsidRPr="00045927">
        <w:rPr>
          <w:spacing w:val="-3"/>
          <w:sz w:val="20"/>
          <w:szCs w:val="20"/>
        </w:rPr>
        <w:t>, Oxford U. Press, NY.</w:t>
      </w:r>
    </w:p>
    <w:p w:rsidR="00DF0276" w:rsidRPr="00045927" w:rsidRDefault="00DF0276" w:rsidP="00883AA6">
      <w:pPr>
        <w:tabs>
          <w:tab w:val="left" w:pos="1008"/>
          <w:tab w:val="left" w:pos="7200"/>
        </w:tabs>
        <w:jc w:val="both"/>
        <w:rPr>
          <w:spacing w:val="-3"/>
          <w:sz w:val="20"/>
          <w:szCs w:val="20"/>
        </w:rPr>
      </w:pPr>
    </w:p>
    <w:p w:rsidR="00DF0276" w:rsidRPr="00045927" w:rsidRDefault="00DF0276" w:rsidP="00883AA6">
      <w:pPr>
        <w:tabs>
          <w:tab w:val="left" w:pos="1008"/>
          <w:tab w:val="left" w:pos="7200"/>
        </w:tabs>
        <w:jc w:val="both"/>
        <w:rPr>
          <w:spacing w:val="-3"/>
          <w:sz w:val="20"/>
          <w:szCs w:val="20"/>
        </w:rPr>
      </w:pPr>
      <w:r w:rsidRPr="00045927">
        <w:rPr>
          <w:spacing w:val="-3"/>
          <w:sz w:val="20"/>
          <w:szCs w:val="20"/>
        </w:rPr>
        <w:t xml:space="preserve">Eichengreen, Barry, 2005, “Sterling’s Past, Dollar’s Future: Historical Perspectives on Reserve Currency Competition,” </w:t>
      </w:r>
      <w:r w:rsidRPr="00045927">
        <w:rPr>
          <w:i/>
          <w:spacing w:val="-3"/>
          <w:sz w:val="20"/>
          <w:szCs w:val="20"/>
        </w:rPr>
        <w:t>NBER Working Paper</w:t>
      </w:r>
      <w:r w:rsidRPr="00045927">
        <w:rPr>
          <w:spacing w:val="-3"/>
          <w:sz w:val="20"/>
          <w:szCs w:val="20"/>
        </w:rPr>
        <w:t xml:space="preserve"> No. 11336, May.</w:t>
      </w:r>
    </w:p>
    <w:p w:rsidR="00DF0276" w:rsidRPr="00045927" w:rsidRDefault="00DF0276" w:rsidP="00FC0197">
      <w:pPr>
        <w:rPr>
          <w:rFonts w:eastAsia="MS Mincho"/>
          <w:color w:val="000000"/>
          <w:sz w:val="20"/>
          <w:szCs w:val="20"/>
          <w:lang w:eastAsia="ja-JP"/>
        </w:rPr>
      </w:pPr>
    </w:p>
    <w:p w:rsidR="00DF0276" w:rsidRPr="00045927" w:rsidRDefault="00DF0276" w:rsidP="00FC0197">
      <w:pPr>
        <w:rPr>
          <w:rFonts w:eastAsia="MS Mincho"/>
          <w:color w:val="000000"/>
          <w:sz w:val="20"/>
          <w:szCs w:val="20"/>
          <w:lang w:eastAsia="ja-JP"/>
        </w:rPr>
      </w:pPr>
      <w:r w:rsidRPr="00045927">
        <w:rPr>
          <w:rFonts w:eastAsia="MS Mincho"/>
          <w:color w:val="000000"/>
          <w:sz w:val="20"/>
          <w:szCs w:val="20"/>
          <w:lang w:eastAsia="ja-JP"/>
        </w:rPr>
        <w:t xml:space="preserve">Eichengreen, Barry, 2011, </w:t>
      </w:r>
      <w:r w:rsidRPr="00045927">
        <w:rPr>
          <w:rFonts w:eastAsia="MS Mincho"/>
          <w:i/>
          <w:color w:val="000000"/>
          <w:sz w:val="20"/>
          <w:szCs w:val="20"/>
          <w:lang w:eastAsia="ja-JP"/>
        </w:rPr>
        <w:t>Exorbitant Privilege: The Rise and Fall of the Dollar and the Future of the International Monetary System</w:t>
      </w:r>
      <w:r w:rsidRPr="00045927">
        <w:rPr>
          <w:rFonts w:eastAsia="MS Mincho"/>
          <w:color w:val="000000"/>
          <w:sz w:val="20"/>
          <w:szCs w:val="20"/>
          <w:lang w:eastAsia="ja-JP"/>
        </w:rPr>
        <w:t xml:space="preserve"> (Oxford University Press).</w:t>
      </w:r>
    </w:p>
    <w:p w:rsidR="00DF0276" w:rsidRDefault="00DF0276">
      <w:pPr>
        <w:rPr>
          <w:sz w:val="20"/>
          <w:szCs w:val="20"/>
        </w:rPr>
      </w:pPr>
    </w:p>
    <w:p w:rsidR="00DF0276" w:rsidRDefault="00DF0276">
      <w:pPr>
        <w:autoSpaceDE w:val="0"/>
        <w:autoSpaceDN w:val="0"/>
        <w:adjustRightInd w:val="0"/>
        <w:rPr>
          <w:i/>
          <w:iCs/>
          <w:sz w:val="20"/>
          <w:szCs w:val="20"/>
        </w:rPr>
      </w:pPr>
      <w:r w:rsidRPr="0028473D">
        <w:rPr>
          <w:sz w:val="20"/>
          <w:szCs w:val="20"/>
        </w:rPr>
        <w:t>Eichengreen, Barry, and Marc Flandreau, 2008. “</w:t>
      </w:r>
      <w:r w:rsidRPr="0028473D">
        <w:rPr>
          <w:iCs/>
          <w:sz w:val="20"/>
          <w:szCs w:val="20"/>
        </w:rPr>
        <w:t>The Rise and Fall of the Dollar, or When Did the Dollar Replace Sterling as the Leading International Currency?”</w:t>
      </w:r>
      <w:r w:rsidRPr="0028473D">
        <w:rPr>
          <w:i/>
          <w:iCs/>
          <w:sz w:val="20"/>
          <w:szCs w:val="20"/>
        </w:rPr>
        <w:t xml:space="preserve"> </w:t>
      </w:r>
      <w:r w:rsidRPr="0028473D">
        <w:rPr>
          <w:sz w:val="20"/>
          <w:szCs w:val="20"/>
        </w:rPr>
        <w:t xml:space="preserve">NBER Working Paper 14154. </w:t>
      </w:r>
    </w:p>
    <w:p w:rsidR="00DF0276" w:rsidRPr="00045927" w:rsidRDefault="00DF0276">
      <w:pPr>
        <w:rPr>
          <w:sz w:val="20"/>
          <w:szCs w:val="20"/>
        </w:rPr>
      </w:pPr>
    </w:p>
    <w:p w:rsidR="00DF0276" w:rsidRPr="00045927" w:rsidRDefault="00DF0276" w:rsidP="00FC0197">
      <w:pPr>
        <w:rPr>
          <w:sz w:val="20"/>
          <w:szCs w:val="20"/>
        </w:rPr>
      </w:pPr>
      <w:r w:rsidRPr="00045927">
        <w:rPr>
          <w:sz w:val="20"/>
          <w:szCs w:val="20"/>
        </w:rPr>
        <w:t xml:space="preserve">Eichengreen, Barry, and Marc Flandreau, </w:t>
      </w:r>
      <w:r>
        <w:rPr>
          <w:sz w:val="20"/>
          <w:szCs w:val="20"/>
        </w:rPr>
        <w:t xml:space="preserve">2010, </w:t>
      </w:r>
      <w:r w:rsidRPr="00045927">
        <w:rPr>
          <w:sz w:val="20"/>
          <w:szCs w:val="20"/>
        </w:rPr>
        <w:t xml:space="preserve">“The Federal Reserve, the Bank of England and the </w:t>
      </w:r>
      <w:r>
        <w:rPr>
          <w:sz w:val="20"/>
          <w:szCs w:val="20"/>
        </w:rPr>
        <w:t>Ri</w:t>
      </w:r>
      <w:r w:rsidRPr="00045927">
        <w:rPr>
          <w:sz w:val="20"/>
          <w:szCs w:val="20"/>
        </w:rPr>
        <w:t xml:space="preserve">se of the </w:t>
      </w:r>
      <w:r>
        <w:rPr>
          <w:sz w:val="20"/>
          <w:szCs w:val="20"/>
        </w:rPr>
        <w:t>D</w:t>
      </w:r>
      <w:r w:rsidRPr="00045927">
        <w:rPr>
          <w:sz w:val="20"/>
          <w:szCs w:val="20"/>
        </w:rPr>
        <w:t xml:space="preserve">ollar as an </w:t>
      </w:r>
      <w:r>
        <w:rPr>
          <w:sz w:val="20"/>
          <w:szCs w:val="20"/>
        </w:rPr>
        <w:t>I</w:t>
      </w:r>
      <w:r w:rsidRPr="00045927">
        <w:rPr>
          <w:sz w:val="20"/>
          <w:szCs w:val="20"/>
        </w:rPr>
        <w:t>nternational Currency, 1914-39,” BIS WP no. 328, Nov. .</w:t>
      </w:r>
    </w:p>
    <w:p w:rsidR="00DF0276" w:rsidRPr="00045927" w:rsidRDefault="00DF0276" w:rsidP="00883AA6">
      <w:pPr>
        <w:tabs>
          <w:tab w:val="left" w:pos="1008"/>
          <w:tab w:val="left" w:pos="7200"/>
        </w:tabs>
        <w:jc w:val="both"/>
        <w:rPr>
          <w:spacing w:val="-3"/>
          <w:sz w:val="20"/>
          <w:szCs w:val="20"/>
        </w:rPr>
      </w:pPr>
    </w:p>
    <w:p w:rsidR="00DF0276" w:rsidRPr="00045927" w:rsidRDefault="00DF0276" w:rsidP="00883AA6">
      <w:pPr>
        <w:tabs>
          <w:tab w:val="left" w:pos="1008"/>
          <w:tab w:val="left" w:pos="7200"/>
        </w:tabs>
        <w:jc w:val="both"/>
        <w:rPr>
          <w:sz w:val="20"/>
          <w:szCs w:val="20"/>
        </w:rPr>
      </w:pPr>
      <w:r w:rsidRPr="00045927">
        <w:rPr>
          <w:spacing w:val="-3"/>
          <w:sz w:val="20"/>
          <w:szCs w:val="20"/>
        </w:rPr>
        <w:t xml:space="preserve">Eichengreen, Barry, and Jeffrey Frankel, 1996, </w:t>
      </w:r>
      <w:r w:rsidRPr="00045927">
        <w:rPr>
          <w:sz w:val="20"/>
          <w:szCs w:val="20"/>
        </w:rPr>
        <w:t>"The SDR, Reserve Currencies, and the Future of the I</w:t>
      </w:r>
      <w:r>
        <w:rPr>
          <w:sz w:val="20"/>
          <w:szCs w:val="20"/>
        </w:rPr>
        <w:t xml:space="preserve">nternational Monetary System" </w:t>
      </w:r>
      <w:r w:rsidRPr="00045927">
        <w:rPr>
          <w:sz w:val="20"/>
          <w:szCs w:val="20"/>
        </w:rPr>
        <w:t xml:space="preserve"> </w:t>
      </w:r>
      <w:r w:rsidRPr="00045927">
        <w:rPr>
          <w:i/>
          <w:sz w:val="20"/>
          <w:szCs w:val="20"/>
        </w:rPr>
        <w:t>The Future of the SDR in Light of Changes in the International Financial System</w:t>
      </w:r>
      <w:r w:rsidRPr="00045927">
        <w:rPr>
          <w:sz w:val="20"/>
          <w:szCs w:val="20"/>
        </w:rPr>
        <w:t>, edited by Michael Mussa, James Boughton, and Peter Isard</w:t>
      </w:r>
      <w:r>
        <w:rPr>
          <w:sz w:val="20"/>
          <w:szCs w:val="20"/>
        </w:rPr>
        <w:t xml:space="preserve"> (</w:t>
      </w:r>
      <w:r w:rsidRPr="00045927">
        <w:rPr>
          <w:sz w:val="20"/>
          <w:szCs w:val="20"/>
        </w:rPr>
        <w:t>I</w:t>
      </w:r>
      <w:r>
        <w:rPr>
          <w:sz w:val="20"/>
          <w:szCs w:val="20"/>
        </w:rPr>
        <w:t>nternational Monetary Fund)</w:t>
      </w:r>
      <w:r w:rsidRPr="00045927">
        <w:rPr>
          <w:sz w:val="20"/>
          <w:szCs w:val="20"/>
        </w:rPr>
        <w:t>.</w:t>
      </w:r>
    </w:p>
    <w:p w:rsidR="00DF0276" w:rsidRPr="00045927" w:rsidRDefault="00DF0276" w:rsidP="00883AA6">
      <w:pPr>
        <w:tabs>
          <w:tab w:val="left" w:pos="1008"/>
          <w:tab w:val="left" w:pos="7200"/>
        </w:tabs>
        <w:jc w:val="both"/>
        <w:rPr>
          <w:sz w:val="20"/>
          <w:szCs w:val="20"/>
        </w:rPr>
      </w:pPr>
    </w:p>
    <w:p w:rsidR="00DF0276" w:rsidRPr="00045927" w:rsidRDefault="00DF0276" w:rsidP="00883AA6">
      <w:pPr>
        <w:tabs>
          <w:tab w:val="left" w:pos="1008"/>
          <w:tab w:val="left" w:pos="7200"/>
        </w:tabs>
        <w:jc w:val="both"/>
        <w:rPr>
          <w:color w:val="000000"/>
          <w:sz w:val="20"/>
          <w:szCs w:val="20"/>
        </w:rPr>
      </w:pPr>
      <w:r w:rsidRPr="00045927">
        <w:rPr>
          <w:sz w:val="20"/>
          <w:szCs w:val="20"/>
        </w:rPr>
        <w:t xml:space="preserve">Eichengreen, Barry, and Donald Mathieson, 2000, “The Currency Composition of Foreign Exchange Reserves: Retrospect and Prospect,” IMF Working Paper wp/00/131, Washington DC.  Revised version published in </w:t>
      </w:r>
      <w:r w:rsidRPr="00045927">
        <w:rPr>
          <w:i/>
          <w:iCs/>
          <w:color w:val="000000"/>
          <w:sz w:val="20"/>
          <w:szCs w:val="20"/>
        </w:rPr>
        <w:t>The Impact of EMU on Europe and the Developing Countries</w:t>
      </w:r>
      <w:r w:rsidRPr="00045927">
        <w:rPr>
          <w:color w:val="000000"/>
          <w:sz w:val="20"/>
          <w:szCs w:val="20"/>
        </w:rPr>
        <w:t>, edited by Charles Wyplosz (Oxford University Press), 2001.</w:t>
      </w:r>
    </w:p>
    <w:p w:rsidR="00DF0276" w:rsidRPr="00045927" w:rsidRDefault="00DF0276" w:rsidP="00883AA6">
      <w:pPr>
        <w:tabs>
          <w:tab w:val="left" w:pos="1008"/>
          <w:tab w:val="left" w:pos="7200"/>
        </w:tabs>
        <w:jc w:val="both"/>
        <w:rPr>
          <w:color w:val="000000"/>
          <w:sz w:val="20"/>
          <w:szCs w:val="20"/>
        </w:rPr>
      </w:pPr>
    </w:p>
    <w:p w:rsidR="00DF0276" w:rsidRPr="00045927" w:rsidRDefault="00DF0276" w:rsidP="002E6DD9">
      <w:pPr>
        <w:tabs>
          <w:tab w:val="left" w:pos="1008"/>
          <w:tab w:val="left" w:pos="7200"/>
        </w:tabs>
        <w:jc w:val="both"/>
        <w:rPr>
          <w:sz w:val="20"/>
          <w:szCs w:val="20"/>
        </w:rPr>
      </w:pPr>
      <w:r w:rsidRPr="00045927">
        <w:rPr>
          <w:color w:val="000000"/>
          <w:sz w:val="20"/>
          <w:szCs w:val="20"/>
        </w:rPr>
        <w:t xml:space="preserve">Fingleton, Eamon, 1995, </w:t>
      </w:r>
      <w:r w:rsidRPr="00045927">
        <w:rPr>
          <w:i/>
          <w:sz w:val="20"/>
          <w:szCs w:val="20"/>
        </w:rPr>
        <w:t xml:space="preserve">Blindside: Why Japan Is Still on Track to Overtake the U.S. by the Year 2000 </w:t>
      </w:r>
      <w:r w:rsidRPr="00045927">
        <w:rPr>
          <w:sz w:val="20"/>
          <w:szCs w:val="20"/>
        </w:rPr>
        <w:t>(</w:t>
      </w:r>
      <w:r w:rsidRPr="00045927">
        <w:rPr>
          <w:color w:val="000000"/>
          <w:sz w:val="20"/>
          <w:szCs w:val="20"/>
        </w:rPr>
        <w:t>Houghton Mifflin).</w:t>
      </w:r>
    </w:p>
    <w:p w:rsidR="00DF0276" w:rsidRPr="00045927" w:rsidRDefault="00DF0276" w:rsidP="00FC0197">
      <w:pPr>
        <w:rPr>
          <w:sz w:val="20"/>
          <w:szCs w:val="20"/>
        </w:rPr>
      </w:pPr>
    </w:p>
    <w:p w:rsidR="00DF0276" w:rsidRPr="00045927" w:rsidRDefault="00DF0276" w:rsidP="00FC0197">
      <w:pPr>
        <w:rPr>
          <w:sz w:val="20"/>
          <w:szCs w:val="20"/>
        </w:rPr>
      </w:pPr>
      <w:r w:rsidRPr="00045927">
        <w:rPr>
          <w:sz w:val="20"/>
          <w:szCs w:val="20"/>
        </w:rPr>
        <w:t xml:space="preserve">Frankel, Jeffrey, 1984, </w:t>
      </w:r>
      <w:r w:rsidRPr="00045927">
        <w:rPr>
          <w:i/>
          <w:sz w:val="20"/>
          <w:szCs w:val="20"/>
        </w:rPr>
        <w:t>The Yen/Dollar Agreement: Liberalizing Japanese Capital Markets</w:t>
      </w:r>
      <w:r w:rsidRPr="00045927">
        <w:rPr>
          <w:sz w:val="20"/>
          <w:szCs w:val="20"/>
        </w:rPr>
        <w:t xml:space="preserve">, </w:t>
      </w:r>
      <w:r w:rsidRPr="00045927">
        <w:rPr>
          <w:iCs/>
          <w:sz w:val="20"/>
          <w:szCs w:val="20"/>
        </w:rPr>
        <w:t>Policy Analyses in International Economics</w:t>
      </w:r>
      <w:r w:rsidRPr="00045927">
        <w:rPr>
          <w:sz w:val="20"/>
          <w:szCs w:val="20"/>
        </w:rPr>
        <w:t xml:space="preserve"> no.9 (Institute for International Economics: Washington DC).</w:t>
      </w:r>
    </w:p>
    <w:p w:rsidR="00DF0276" w:rsidRPr="00045927" w:rsidRDefault="00DF0276" w:rsidP="00FC0197">
      <w:pPr>
        <w:rPr>
          <w:sz w:val="20"/>
          <w:szCs w:val="20"/>
        </w:rPr>
      </w:pPr>
    </w:p>
    <w:p w:rsidR="00DF0276" w:rsidRPr="00045927" w:rsidRDefault="00DF0276" w:rsidP="00A22C92">
      <w:pPr>
        <w:tabs>
          <w:tab w:val="left" w:pos="1008"/>
          <w:tab w:val="left" w:pos="7200"/>
        </w:tabs>
        <w:jc w:val="both"/>
        <w:rPr>
          <w:sz w:val="20"/>
          <w:szCs w:val="20"/>
        </w:rPr>
      </w:pPr>
      <w:r w:rsidRPr="00045927">
        <w:rPr>
          <w:sz w:val="20"/>
          <w:szCs w:val="20"/>
        </w:rPr>
        <w:t xml:space="preserve">Frankel, Jeffrey, 1992, </w:t>
      </w:r>
      <w:r>
        <w:rPr>
          <w:sz w:val="20"/>
          <w:szCs w:val="20"/>
        </w:rPr>
        <w:t>"On the Dollar," i</w:t>
      </w:r>
      <w:r w:rsidRPr="00045927">
        <w:rPr>
          <w:sz w:val="20"/>
          <w:szCs w:val="20"/>
        </w:rPr>
        <w:t xml:space="preserve">n </w:t>
      </w:r>
      <w:r w:rsidRPr="00045927">
        <w:rPr>
          <w:i/>
          <w:sz w:val="20"/>
          <w:szCs w:val="20"/>
        </w:rPr>
        <w:t>The New Palgrave Dictionary of Money and Finance</w:t>
      </w:r>
      <w:r>
        <w:rPr>
          <w:sz w:val="20"/>
          <w:szCs w:val="20"/>
        </w:rPr>
        <w:t xml:space="preserve"> (</w:t>
      </w:r>
      <w:r w:rsidRPr="00045927">
        <w:rPr>
          <w:sz w:val="20"/>
          <w:szCs w:val="20"/>
        </w:rPr>
        <w:t>MacMillan Press Reference Books, London</w:t>
      </w:r>
      <w:r>
        <w:rPr>
          <w:sz w:val="20"/>
          <w:szCs w:val="20"/>
        </w:rPr>
        <w:t>)</w:t>
      </w:r>
      <w:r w:rsidRPr="00045927">
        <w:rPr>
          <w:sz w:val="20"/>
          <w:szCs w:val="20"/>
        </w:rPr>
        <w:t>.</w:t>
      </w:r>
    </w:p>
    <w:p w:rsidR="00DF0276" w:rsidRPr="00045927" w:rsidRDefault="00DF0276" w:rsidP="00FC0197">
      <w:pPr>
        <w:rPr>
          <w:sz w:val="20"/>
          <w:szCs w:val="20"/>
        </w:rPr>
      </w:pPr>
    </w:p>
    <w:p w:rsidR="00DF0276" w:rsidRDefault="00DF0276" w:rsidP="001A3E5D">
      <w:pPr>
        <w:pStyle w:val="Default"/>
        <w:rPr>
          <w:rFonts w:ascii="Times New Roman" w:hAnsi="Times New Roman" w:cs="Times New Roman"/>
          <w:sz w:val="20"/>
          <w:szCs w:val="20"/>
        </w:rPr>
      </w:pPr>
      <w:r w:rsidRPr="00045927">
        <w:rPr>
          <w:rFonts w:ascii="Times New Roman" w:hAnsi="Times New Roman" w:cs="Times New Roman"/>
          <w:sz w:val="20"/>
          <w:szCs w:val="20"/>
        </w:rPr>
        <w:t xml:space="preserve">Frankel, Jeffrey, 1995, "Still the Lingua Franca: The Exaggerated Death of the Dollar," </w:t>
      </w:r>
      <w:r w:rsidRPr="00045927">
        <w:rPr>
          <w:rFonts w:ascii="Times New Roman" w:hAnsi="Times New Roman" w:cs="Times New Roman"/>
          <w:i/>
          <w:sz w:val="20"/>
          <w:szCs w:val="20"/>
        </w:rPr>
        <w:t>Foreign Affairs</w:t>
      </w:r>
      <w:r w:rsidRPr="00045927">
        <w:rPr>
          <w:rFonts w:ascii="Times New Roman" w:hAnsi="Times New Roman" w:cs="Times New Roman"/>
          <w:sz w:val="20"/>
          <w:szCs w:val="20"/>
        </w:rPr>
        <w:t xml:space="preserve">, 74, no. 4, July/August, 9-16.  </w:t>
      </w:r>
    </w:p>
    <w:p w:rsidR="00DF0276" w:rsidRDefault="00DF0276" w:rsidP="001A3E5D">
      <w:pPr>
        <w:pStyle w:val="Default"/>
        <w:rPr>
          <w:rFonts w:ascii="Times New Roman" w:hAnsi="Times New Roman" w:cs="Times New Roman"/>
          <w:sz w:val="20"/>
          <w:szCs w:val="20"/>
        </w:rPr>
      </w:pPr>
    </w:p>
    <w:p w:rsidR="00DF0276" w:rsidRPr="00492700" w:rsidRDefault="00DF0276" w:rsidP="00492700">
      <w:pPr>
        <w:rPr>
          <w:sz w:val="20"/>
          <w:szCs w:val="20"/>
        </w:rPr>
      </w:pPr>
      <w:r w:rsidRPr="00492700">
        <w:rPr>
          <w:sz w:val="20"/>
          <w:szCs w:val="20"/>
        </w:rPr>
        <w:t xml:space="preserve">Frankel, Jeffrey, 2010, “The Renminbi Since 2005,” in </w:t>
      </w:r>
      <w:hyperlink r:id="rId10" w:history="1">
        <w:r w:rsidRPr="00492700">
          <w:rPr>
            <w:rStyle w:val="Hyperlink"/>
            <w:i/>
            <w:iCs/>
            <w:sz w:val="20"/>
            <w:szCs w:val="20"/>
          </w:rPr>
          <w:t>The US-Sino Currency Dispute: New Insights from Economics, Politics and Law</w:t>
        </w:r>
      </w:hyperlink>
      <w:r w:rsidRPr="00492700">
        <w:rPr>
          <w:sz w:val="20"/>
          <w:szCs w:val="20"/>
        </w:rPr>
        <w:t>, edited by Simon Evenett (VoxEU</w:t>
      </w:r>
      <w:r>
        <w:rPr>
          <w:sz w:val="20"/>
          <w:szCs w:val="20"/>
        </w:rPr>
        <w:t>, CEPR</w:t>
      </w:r>
      <w:r w:rsidRPr="00492700">
        <w:rPr>
          <w:sz w:val="20"/>
          <w:szCs w:val="20"/>
        </w:rPr>
        <w:t>), April, 51-60.</w:t>
      </w:r>
    </w:p>
    <w:p w:rsidR="00DF0276" w:rsidRPr="00045927" w:rsidRDefault="00DF0276" w:rsidP="001A3E5D">
      <w:pPr>
        <w:pStyle w:val="Default"/>
        <w:rPr>
          <w:sz w:val="20"/>
          <w:szCs w:val="20"/>
        </w:rPr>
      </w:pPr>
    </w:p>
    <w:p w:rsidR="00DF0276" w:rsidRPr="00657B60" w:rsidRDefault="00DF0276" w:rsidP="002E686E">
      <w:pPr>
        <w:autoSpaceDE w:val="0"/>
        <w:autoSpaceDN w:val="0"/>
        <w:adjustRightInd w:val="0"/>
        <w:rPr>
          <w:rFonts w:eastAsia="MS Mincho"/>
          <w:sz w:val="20"/>
        </w:rPr>
      </w:pPr>
      <w:r w:rsidRPr="00045927">
        <w:rPr>
          <w:spacing w:val="-3"/>
          <w:sz w:val="20"/>
          <w:szCs w:val="20"/>
        </w:rPr>
        <w:t xml:space="preserve">Frieden, Jeffry, 2000, </w:t>
      </w:r>
      <w:r w:rsidRPr="00045927">
        <w:rPr>
          <w:rFonts w:eastAsia="MS Mincho"/>
          <w:sz w:val="20"/>
          <w:szCs w:val="20"/>
          <w:lang w:eastAsia="ja-JP"/>
        </w:rPr>
        <w:t xml:space="preserve">"The Political Economy of The Euro as an International Currency." In </w:t>
      </w:r>
      <w:r w:rsidRPr="00045927">
        <w:rPr>
          <w:rFonts w:eastAsia="MS Mincho"/>
          <w:i/>
          <w:sz w:val="20"/>
          <w:szCs w:val="20"/>
          <w:lang w:eastAsia="ja-JP"/>
        </w:rPr>
        <w:t>The Euro as a Stabilizer in the International Economic System</w:t>
      </w:r>
      <w:r w:rsidRPr="00045927">
        <w:rPr>
          <w:rFonts w:eastAsia="MS Mincho"/>
          <w:sz w:val="20"/>
          <w:szCs w:val="20"/>
          <w:lang w:eastAsia="ja-JP"/>
        </w:rPr>
        <w:t>, edited by Robert Mundell and Armand Clesse. (Boston: Kluwer Academic Publ.).</w:t>
      </w:r>
    </w:p>
    <w:p w:rsidR="00DF0276" w:rsidRPr="009A746B" w:rsidRDefault="00DF0276" w:rsidP="00657B60">
      <w:pPr>
        <w:autoSpaceDE w:val="0"/>
        <w:autoSpaceDN w:val="0"/>
        <w:adjustRightInd w:val="0"/>
        <w:rPr>
          <w:rFonts w:eastAsia="MS Mincho"/>
          <w:sz w:val="20"/>
          <w:szCs w:val="20"/>
          <w:lang w:eastAsia="ja-JP"/>
        </w:rPr>
      </w:pPr>
    </w:p>
    <w:p w:rsidR="00DF0276" w:rsidRPr="009A746B" w:rsidRDefault="00DF0276" w:rsidP="002E686E">
      <w:pPr>
        <w:autoSpaceDE w:val="0"/>
        <w:autoSpaceDN w:val="0"/>
        <w:adjustRightInd w:val="0"/>
        <w:rPr>
          <w:spacing w:val="-3"/>
          <w:sz w:val="20"/>
          <w:szCs w:val="20"/>
        </w:rPr>
      </w:pPr>
      <w:r w:rsidRPr="009A746B">
        <w:rPr>
          <w:sz w:val="20"/>
          <w:szCs w:val="20"/>
        </w:rPr>
        <w:t xml:space="preserve">Funabashi, Yoichi, 1988, </w:t>
      </w:r>
      <w:r w:rsidRPr="009A746B">
        <w:rPr>
          <w:i/>
          <w:sz w:val="20"/>
          <w:szCs w:val="20"/>
        </w:rPr>
        <w:t>Managing the Dollar: From the Plaza to the Louvre</w:t>
      </w:r>
      <w:r w:rsidRPr="009A746B">
        <w:rPr>
          <w:sz w:val="20"/>
          <w:szCs w:val="20"/>
        </w:rPr>
        <w:t xml:space="preserve"> (Institute for International Economics, Washington).</w:t>
      </w:r>
    </w:p>
    <w:p w:rsidR="00DF0276" w:rsidRPr="009A746B" w:rsidRDefault="00DF0276" w:rsidP="001A3E5D">
      <w:pPr>
        <w:pStyle w:val="Default"/>
        <w:rPr>
          <w:sz w:val="20"/>
          <w:szCs w:val="20"/>
        </w:rPr>
      </w:pPr>
    </w:p>
    <w:p w:rsidR="00DF0276" w:rsidRDefault="00DF0276" w:rsidP="00FF3FB5">
      <w:pPr>
        <w:suppressAutoHyphens/>
        <w:spacing w:line="240" w:lineRule="atLeast"/>
        <w:jc w:val="both"/>
      </w:pPr>
      <w:r w:rsidRPr="00FF3FB5">
        <w:rPr>
          <w:sz w:val="20"/>
          <w:szCs w:val="20"/>
        </w:rPr>
        <w:t>Genberg, Hans, 2011, “Currency internationalisation: analytical and policy issues,” HKMA.</w:t>
      </w:r>
      <w:r w:rsidRPr="00045927">
        <w:br/>
      </w:r>
      <w:r w:rsidRPr="00FF3FB5">
        <w:rPr>
          <w:sz w:val="20"/>
          <w:szCs w:val="20"/>
        </w:rPr>
        <w:br/>
        <w:t xml:space="preserve">Hale, David, 1995, "A Yen for Change: Why the Yen as a Reserve Currency is Not Far-fetched," </w:t>
      </w:r>
      <w:r w:rsidRPr="00FF3FB5">
        <w:rPr>
          <w:i/>
          <w:sz w:val="20"/>
          <w:szCs w:val="20"/>
        </w:rPr>
        <w:t>The International Economy</w:t>
      </w:r>
      <w:r w:rsidRPr="00FF3FB5">
        <w:rPr>
          <w:sz w:val="20"/>
          <w:szCs w:val="20"/>
        </w:rPr>
        <w:t>, May/June.</w:t>
      </w:r>
      <w:r>
        <w:t xml:space="preserve">  </w:t>
      </w:r>
    </w:p>
    <w:p w:rsidR="00DF0276" w:rsidRPr="00FF3FB5" w:rsidRDefault="00DF0276" w:rsidP="00FF3FB5">
      <w:pPr>
        <w:suppressAutoHyphens/>
        <w:spacing w:line="240" w:lineRule="atLeast"/>
        <w:jc w:val="both"/>
      </w:pPr>
      <w:r>
        <w:br/>
      </w:r>
      <w:r>
        <w:rPr>
          <w:spacing w:val="-3"/>
          <w:sz w:val="20"/>
        </w:rPr>
        <w:t xml:space="preserve">Hartmann, Philipp, 1998, “The Currency Denomination of World Trade after European Monetary Union,” </w:t>
      </w:r>
      <w:r w:rsidRPr="0089359D">
        <w:rPr>
          <w:i/>
          <w:spacing w:val="-3"/>
          <w:sz w:val="20"/>
        </w:rPr>
        <w:t>Journal of the Japanese and International Economies</w:t>
      </w:r>
      <w:r>
        <w:rPr>
          <w:spacing w:val="-3"/>
          <w:sz w:val="20"/>
        </w:rPr>
        <w:t>, 12, 424-454.</w:t>
      </w:r>
    </w:p>
    <w:p w:rsidR="00DF0276" w:rsidRPr="00437224" w:rsidRDefault="00DF0276" w:rsidP="00437224">
      <w:pPr>
        <w:spacing w:after="55"/>
        <w:outlineLvl w:val="2"/>
        <w:rPr>
          <w:bCs/>
          <w:sz w:val="18"/>
          <w:szCs w:val="18"/>
        </w:rPr>
      </w:pPr>
      <w:r>
        <w:rPr>
          <w:spacing w:val="-3"/>
          <w:sz w:val="20"/>
          <w:szCs w:val="20"/>
        </w:rPr>
        <w:br/>
      </w:r>
      <w:r w:rsidRPr="00437224">
        <w:rPr>
          <w:spacing w:val="-3"/>
          <w:sz w:val="20"/>
          <w:szCs w:val="20"/>
        </w:rPr>
        <w:t>Ito, Takatoshi , 2010,   “</w:t>
      </w:r>
      <w:r w:rsidRPr="00437224">
        <w:rPr>
          <w:sz w:val="20"/>
          <w:szCs w:val="20"/>
        </w:rPr>
        <w:t xml:space="preserve">China as Number One: How about the Renminbi?,” </w:t>
      </w:r>
      <w:r w:rsidRPr="00437224">
        <w:rPr>
          <w:bCs/>
          <w:i/>
          <w:sz w:val="18"/>
          <w:szCs w:val="18"/>
        </w:rPr>
        <w:t>Asian Economic Policy Review</w:t>
      </w:r>
      <w:r>
        <w:rPr>
          <w:bCs/>
          <w:i/>
          <w:sz w:val="18"/>
          <w:szCs w:val="18"/>
        </w:rPr>
        <w:t>,</w:t>
      </w:r>
    </w:p>
    <w:p w:rsidR="00DF0276" w:rsidRPr="00437224" w:rsidRDefault="004B3C51" w:rsidP="00437224">
      <w:pPr>
        <w:rPr>
          <w:sz w:val="18"/>
          <w:szCs w:val="18"/>
        </w:rPr>
      </w:pPr>
      <w:hyperlink r:id="rId11" w:history="1">
        <w:r w:rsidR="00DF0276" w:rsidRPr="00437224">
          <w:rPr>
            <w:bCs/>
            <w:sz w:val="18"/>
            <w:szCs w:val="18"/>
          </w:rPr>
          <w:t>Volume 5</w:t>
        </w:r>
        <w:r w:rsidR="00DF0276" w:rsidRPr="00437224">
          <w:rPr>
            <w:sz w:val="18"/>
            <w:szCs w:val="18"/>
          </w:rPr>
          <w:t xml:space="preserve">, </w:t>
        </w:r>
        <w:r w:rsidR="00DF0276" w:rsidRPr="00437224">
          <w:rPr>
            <w:bCs/>
            <w:sz w:val="18"/>
            <w:szCs w:val="18"/>
          </w:rPr>
          <w:t>Issue 2</w:t>
        </w:r>
        <w:r w:rsidR="00DF0276" w:rsidRPr="00437224">
          <w:rPr>
            <w:sz w:val="18"/>
            <w:szCs w:val="18"/>
          </w:rPr>
          <w:t xml:space="preserve">, </w:t>
        </w:r>
      </w:hyperlink>
      <w:r w:rsidR="00DF0276" w:rsidRPr="00437224">
        <w:rPr>
          <w:bCs/>
          <w:sz w:val="18"/>
          <w:szCs w:val="18"/>
        </w:rPr>
        <w:t>pages 249–276</w:t>
      </w:r>
      <w:r w:rsidR="00DF0276" w:rsidRPr="00437224">
        <w:rPr>
          <w:sz w:val="18"/>
          <w:szCs w:val="18"/>
        </w:rPr>
        <w:t xml:space="preserve">, </w:t>
      </w:r>
      <w:r w:rsidR="00DF0276" w:rsidRPr="00437224">
        <w:rPr>
          <w:bCs/>
          <w:sz w:val="18"/>
          <w:szCs w:val="18"/>
        </w:rPr>
        <w:t xml:space="preserve">December </w:t>
      </w:r>
    </w:p>
    <w:p w:rsidR="00DF0276" w:rsidRPr="00045927" w:rsidRDefault="00DF0276" w:rsidP="001A3E5D">
      <w:pPr>
        <w:rPr>
          <w:sz w:val="20"/>
          <w:szCs w:val="20"/>
        </w:rPr>
      </w:pPr>
    </w:p>
    <w:p w:rsidR="00DF0276" w:rsidRPr="00045927" w:rsidRDefault="00DF0276" w:rsidP="001A3E5D">
      <w:pPr>
        <w:rPr>
          <w:sz w:val="20"/>
          <w:szCs w:val="20"/>
        </w:rPr>
      </w:pPr>
      <w:r w:rsidRPr="00045927">
        <w:rPr>
          <w:sz w:val="20"/>
          <w:szCs w:val="20"/>
        </w:rPr>
        <w:t>Japanese Ministry of Finance, 1999, “Int</w:t>
      </w:r>
      <w:r>
        <w:rPr>
          <w:sz w:val="20"/>
          <w:szCs w:val="20"/>
        </w:rPr>
        <w:t>ernationalisation of the Yen,” S</w:t>
      </w:r>
      <w:r w:rsidRPr="00045927">
        <w:rPr>
          <w:sz w:val="20"/>
          <w:szCs w:val="20"/>
        </w:rPr>
        <w:t xml:space="preserve">ub-council on the Internationalization of the Yen, November.   </w:t>
      </w:r>
      <w:r w:rsidRPr="00FF3FB5">
        <w:rPr>
          <w:sz w:val="16"/>
          <w:szCs w:val="16"/>
        </w:rPr>
        <w:t>(www.mof.go.jp/english/yen/ko001.htm.)</w:t>
      </w:r>
    </w:p>
    <w:p w:rsidR="00DF0276" w:rsidRPr="00045927" w:rsidRDefault="00DF0276" w:rsidP="001A3E5D">
      <w:pPr>
        <w:rPr>
          <w:sz w:val="20"/>
          <w:szCs w:val="20"/>
        </w:rPr>
      </w:pPr>
    </w:p>
    <w:p w:rsidR="00DF0276" w:rsidRDefault="00DF0276" w:rsidP="00FC0197">
      <w:pPr>
        <w:rPr>
          <w:sz w:val="20"/>
          <w:szCs w:val="20"/>
        </w:rPr>
      </w:pPr>
      <w:r w:rsidRPr="00045927">
        <w:rPr>
          <w:sz w:val="20"/>
          <w:szCs w:val="20"/>
        </w:rPr>
        <w:t xml:space="preserve">Karmin, Craig, 2008, </w:t>
      </w:r>
      <w:r w:rsidRPr="00045927">
        <w:rPr>
          <w:i/>
          <w:sz w:val="20"/>
          <w:szCs w:val="20"/>
        </w:rPr>
        <w:t>Biography of the Dollar</w:t>
      </w:r>
      <w:r w:rsidRPr="00045927">
        <w:rPr>
          <w:sz w:val="20"/>
          <w:szCs w:val="20"/>
        </w:rPr>
        <w:t xml:space="preserve"> (Crown Business).</w:t>
      </w:r>
    </w:p>
    <w:p w:rsidR="00DF0276" w:rsidRDefault="00DF0276" w:rsidP="006370E5">
      <w:pPr>
        <w:suppressAutoHyphens/>
        <w:spacing w:line="240" w:lineRule="atLeast"/>
        <w:jc w:val="both"/>
        <w:rPr>
          <w:spacing w:val="-3"/>
          <w:sz w:val="20"/>
        </w:rPr>
      </w:pPr>
    </w:p>
    <w:p w:rsidR="00DF0276" w:rsidRPr="001F20EC" w:rsidRDefault="00DF0276" w:rsidP="006370E5">
      <w:pPr>
        <w:suppressAutoHyphens/>
        <w:spacing w:line="240" w:lineRule="atLeast"/>
        <w:jc w:val="both"/>
        <w:rPr>
          <w:spacing w:val="-3"/>
          <w:sz w:val="20"/>
        </w:rPr>
      </w:pPr>
      <w:r>
        <w:rPr>
          <w:spacing w:val="-3"/>
          <w:sz w:val="20"/>
        </w:rPr>
        <w:t xml:space="preserve">Kawai, </w:t>
      </w:r>
      <w:r w:rsidRPr="001F20EC">
        <w:rPr>
          <w:spacing w:val="-3"/>
          <w:sz w:val="20"/>
        </w:rPr>
        <w:t>Masahiro</w:t>
      </w:r>
      <w:r>
        <w:rPr>
          <w:spacing w:val="-3"/>
          <w:sz w:val="20"/>
        </w:rPr>
        <w:t xml:space="preserve">, and </w:t>
      </w:r>
      <w:r w:rsidRPr="001F20EC">
        <w:rPr>
          <w:spacing w:val="-3"/>
          <w:sz w:val="20"/>
        </w:rPr>
        <w:t xml:space="preserve"> Shinji Takagi, “The RMB as a key International Currency: Lessons from the Japanese Experience,” AEEF conference, Paris, January 2011.</w:t>
      </w:r>
    </w:p>
    <w:p w:rsidR="00DF0276" w:rsidRPr="00045927" w:rsidRDefault="00DF0276" w:rsidP="00FC0197">
      <w:pPr>
        <w:rPr>
          <w:sz w:val="20"/>
          <w:szCs w:val="20"/>
        </w:rPr>
      </w:pPr>
    </w:p>
    <w:p w:rsidR="00DF0276" w:rsidRPr="00045927" w:rsidRDefault="00DF0276" w:rsidP="00271D3B">
      <w:pPr>
        <w:suppressAutoHyphens/>
        <w:jc w:val="both"/>
        <w:rPr>
          <w:spacing w:val="-3"/>
          <w:sz w:val="20"/>
          <w:szCs w:val="20"/>
        </w:rPr>
      </w:pPr>
      <w:r w:rsidRPr="00045927">
        <w:rPr>
          <w:spacing w:val="-3"/>
          <w:sz w:val="20"/>
          <w:szCs w:val="20"/>
        </w:rPr>
        <w:lastRenderedPageBreak/>
        <w:t xml:space="preserve">Kenen, Peter, 1983, </w:t>
      </w:r>
      <w:r w:rsidRPr="00045927">
        <w:rPr>
          <w:i/>
          <w:spacing w:val="-3"/>
          <w:sz w:val="20"/>
          <w:szCs w:val="20"/>
        </w:rPr>
        <w:t>The Role of the Dollar as an International Currency</w:t>
      </w:r>
      <w:r w:rsidRPr="00045927">
        <w:rPr>
          <w:spacing w:val="-3"/>
          <w:sz w:val="20"/>
          <w:szCs w:val="20"/>
        </w:rPr>
        <w:t>, Occasional Papers No. 13, Group of Thirty, NY.</w:t>
      </w:r>
    </w:p>
    <w:p w:rsidR="00DF0276" w:rsidRPr="00045927" w:rsidRDefault="00DF0276" w:rsidP="00FC0197">
      <w:pPr>
        <w:rPr>
          <w:sz w:val="20"/>
          <w:szCs w:val="20"/>
        </w:rPr>
      </w:pPr>
    </w:p>
    <w:p w:rsidR="00DF0276" w:rsidRPr="00045927" w:rsidRDefault="00DF0276" w:rsidP="00FC0197">
      <w:pPr>
        <w:rPr>
          <w:sz w:val="20"/>
          <w:szCs w:val="20"/>
        </w:rPr>
      </w:pPr>
      <w:r w:rsidRPr="00045927">
        <w:rPr>
          <w:sz w:val="20"/>
          <w:szCs w:val="20"/>
        </w:rPr>
        <w:t xml:space="preserve">Kenen, Peter, 2011, “Currency internationalisation: an overview”, presented at the BoK/BIS seminar on </w:t>
      </w:r>
      <w:r w:rsidRPr="00045927">
        <w:rPr>
          <w:i/>
          <w:iCs/>
          <w:sz w:val="20"/>
          <w:szCs w:val="20"/>
        </w:rPr>
        <w:t>Currency internationalisation: lessons from the global financial crisis and prospects for the future in Asia and the Pacific</w:t>
      </w:r>
      <w:r w:rsidRPr="00045927">
        <w:rPr>
          <w:sz w:val="20"/>
          <w:szCs w:val="20"/>
        </w:rPr>
        <w:t>, Seoul, 19–20 March.</w:t>
      </w:r>
    </w:p>
    <w:p w:rsidR="00DF0276" w:rsidRPr="00045927" w:rsidRDefault="00DF0276" w:rsidP="00883AA6">
      <w:pPr>
        <w:suppressAutoHyphens/>
        <w:jc w:val="both"/>
        <w:rPr>
          <w:spacing w:val="-3"/>
          <w:sz w:val="20"/>
          <w:szCs w:val="20"/>
        </w:rPr>
      </w:pPr>
    </w:p>
    <w:p w:rsidR="00DF0276" w:rsidRPr="00045927" w:rsidRDefault="00DF0276" w:rsidP="00883AA6">
      <w:pPr>
        <w:suppressAutoHyphens/>
        <w:jc w:val="both"/>
        <w:rPr>
          <w:spacing w:val="-3"/>
          <w:sz w:val="20"/>
          <w:szCs w:val="20"/>
        </w:rPr>
      </w:pPr>
      <w:r w:rsidRPr="00045927">
        <w:rPr>
          <w:spacing w:val="-3"/>
          <w:sz w:val="20"/>
          <w:szCs w:val="20"/>
        </w:rPr>
        <w:t xml:space="preserve">Kennedy, Paul, 1989, </w:t>
      </w:r>
      <w:r w:rsidRPr="00045927">
        <w:rPr>
          <w:i/>
          <w:spacing w:val="-3"/>
          <w:sz w:val="20"/>
          <w:szCs w:val="20"/>
        </w:rPr>
        <w:t>Rise and Fall of the Great Powers: Economic Change and Military Conflict from 1500 to 2000.</w:t>
      </w:r>
    </w:p>
    <w:p w:rsidR="00DF0276" w:rsidRPr="00045927" w:rsidRDefault="00DF0276" w:rsidP="00883AA6">
      <w:pPr>
        <w:suppressAutoHyphens/>
        <w:jc w:val="both"/>
        <w:rPr>
          <w:spacing w:val="-3"/>
          <w:sz w:val="20"/>
          <w:szCs w:val="20"/>
        </w:rPr>
      </w:pPr>
    </w:p>
    <w:p w:rsidR="00DF0276" w:rsidRPr="00045927" w:rsidRDefault="00DF0276" w:rsidP="00883AA6">
      <w:pPr>
        <w:suppressAutoHyphens/>
        <w:jc w:val="both"/>
        <w:rPr>
          <w:spacing w:val="-3"/>
          <w:sz w:val="20"/>
          <w:szCs w:val="20"/>
        </w:rPr>
      </w:pPr>
      <w:r w:rsidRPr="00045927">
        <w:rPr>
          <w:spacing w:val="-3"/>
          <w:sz w:val="20"/>
          <w:szCs w:val="20"/>
        </w:rPr>
        <w:t xml:space="preserve">Kindleberger, Charles, 1950, </w:t>
      </w:r>
      <w:r w:rsidRPr="00045927">
        <w:rPr>
          <w:i/>
          <w:spacing w:val="-3"/>
          <w:sz w:val="20"/>
          <w:szCs w:val="20"/>
        </w:rPr>
        <w:t>The Dollar Shortage</w:t>
      </w:r>
      <w:r w:rsidRPr="00045927">
        <w:rPr>
          <w:spacing w:val="-3"/>
          <w:sz w:val="20"/>
          <w:szCs w:val="20"/>
        </w:rPr>
        <w:t>, New York: Wiley and MIT Press.</w:t>
      </w:r>
    </w:p>
    <w:p w:rsidR="00DF0276" w:rsidRPr="00045927" w:rsidRDefault="00DF0276" w:rsidP="00883AA6">
      <w:pPr>
        <w:suppressAutoHyphens/>
        <w:jc w:val="both"/>
        <w:rPr>
          <w:spacing w:val="-3"/>
          <w:sz w:val="20"/>
          <w:szCs w:val="20"/>
        </w:rPr>
      </w:pPr>
    </w:p>
    <w:p w:rsidR="00DF0276" w:rsidRPr="00045927" w:rsidRDefault="00DF0276" w:rsidP="00883AA6">
      <w:pPr>
        <w:suppressAutoHyphens/>
        <w:jc w:val="both"/>
        <w:rPr>
          <w:spacing w:val="-3"/>
          <w:sz w:val="20"/>
          <w:szCs w:val="20"/>
        </w:rPr>
      </w:pPr>
      <w:r w:rsidRPr="00045927">
        <w:rPr>
          <w:sz w:val="20"/>
          <w:szCs w:val="20"/>
        </w:rPr>
        <w:t xml:space="preserve">Kindleberger, Charles, 1973, </w:t>
      </w:r>
      <w:r w:rsidRPr="00045927">
        <w:rPr>
          <w:i/>
          <w:iCs/>
          <w:sz w:val="20"/>
          <w:szCs w:val="20"/>
        </w:rPr>
        <w:t>The World in Depression: 1929-1939</w:t>
      </w:r>
      <w:r w:rsidRPr="00045927">
        <w:rPr>
          <w:sz w:val="20"/>
          <w:szCs w:val="20"/>
        </w:rPr>
        <w:t>,</w:t>
      </w:r>
    </w:p>
    <w:p w:rsidR="00DF0276" w:rsidRPr="00045927" w:rsidRDefault="00DF0276" w:rsidP="00883AA6">
      <w:pPr>
        <w:suppressAutoHyphens/>
        <w:jc w:val="both"/>
        <w:rPr>
          <w:spacing w:val="-3"/>
          <w:sz w:val="20"/>
          <w:szCs w:val="20"/>
        </w:rPr>
      </w:pPr>
    </w:p>
    <w:p w:rsidR="00DF0276" w:rsidRPr="00045927" w:rsidRDefault="00DF0276" w:rsidP="00883AA6">
      <w:pPr>
        <w:suppressAutoHyphens/>
        <w:jc w:val="both"/>
        <w:rPr>
          <w:spacing w:val="-3"/>
          <w:sz w:val="20"/>
          <w:szCs w:val="20"/>
        </w:rPr>
      </w:pPr>
      <w:r w:rsidRPr="00045927">
        <w:rPr>
          <w:spacing w:val="-3"/>
          <w:sz w:val="20"/>
          <w:szCs w:val="20"/>
        </w:rPr>
        <w:t xml:space="preserve">Kindleberger, Charles, 1981, </w:t>
      </w:r>
      <w:r w:rsidRPr="00045927">
        <w:rPr>
          <w:i/>
          <w:spacing w:val="-3"/>
          <w:sz w:val="20"/>
          <w:szCs w:val="20"/>
        </w:rPr>
        <w:t>International Money</w:t>
      </w:r>
      <w:r w:rsidRPr="00045927">
        <w:rPr>
          <w:spacing w:val="-3"/>
          <w:sz w:val="20"/>
          <w:szCs w:val="20"/>
        </w:rPr>
        <w:t>, George Allen &amp; Unwin, London.</w:t>
      </w:r>
    </w:p>
    <w:p w:rsidR="00DF0276" w:rsidRPr="00045927" w:rsidRDefault="00DF0276" w:rsidP="00883AA6">
      <w:pPr>
        <w:tabs>
          <w:tab w:val="left" w:pos="0"/>
        </w:tabs>
        <w:suppressAutoHyphens/>
        <w:jc w:val="both"/>
        <w:rPr>
          <w:spacing w:val="-3"/>
          <w:sz w:val="20"/>
          <w:szCs w:val="20"/>
        </w:rPr>
      </w:pPr>
    </w:p>
    <w:p w:rsidR="00DF0276" w:rsidRPr="00045927" w:rsidRDefault="00DF0276" w:rsidP="00883AA6">
      <w:pPr>
        <w:tabs>
          <w:tab w:val="left" w:pos="0"/>
        </w:tabs>
        <w:suppressAutoHyphens/>
        <w:jc w:val="both"/>
        <w:rPr>
          <w:spacing w:val="-3"/>
          <w:sz w:val="20"/>
          <w:szCs w:val="20"/>
        </w:rPr>
      </w:pPr>
      <w:r w:rsidRPr="00045927">
        <w:rPr>
          <w:spacing w:val="-3"/>
          <w:sz w:val="20"/>
          <w:szCs w:val="20"/>
        </w:rPr>
        <w:t xml:space="preserve">Kindleberger, Charles, 1995, "Dollar Darkness," </w:t>
      </w:r>
      <w:r w:rsidRPr="00045927">
        <w:rPr>
          <w:i/>
          <w:spacing w:val="-3"/>
          <w:sz w:val="20"/>
          <w:szCs w:val="20"/>
        </w:rPr>
        <w:t>The International Economy</w:t>
      </w:r>
      <w:r w:rsidRPr="00045927">
        <w:rPr>
          <w:spacing w:val="-3"/>
          <w:sz w:val="20"/>
          <w:szCs w:val="20"/>
        </w:rPr>
        <w:t>, May/June.</w:t>
      </w:r>
    </w:p>
    <w:p w:rsidR="00DF0276" w:rsidRPr="00045927" w:rsidRDefault="00DF0276" w:rsidP="00883AA6">
      <w:pPr>
        <w:tabs>
          <w:tab w:val="left" w:pos="0"/>
        </w:tabs>
        <w:suppressAutoHyphens/>
        <w:jc w:val="both"/>
        <w:rPr>
          <w:spacing w:val="-3"/>
          <w:sz w:val="20"/>
          <w:szCs w:val="20"/>
        </w:rPr>
      </w:pPr>
    </w:p>
    <w:p w:rsidR="00DF0276" w:rsidRDefault="00DF0276" w:rsidP="00AC39CD">
      <w:pPr>
        <w:suppressAutoHyphens/>
        <w:jc w:val="both"/>
        <w:rPr>
          <w:spacing w:val="-3"/>
          <w:sz w:val="20"/>
          <w:szCs w:val="20"/>
        </w:rPr>
      </w:pPr>
      <w:r w:rsidRPr="00045927">
        <w:rPr>
          <w:spacing w:val="-3"/>
          <w:sz w:val="20"/>
          <w:szCs w:val="20"/>
        </w:rPr>
        <w:t xml:space="preserve">Krugman, Paul, 1984, "The International Role of the Dollar: Theory and Prospect," in </w:t>
      </w:r>
      <w:r w:rsidRPr="00045927">
        <w:rPr>
          <w:i/>
          <w:spacing w:val="-3"/>
          <w:sz w:val="20"/>
          <w:szCs w:val="20"/>
        </w:rPr>
        <w:t>Exchange Rate Theory and Practice</w:t>
      </w:r>
      <w:r w:rsidRPr="00045927">
        <w:rPr>
          <w:spacing w:val="-3"/>
          <w:sz w:val="20"/>
          <w:szCs w:val="20"/>
        </w:rPr>
        <w:t>, edited by John Bilson and Richard Marston, Chicago: University of Chicago Press, 1984, 261-78.</w:t>
      </w:r>
    </w:p>
    <w:p w:rsidR="00DF0276" w:rsidRDefault="00DF0276" w:rsidP="006370E5">
      <w:pPr>
        <w:suppressAutoHyphens/>
        <w:spacing w:line="240" w:lineRule="atLeast"/>
        <w:ind w:left="360"/>
        <w:jc w:val="both"/>
        <w:rPr>
          <w:spacing w:val="-3"/>
          <w:sz w:val="20"/>
        </w:rPr>
      </w:pPr>
    </w:p>
    <w:p w:rsidR="00DF0276" w:rsidRPr="006370E5" w:rsidRDefault="00DF0276" w:rsidP="006370E5">
      <w:pPr>
        <w:suppressAutoHyphens/>
        <w:spacing w:line="240" w:lineRule="atLeast"/>
        <w:jc w:val="both"/>
        <w:rPr>
          <w:spacing w:val="-3"/>
          <w:sz w:val="20"/>
        </w:rPr>
      </w:pPr>
      <w:r>
        <w:rPr>
          <w:spacing w:val="-3"/>
          <w:sz w:val="20"/>
        </w:rPr>
        <w:t>Lee, Jong-Wha</w:t>
      </w:r>
      <w:r w:rsidRPr="001F20EC">
        <w:rPr>
          <w:spacing w:val="-3"/>
          <w:sz w:val="20"/>
        </w:rPr>
        <w:t>,</w:t>
      </w:r>
      <w:r>
        <w:rPr>
          <w:spacing w:val="-3"/>
          <w:sz w:val="20"/>
        </w:rPr>
        <w:t xml:space="preserve"> 2010,</w:t>
      </w:r>
      <w:r w:rsidRPr="001F20EC">
        <w:rPr>
          <w:spacing w:val="-3"/>
          <w:sz w:val="20"/>
        </w:rPr>
        <w:t xml:space="preserve"> “Will the RMB Emerge as an Inter</w:t>
      </w:r>
      <w:r>
        <w:rPr>
          <w:spacing w:val="-3"/>
          <w:sz w:val="20"/>
        </w:rPr>
        <w:t xml:space="preserve">national Currency?”  </w:t>
      </w:r>
    </w:p>
    <w:p w:rsidR="00DF0276" w:rsidRPr="00045927" w:rsidRDefault="00DF0276" w:rsidP="00FC0197">
      <w:pPr>
        <w:rPr>
          <w:sz w:val="20"/>
          <w:szCs w:val="20"/>
        </w:rPr>
      </w:pPr>
    </w:p>
    <w:p w:rsidR="00DF0276" w:rsidRPr="00045927" w:rsidRDefault="00DF0276" w:rsidP="00FC0197">
      <w:pPr>
        <w:rPr>
          <w:sz w:val="20"/>
          <w:szCs w:val="20"/>
        </w:rPr>
      </w:pPr>
      <w:r w:rsidRPr="00045927">
        <w:rPr>
          <w:sz w:val="20"/>
          <w:szCs w:val="20"/>
        </w:rPr>
        <w:t>Li, D and L Liu</w:t>
      </w:r>
      <w:r>
        <w:rPr>
          <w:sz w:val="20"/>
          <w:szCs w:val="20"/>
        </w:rPr>
        <w:t xml:space="preserve">, </w:t>
      </w:r>
      <w:r w:rsidRPr="00045927">
        <w:rPr>
          <w:sz w:val="20"/>
          <w:szCs w:val="20"/>
        </w:rPr>
        <w:t>2007</w:t>
      </w:r>
      <w:r>
        <w:rPr>
          <w:sz w:val="20"/>
          <w:szCs w:val="20"/>
        </w:rPr>
        <w:t xml:space="preserve">, </w:t>
      </w:r>
      <w:r w:rsidRPr="00045927">
        <w:rPr>
          <w:sz w:val="20"/>
          <w:szCs w:val="20"/>
        </w:rPr>
        <w:t xml:space="preserve"> “RMB internationalization: an empirical analysis”, presentation at the Hong Kong Institute of Monetary Research Conference on </w:t>
      </w:r>
      <w:r w:rsidRPr="00045927">
        <w:rPr>
          <w:i/>
          <w:iCs/>
          <w:sz w:val="20"/>
          <w:szCs w:val="20"/>
        </w:rPr>
        <w:t>Currency internationalization: international experiences and implications for the renminbi</w:t>
      </w:r>
      <w:r w:rsidRPr="00045927">
        <w:rPr>
          <w:sz w:val="20"/>
          <w:szCs w:val="20"/>
        </w:rPr>
        <w:t>, Hong Kong SAR, 15–16 October.</w:t>
      </w:r>
    </w:p>
    <w:p w:rsidR="00DF0276" w:rsidRPr="00045927" w:rsidRDefault="00DF0276" w:rsidP="00FC0197">
      <w:pPr>
        <w:rPr>
          <w:sz w:val="20"/>
          <w:szCs w:val="20"/>
        </w:rPr>
      </w:pPr>
    </w:p>
    <w:p w:rsidR="00DF0276" w:rsidRPr="00045927" w:rsidRDefault="00DF0276" w:rsidP="00AC39CD">
      <w:pPr>
        <w:tabs>
          <w:tab w:val="left" w:pos="0"/>
        </w:tabs>
        <w:suppressAutoHyphens/>
        <w:jc w:val="both"/>
        <w:rPr>
          <w:spacing w:val="-3"/>
          <w:sz w:val="20"/>
          <w:szCs w:val="20"/>
        </w:rPr>
      </w:pPr>
      <w:r w:rsidRPr="00045927">
        <w:rPr>
          <w:spacing w:val="-3"/>
          <w:sz w:val="20"/>
          <w:szCs w:val="20"/>
        </w:rPr>
        <w:t xml:space="preserve">Lindert, Peter, 1969, </w:t>
      </w:r>
      <w:r w:rsidRPr="00045927">
        <w:rPr>
          <w:i/>
          <w:spacing w:val="-3"/>
          <w:sz w:val="20"/>
          <w:szCs w:val="20"/>
        </w:rPr>
        <w:t>Key Currencies and Gold: 1900-1913</w:t>
      </w:r>
      <w:r w:rsidRPr="00045927">
        <w:rPr>
          <w:spacing w:val="-3"/>
          <w:sz w:val="20"/>
          <w:szCs w:val="20"/>
        </w:rPr>
        <w:t xml:space="preserve">, </w:t>
      </w:r>
      <w:r w:rsidRPr="00045927">
        <w:rPr>
          <w:i/>
          <w:spacing w:val="-3"/>
          <w:sz w:val="20"/>
          <w:szCs w:val="20"/>
        </w:rPr>
        <w:t>Princeton Studies in International Finance</w:t>
      </w:r>
      <w:r w:rsidRPr="00045927">
        <w:rPr>
          <w:spacing w:val="-3"/>
          <w:sz w:val="20"/>
          <w:szCs w:val="20"/>
        </w:rPr>
        <w:t>, No. 24, August.</w:t>
      </w:r>
    </w:p>
    <w:p w:rsidR="00DF0276" w:rsidRPr="00045927" w:rsidRDefault="00DF0276" w:rsidP="002E686E">
      <w:pPr>
        <w:tabs>
          <w:tab w:val="left" w:pos="0"/>
        </w:tabs>
        <w:suppressAutoHyphens/>
        <w:jc w:val="both"/>
        <w:rPr>
          <w:spacing w:val="-3"/>
          <w:sz w:val="20"/>
          <w:szCs w:val="20"/>
        </w:rPr>
      </w:pPr>
    </w:p>
    <w:p w:rsidR="00DF0276" w:rsidRPr="00045927" w:rsidRDefault="00DF0276" w:rsidP="002E686E">
      <w:pPr>
        <w:pStyle w:val="BodyText3"/>
        <w:spacing w:line="240" w:lineRule="auto"/>
        <w:rPr>
          <w:szCs w:val="20"/>
        </w:rPr>
      </w:pPr>
      <w:r w:rsidRPr="00045927">
        <w:rPr>
          <w:rFonts w:eastAsia="MS Mincho"/>
          <w:color w:val="000000"/>
          <w:szCs w:val="20"/>
          <w:lang w:eastAsia="ja-JP"/>
        </w:rPr>
        <w:t xml:space="preserve">Matsuyama, Kiminori; Nobuhiro Kiyotaki and Akihiko Matsui. 1993. “Toward A Theory of International Currency,” </w:t>
      </w:r>
      <w:r w:rsidRPr="00045927">
        <w:rPr>
          <w:rFonts w:eastAsia="MS Mincho"/>
          <w:i/>
          <w:color w:val="000000"/>
          <w:szCs w:val="20"/>
          <w:lang w:eastAsia="ja-JP"/>
        </w:rPr>
        <w:t>Review of Economic Studies</w:t>
      </w:r>
      <w:r w:rsidRPr="00045927">
        <w:rPr>
          <w:rFonts w:eastAsia="MS Mincho"/>
          <w:color w:val="000000"/>
          <w:szCs w:val="20"/>
          <w:lang w:eastAsia="ja-JP"/>
        </w:rPr>
        <w:t xml:space="preserve"> 60, April: 283-307.</w:t>
      </w:r>
    </w:p>
    <w:p w:rsidR="00DF0276" w:rsidRPr="00045927" w:rsidRDefault="00DF0276" w:rsidP="00FC0197">
      <w:pPr>
        <w:rPr>
          <w:sz w:val="20"/>
          <w:szCs w:val="20"/>
        </w:rPr>
      </w:pPr>
    </w:p>
    <w:p w:rsidR="00DF0276" w:rsidRPr="00045927" w:rsidRDefault="00DF0276" w:rsidP="003E084A">
      <w:pPr>
        <w:autoSpaceDE w:val="0"/>
        <w:autoSpaceDN w:val="0"/>
        <w:adjustRightInd w:val="0"/>
        <w:rPr>
          <w:sz w:val="20"/>
          <w:szCs w:val="20"/>
        </w:rPr>
      </w:pPr>
      <w:r w:rsidRPr="00045927">
        <w:rPr>
          <w:sz w:val="20"/>
          <w:szCs w:val="20"/>
        </w:rPr>
        <w:t>McCauley, R</w:t>
      </w:r>
      <w:r>
        <w:rPr>
          <w:sz w:val="20"/>
          <w:szCs w:val="20"/>
        </w:rPr>
        <w:t>obert, 2010</w:t>
      </w:r>
      <w:r w:rsidRPr="00045927">
        <w:rPr>
          <w:sz w:val="20"/>
          <w:szCs w:val="20"/>
        </w:rPr>
        <w:t xml:space="preserve">: “Internationalising the Australian </w:t>
      </w:r>
      <w:r>
        <w:rPr>
          <w:sz w:val="20"/>
          <w:szCs w:val="20"/>
        </w:rPr>
        <w:t>D</w:t>
      </w:r>
      <w:r w:rsidRPr="00045927">
        <w:rPr>
          <w:sz w:val="20"/>
          <w:szCs w:val="20"/>
        </w:rPr>
        <w:t xml:space="preserve">ollar”, in C Shu and W Peng (eds), </w:t>
      </w:r>
      <w:r w:rsidRPr="00045927">
        <w:rPr>
          <w:i/>
          <w:iCs/>
          <w:sz w:val="20"/>
          <w:szCs w:val="20"/>
        </w:rPr>
        <w:t>Currency internationalization: international experiences and</w:t>
      </w:r>
      <w:r w:rsidRPr="00045927">
        <w:rPr>
          <w:sz w:val="20"/>
          <w:szCs w:val="20"/>
        </w:rPr>
        <w:t xml:space="preserve"> </w:t>
      </w:r>
      <w:r w:rsidRPr="00045927">
        <w:rPr>
          <w:i/>
          <w:iCs/>
          <w:sz w:val="20"/>
          <w:szCs w:val="20"/>
        </w:rPr>
        <w:t>implications for the renminbi</w:t>
      </w:r>
      <w:r w:rsidRPr="00045927">
        <w:rPr>
          <w:sz w:val="20"/>
          <w:szCs w:val="20"/>
        </w:rPr>
        <w:t>, Palgrave Macmillan, Basingstoke.</w:t>
      </w:r>
    </w:p>
    <w:p w:rsidR="00DF0276" w:rsidRPr="00045927" w:rsidRDefault="00DF0276" w:rsidP="003E084A">
      <w:pPr>
        <w:rPr>
          <w:sz w:val="20"/>
          <w:szCs w:val="20"/>
        </w:rPr>
      </w:pPr>
    </w:p>
    <w:p w:rsidR="00DF0276" w:rsidRPr="00045927" w:rsidRDefault="00DF0276" w:rsidP="003E084A">
      <w:pPr>
        <w:autoSpaceDE w:val="0"/>
        <w:autoSpaceDN w:val="0"/>
        <w:adjustRightInd w:val="0"/>
        <w:rPr>
          <w:sz w:val="20"/>
          <w:szCs w:val="20"/>
        </w:rPr>
      </w:pPr>
      <w:r w:rsidRPr="00045927">
        <w:rPr>
          <w:sz w:val="20"/>
          <w:szCs w:val="20"/>
        </w:rPr>
        <w:t>McCauley, Robert</w:t>
      </w:r>
      <w:r>
        <w:rPr>
          <w:sz w:val="20"/>
          <w:szCs w:val="20"/>
        </w:rPr>
        <w:t xml:space="preserve">, </w:t>
      </w:r>
      <w:r w:rsidRPr="00045927">
        <w:rPr>
          <w:sz w:val="20"/>
          <w:szCs w:val="20"/>
        </w:rPr>
        <w:t>2011</w:t>
      </w:r>
      <w:r>
        <w:rPr>
          <w:sz w:val="20"/>
          <w:szCs w:val="20"/>
        </w:rPr>
        <w:t>, “The I</w:t>
      </w:r>
      <w:r w:rsidRPr="00045927">
        <w:rPr>
          <w:sz w:val="20"/>
          <w:szCs w:val="20"/>
        </w:rPr>
        <w:t xml:space="preserve">nternationalisation of the </w:t>
      </w:r>
      <w:r>
        <w:rPr>
          <w:sz w:val="20"/>
          <w:szCs w:val="20"/>
        </w:rPr>
        <w:t>R</w:t>
      </w:r>
      <w:r w:rsidRPr="00045927">
        <w:rPr>
          <w:sz w:val="20"/>
          <w:szCs w:val="20"/>
        </w:rPr>
        <w:t xml:space="preserve">enminbi”, speech to the Second Annual International Conference on the Chinese Economy, </w:t>
      </w:r>
      <w:r w:rsidRPr="00045927">
        <w:rPr>
          <w:i/>
          <w:iCs/>
          <w:sz w:val="20"/>
          <w:szCs w:val="20"/>
        </w:rPr>
        <w:t>Macroeconomic</w:t>
      </w:r>
      <w:r w:rsidRPr="00045927">
        <w:rPr>
          <w:sz w:val="20"/>
          <w:szCs w:val="20"/>
        </w:rPr>
        <w:t xml:space="preserve"> </w:t>
      </w:r>
      <w:r w:rsidRPr="00045927">
        <w:rPr>
          <w:i/>
          <w:iCs/>
          <w:sz w:val="20"/>
          <w:szCs w:val="20"/>
        </w:rPr>
        <w:t>management in China: monetary and financial stability issues</w:t>
      </w:r>
      <w:r w:rsidRPr="00045927">
        <w:rPr>
          <w:sz w:val="20"/>
          <w:szCs w:val="20"/>
        </w:rPr>
        <w:t>, Hong Kong Institute for Monetary Research, Hong Kong SAR, 14 January.</w:t>
      </w:r>
    </w:p>
    <w:p w:rsidR="00DF0276" w:rsidRPr="00045927" w:rsidRDefault="00DF0276" w:rsidP="003E084A">
      <w:pPr>
        <w:autoSpaceDE w:val="0"/>
        <w:autoSpaceDN w:val="0"/>
        <w:adjustRightInd w:val="0"/>
        <w:rPr>
          <w:rFonts w:ascii="Arial" w:hAnsi="Arial" w:cs="Arial"/>
          <w:sz w:val="20"/>
          <w:szCs w:val="20"/>
        </w:rPr>
      </w:pPr>
    </w:p>
    <w:p w:rsidR="00DF0276" w:rsidRPr="00045927" w:rsidRDefault="00DF0276" w:rsidP="002E686E">
      <w:pPr>
        <w:suppressAutoHyphens/>
        <w:jc w:val="both"/>
        <w:rPr>
          <w:spacing w:val="-3"/>
          <w:sz w:val="20"/>
          <w:szCs w:val="20"/>
        </w:rPr>
      </w:pPr>
      <w:r w:rsidRPr="00045927">
        <w:rPr>
          <w:spacing w:val="-3"/>
          <w:sz w:val="20"/>
          <w:szCs w:val="20"/>
        </w:rPr>
        <w:t xml:space="preserve">McKinnon, Ronald, 1979, </w:t>
      </w:r>
      <w:r w:rsidRPr="00045927">
        <w:rPr>
          <w:i/>
          <w:spacing w:val="-3"/>
          <w:sz w:val="20"/>
          <w:szCs w:val="20"/>
        </w:rPr>
        <w:t>Money in International Exchange,</w:t>
      </w:r>
      <w:r w:rsidRPr="00045927">
        <w:rPr>
          <w:spacing w:val="-3"/>
          <w:sz w:val="20"/>
          <w:szCs w:val="20"/>
        </w:rPr>
        <w:t xml:space="preserve"> Oxford University Press, New York.</w:t>
      </w:r>
    </w:p>
    <w:p w:rsidR="00DF0276" w:rsidRPr="00045927" w:rsidRDefault="00DF0276">
      <w:pPr>
        <w:rPr>
          <w:sz w:val="20"/>
          <w:szCs w:val="20"/>
        </w:rPr>
      </w:pPr>
    </w:p>
    <w:p w:rsidR="00DF0276" w:rsidRDefault="00DF0276">
      <w:pPr>
        <w:rPr>
          <w:spacing w:val="-3"/>
          <w:sz w:val="20"/>
          <w:szCs w:val="20"/>
        </w:rPr>
      </w:pPr>
      <w:r w:rsidRPr="00045927">
        <w:rPr>
          <w:spacing w:val="-3"/>
          <w:sz w:val="20"/>
          <w:szCs w:val="20"/>
        </w:rPr>
        <w:t xml:space="preserve">Nurkse, Ragnar, 1944, </w:t>
      </w:r>
      <w:r w:rsidRPr="00045927">
        <w:rPr>
          <w:i/>
          <w:spacing w:val="-3"/>
          <w:sz w:val="20"/>
          <w:szCs w:val="20"/>
        </w:rPr>
        <w:t>International Currency Experience</w:t>
      </w:r>
      <w:r w:rsidRPr="00045927">
        <w:rPr>
          <w:spacing w:val="-3"/>
          <w:sz w:val="20"/>
          <w:szCs w:val="20"/>
        </w:rPr>
        <w:t>, Geneva: League of Nations.</w:t>
      </w:r>
    </w:p>
    <w:p w:rsidR="00DF0276" w:rsidRDefault="00DF0276" w:rsidP="001B0E91">
      <w:pPr>
        <w:rPr>
          <w:sz w:val="20"/>
          <w:szCs w:val="20"/>
        </w:rPr>
      </w:pPr>
    </w:p>
    <w:p w:rsidR="00DF0276" w:rsidRPr="001B0E91" w:rsidRDefault="00DF0276" w:rsidP="001B0E91">
      <w:pPr>
        <w:suppressAutoHyphens/>
        <w:spacing w:line="240" w:lineRule="atLeast"/>
        <w:jc w:val="both"/>
        <w:rPr>
          <w:spacing w:val="-3"/>
          <w:sz w:val="20"/>
        </w:rPr>
      </w:pPr>
      <w:r>
        <w:rPr>
          <w:spacing w:val="-3"/>
          <w:sz w:val="20"/>
        </w:rPr>
        <w:t xml:space="preserve">Park, </w:t>
      </w:r>
      <w:r w:rsidRPr="001F20EC">
        <w:rPr>
          <w:spacing w:val="-3"/>
          <w:sz w:val="20"/>
        </w:rPr>
        <w:t>Yung Chul</w:t>
      </w:r>
      <w:r>
        <w:rPr>
          <w:spacing w:val="-3"/>
          <w:sz w:val="20"/>
        </w:rPr>
        <w:t xml:space="preserve">m and </w:t>
      </w:r>
      <w:r w:rsidRPr="001F20EC">
        <w:rPr>
          <w:spacing w:val="-3"/>
          <w:sz w:val="20"/>
        </w:rPr>
        <w:t xml:space="preserve"> Chi-Young Song, “RMB Internationalization: Prospects and Implications for Economic Integration in East Asia, October 2010.   Forthcoming, </w:t>
      </w:r>
      <w:r w:rsidRPr="001F20EC">
        <w:rPr>
          <w:i/>
          <w:iCs/>
          <w:spacing w:val="-3"/>
          <w:sz w:val="20"/>
        </w:rPr>
        <w:t>Asian Economic Papers.</w:t>
      </w:r>
    </w:p>
    <w:p w:rsidR="00DF0276" w:rsidRPr="00045927" w:rsidRDefault="00DF0276">
      <w:pPr>
        <w:rPr>
          <w:color w:val="000000"/>
          <w:sz w:val="20"/>
          <w:szCs w:val="20"/>
          <w:lang w:val="en-GB"/>
        </w:rPr>
      </w:pPr>
    </w:p>
    <w:p w:rsidR="00DF0276" w:rsidRPr="002131A7" w:rsidRDefault="00DF0276" w:rsidP="00883AA6">
      <w:pPr>
        <w:rPr>
          <w:sz w:val="20"/>
          <w:szCs w:val="20"/>
        </w:rPr>
      </w:pPr>
      <w:r w:rsidRPr="00045927">
        <w:rPr>
          <w:sz w:val="20"/>
          <w:szCs w:val="20"/>
        </w:rPr>
        <w:t xml:space="preserve">Portes, Richard, and Helene Rey, 1998, “The Emergence of the Euro as an International Currency,” </w:t>
      </w:r>
      <w:r w:rsidRPr="00045927">
        <w:rPr>
          <w:i/>
          <w:sz w:val="20"/>
          <w:szCs w:val="20"/>
        </w:rPr>
        <w:t>NBER Working Paper</w:t>
      </w:r>
      <w:r w:rsidRPr="00045927">
        <w:rPr>
          <w:sz w:val="20"/>
          <w:szCs w:val="20"/>
        </w:rPr>
        <w:t xml:space="preserve"> No. 6424, February.</w:t>
      </w:r>
    </w:p>
    <w:p w:rsidR="00DF0276" w:rsidRPr="002131A7" w:rsidRDefault="00DF0276" w:rsidP="002131A7">
      <w:pPr>
        <w:pStyle w:val="Heading2"/>
        <w:rPr>
          <w:rFonts w:ascii="Times New Roman" w:hAnsi="Times New Roman" w:cs="Times New Roman"/>
          <w:b w:val="0"/>
          <w:i w:val="0"/>
          <w:sz w:val="20"/>
          <w:szCs w:val="20"/>
        </w:rPr>
      </w:pPr>
      <w:r w:rsidRPr="002131A7">
        <w:rPr>
          <w:rFonts w:ascii="Times New Roman" w:hAnsi="Times New Roman" w:cs="Times New Roman"/>
          <w:b w:val="0"/>
          <w:i w:val="0"/>
          <w:sz w:val="20"/>
          <w:szCs w:val="20"/>
        </w:rPr>
        <w:t xml:space="preserve">Prasad, Eswar, and Shang-Jin Wei , 2007, The Chinese Approach to Capital Inflows: Patterns and Possible Explanations,”  in:  Prasad and Wei </w:t>
      </w:r>
      <w:r w:rsidRPr="002131A7">
        <w:rPr>
          <w:rFonts w:ascii="Times New Roman" w:hAnsi="Times New Roman" w:cs="Times New Roman"/>
          <w:b w:val="0"/>
          <w:sz w:val="20"/>
          <w:szCs w:val="20"/>
        </w:rPr>
        <w:t>Capital Controls and Capital Flows in Emerging Economies: Policies, Practices and Consequences</w:t>
      </w:r>
      <w:r>
        <w:rPr>
          <w:rFonts w:ascii="Times New Roman" w:hAnsi="Times New Roman" w:cs="Times New Roman"/>
          <w:b w:val="0"/>
          <w:i w:val="0"/>
          <w:sz w:val="20"/>
          <w:szCs w:val="20"/>
        </w:rPr>
        <w:t>, pages 421-480</w:t>
      </w:r>
      <w:r w:rsidRPr="002131A7">
        <w:rPr>
          <w:rFonts w:ascii="Times New Roman" w:hAnsi="Times New Roman" w:cs="Times New Roman"/>
          <w:b w:val="0"/>
          <w:i w:val="0"/>
          <w:sz w:val="20"/>
          <w:szCs w:val="20"/>
        </w:rPr>
        <w:t>.</w:t>
      </w:r>
    </w:p>
    <w:p w:rsidR="00DF0276" w:rsidRDefault="00DF0276" w:rsidP="00883AA6">
      <w:pPr>
        <w:rPr>
          <w:sz w:val="20"/>
          <w:szCs w:val="20"/>
        </w:rPr>
      </w:pPr>
    </w:p>
    <w:p w:rsidR="00DF0276" w:rsidRPr="00045927" w:rsidRDefault="00DF0276" w:rsidP="00883AA6">
      <w:pPr>
        <w:rPr>
          <w:sz w:val="20"/>
          <w:szCs w:val="20"/>
        </w:rPr>
      </w:pPr>
      <w:r w:rsidRPr="00045927">
        <w:rPr>
          <w:sz w:val="20"/>
          <w:szCs w:val="20"/>
        </w:rPr>
        <w:lastRenderedPageBreak/>
        <w:t xml:space="preserve">Rey, Helene, 2001, “International Trade and Currency Exchange,” </w:t>
      </w:r>
      <w:r w:rsidRPr="00045927">
        <w:rPr>
          <w:i/>
          <w:sz w:val="20"/>
          <w:szCs w:val="20"/>
        </w:rPr>
        <w:t>Review of Economic Studies</w:t>
      </w:r>
      <w:r w:rsidRPr="00045927">
        <w:rPr>
          <w:sz w:val="20"/>
          <w:szCs w:val="20"/>
        </w:rPr>
        <w:t xml:space="preserve"> 68, no. 2 April, 443-464.</w:t>
      </w:r>
    </w:p>
    <w:p w:rsidR="00DF0276" w:rsidRPr="00045927" w:rsidRDefault="00DF0276" w:rsidP="00883AA6">
      <w:pPr>
        <w:rPr>
          <w:sz w:val="20"/>
          <w:szCs w:val="20"/>
        </w:rPr>
      </w:pPr>
    </w:p>
    <w:p w:rsidR="00DF0276" w:rsidRPr="00045927" w:rsidRDefault="00DF0276" w:rsidP="00883AA6">
      <w:pPr>
        <w:rPr>
          <w:sz w:val="20"/>
          <w:szCs w:val="20"/>
        </w:rPr>
      </w:pPr>
      <w:r w:rsidRPr="00045927">
        <w:rPr>
          <w:sz w:val="20"/>
          <w:szCs w:val="20"/>
        </w:rPr>
        <w:t xml:space="preserve">Rey, Helene, 2005, “The Impact of a Five Year Old Euro on Financial Markets,” </w:t>
      </w:r>
      <w:r w:rsidRPr="00045927">
        <w:rPr>
          <w:snapToGrid w:val="0"/>
          <w:color w:val="000000"/>
          <w:sz w:val="20"/>
          <w:szCs w:val="20"/>
        </w:rPr>
        <w:t xml:space="preserve">in </w:t>
      </w:r>
      <w:r w:rsidRPr="00045927">
        <w:rPr>
          <w:i/>
          <w:snapToGrid w:val="0"/>
          <w:color w:val="000000"/>
          <w:sz w:val="20"/>
          <w:szCs w:val="20"/>
        </w:rPr>
        <w:t>The Euro at Five: Ready for a Global Role?</w:t>
      </w:r>
      <w:r w:rsidRPr="00045927">
        <w:rPr>
          <w:snapToGrid w:val="0"/>
          <w:color w:val="000000"/>
          <w:sz w:val="20"/>
          <w:szCs w:val="20"/>
          <w:u w:val="single"/>
        </w:rPr>
        <w:t xml:space="preserve"> </w:t>
      </w:r>
      <w:r w:rsidRPr="00045927">
        <w:rPr>
          <w:snapToGrid w:val="0"/>
          <w:color w:val="000000"/>
          <w:sz w:val="20"/>
          <w:szCs w:val="20"/>
        </w:rPr>
        <w:t xml:space="preserve"> edited by Adam Posen (Institute for International Economics: Washington), pp.</w:t>
      </w:r>
      <w:r w:rsidRPr="00045927">
        <w:rPr>
          <w:sz w:val="20"/>
          <w:szCs w:val="20"/>
        </w:rPr>
        <w:t>111-116.</w:t>
      </w:r>
    </w:p>
    <w:p w:rsidR="00DF0276" w:rsidRPr="00045927" w:rsidRDefault="00DF0276" w:rsidP="00883AA6">
      <w:pPr>
        <w:rPr>
          <w:sz w:val="20"/>
          <w:szCs w:val="20"/>
        </w:rPr>
      </w:pPr>
    </w:p>
    <w:p w:rsidR="00DF0276" w:rsidRPr="00045927" w:rsidRDefault="00DF0276" w:rsidP="00F444CB">
      <w:pPr>
        <w:outlineLvl w:val="3"/>
        <w:rPr>
          <w:sz w:val="20"/>
          <w:szCs w:val="20"/>
        </w:rPr>
      </w:pPr>
      <w:r w:rsidRPr="00045927">
        <w:rPr>
          <w:sz w:val="20"/>
          <w:szCs w:val="20"/>
        </w:rPr>
        <w:t>Rogoff, Kenneth, 1998, “</w:t>
      </w:r>
      <w:hyperlink r:id="rId12" w:history="1">
        <w:r w:rsidRPr="00045927">
          <w:rPr>
            <w:rStyle w:val="Hyperlink"/>
            <w:color w:val="auto"/>
            <w:sz w:val="20"/>
            <w:szCs w:val="20"/>
            <w:u w:val="none"/>
          </w:rPr>
          <w:t>Blessing or Curse? Foreign and Underground Demand Euro</w:t>
        </w:r>
        <w:r w:rsidRPr="00045927">
          <w:rPr>
            <w:rStyle w:val="Hyperlink"/>
            <w:b/>
            <w:bCs/>
            <w:color w:val="auto"/>
            <w:sz w:val="20"/>
            <w:szCs w:val="20"/>
            <w:u w:val="none"/>
          </w:rPr>
          <w:t xml:space="preserve"> </w:t>
        </w:r>
        <w:r w:rsidRPr="00045927">
          <w:rPr>
            <w:rStyle w:val="Hyperlink"/>
            <w:bCs/>
            <w:color w:val="auto"/>
            <w:sz w:val="20"/>
            <w:szCs w:val="20"/>
            <w:u w:val="none"/>
          </w:rPr>
          <w:t>N</w:t>
        </w:r>
        <w:r w:rsidRPr="00045927">
          <w:rPr>
            <w:rStyle w:val="Hyperlink"/>
            <w:color w:val="auto"/>
            <w:sz w:val="20"/>
            <w:szCs w:val="20"/>
            <w:u w:val="none"/>
          </w:rPr>
          <w:t>otes</w:t>
        </w:r>
      </w:hyperlink>
      <w:r w:rsidRPr="00045927">
        <w:rPr>
          <w:rFonts w:ascii="Arial" w:hAnsi="Arial" w:cs="Arial"/>
          <w:sz w:val="20"/>
          <w:szCs w:val="20"/>
        </w:rPr>
        <w:t xml:space="preserve">,” </w:t>
      </w:r>
      <w:r w:rsidRPr="00045927">
        <w:rPr>
          <w:sz w:val="20"/>
          <w:szCs w:val="20"/>
        </w:rPr>
        <w:t xml:space="preserve"> </w:t>
      </w:r>
      <w:hyperlink r:id="rId13" w:tooltip="Economic Policy" w:history="1">
        <w:r w:rsidRPr="00045927">
          <w:rPr>
            <w:rStyle w:val="Hyperlink"/>
            <w:i/>
            <w:color w:val="auto"/>
            <w:sz w:val="20"/>
            <w:szCs w:val="20"/>
            <w:u w:val="none"/>
          </w:rPr>
          <w:t>Economic Policy</w:t>
        </w:r>
      </w:hyperlink>
      <w:r w:rsidRPr="00045927">
        <w:rPr>
          <w:sz w:val="20"/>
          <w:szCs w:val="20"/>
        </w:rPr>
        <w:t xml:space="preserve">, </w:t>
      </w:r>
      <w:hyperlink r:id="rId14" w:tooltip="Economic Policy, Vol. 13, No. 26, Apr., 1998" w:history="1">
        <w:r w:rsidRPr="00045927">
          <w:rPr>
            <w:rStyle w:val="Hyperlink"/>
            <w:color w:val="auto"/>
            <w:sz w:val="20"/>
            <w:szCs w:val="20"/>
            <w:u w:val="none"/>
          </w:rPr>
          <w:t>Vol. 13, No. 26, Apr.</w:t>
        </w:r>
      </w:hyperlink>
    </w:p>
    <w:p w:rsidR="00DF0276" w:rsidRPr="00045927" w:rsidRDefault="00DF0276" w:rsidP="00883AA6">
      <w:pPr>
        <w:rPr>
          <w:sz w:val="20"/>
          <w:szCs w:val="20"/>
        </w:rPr>
      </w:pPr>
    </w:p>
    <w:p w:rsidR="00DF0276" w:rsidRDefault="00DF0276" w:rsidP="00494E94">
      <w:pPr>
        <w:pStyle w:val="Heading1"/>
        <w:shd w:val="clear" w:color="auto" w:fill="FFFFFF"/>
        <w:rPr>
          <w:rFonts w:ascii="Arial" w:hAnsi="Arial" w:cs="Arial"/>
          <w:color w:val="000000"/>
          <w:sz w:val="26"/>
          <w:szCs w:val="26"/>
        </w:rPr>
      </w:pPr>
      <w:r w:rsidRPr="00494E94">
        <w:rPr>
          <w:b w:val="0"/>
          <w:color w:val="auto"/>
          <w:sz w:val="20"/>
          <w:szCs w:val="20"/>
        </w:rPr>
        <w:t>Schenk, Catherine, 2010a,</w:t>
      </w:r>
      <w:r>
        <w:rPr>
          <w:sz w:val="20"/>
          <w:szCs w:val="20"/>
        </w:rPr>
        <w:t xml:space="preserve">  “</w:t>
      </w:r>
      <w:r w:rsidRPr="00494E94">
        <w:rPr>
          <w:b w:val="0"/>
          <w:i/>
          <w:color w:val="000000"/>
          <w:sz w:val="20"/>
          <w:szCs w:val="20"/>
        </w:rPr>
        <w:t xml:space="preserve">The Decline of Sterling: Managing the Retreat of an International </w:t>
      </w:r>
      <w:r w:rsidRPr="00494E94">
        <w:rPr>
          <w:b w:val="0"/>
          <w:color w:val="000000"/>
          <w:sz w:val="20"/>
          <w:szCs w:val="20"/>
        </w:rPr>
        <w:t>Currenc</w:t>
      </w:r>
      <w:r>
        <w:rPr>
          <w:b w:val="0"/>
          <w:color w:val="000000"/>
          <w:sz w:val="20"/>
          <w:szCs w:val="20"/>
        </w:rPr>
        <w:t>y”</w:t>
      </w:r>
      <w:r>
        <w:rPr>
          <w:rFonts w:ascii="Arial" w:hAnsi="Arial" w:cs="Arial"/>
          <w:color w:val="000000"/>
          <w:sz w:val="26"/>
          <w:szCs w:val="26"/>
        </w:rPr>
        <w:t xml:space="preserve"> </w:t>
      </w:r>
    </w:p>
    <w:p w:rsidR="00DF0276" w:rsidRPr="00045927" w:rsidRDefault="00DF0276" w:rsidP="00494E94">
      <w:pPr>
        <w:rPr>
          <w:sz w:val="20"/>
          <w:szCs w:val="20"/>
        </w:rPr>
      </w:pPr>
      <w:r>
        <w:rPr>
          <w:sz w:val="20"/>
          <w:szCs w:val="20"/>
        </w:rPr>
        <w:t xml:space="preserve"> (Cambridge University Press: Cambridge UK).</w:t>
      </w:r>
    </w:p>
    <w:p w:rsidR="00DF0276" w:rsidRPr="00045927" w:rsidRDefault="00DF0276" w:rsidP="00883AA6">
      <w:pPr>
        <w:rPr>
          <w:sz w:val="20"/>
          <w:szCs w:val="20"/>
        </w:rPr>
      </w:pPr>
    </w:p>
    <w:p w:rsidR="00DF0276" w:rsidRPr="003E4B9C" w:rsidRDefault="00DF0276" w:rsidP="003E4B9C">
      <w:pPr>
        <w:autoSpaceDE w:val="0"/>
        <w:autoSpaceDN w:val="0"/>
        <w:adjustRightInd w:val="0"/>
        <w:rPr>
          <w:rFonts w:ascii="Arial" w:hAnsi="Arial" w:cs="Arial"/>
        </w:rPr>
      </w:pPr>
      <w:r w:rsidRPr="00045927">
        <w:rPr>
          <w:sz w:val="20"/>
          <w:szCs w:val="20"/>
        </w:rPr>
        <w:t>Schenk</w:t>
      </w:r>
      <w:r>
        <w:rPr>
          <w:sz w:val="20"/>
          <w:szCs w:val="20"/>
        </w:rPr>
        <w:t>,</w:t>
      </w:r>
      <w:r w:rsidRPr="003E4B9C">
        <w:rPr>
          <w:b/>
          <w:sz w:val="20"/>
          <w:szCs w:val="20"/>
        </w:rPr>
        <w:t xml:space="preserve"> </w:t>
      </w:r>
      <w:r w:rsidRPr="003E4B9C">
        <w:rPr>
          <w:sz w:val="20"/>
          <w:szCs w:val="20"/>
        </w:rPr>
        <w:t>Catherine, 2010</w:t>
      </w:r>
      <w:r>
        <w:rPr>
          <w:sz w:val="20"/>
          <w:szCs w:val="20"/>
        </w:rPr>
        <w:t>b</w:t>
      </w:r>
      <w:r w:rsidRPr="003E4B9C">
        <w:rPr>
          <w:sz w:val="20"/>
          <w:szCs w:val="20"/>
        </w:rPr>
        <w:t>,</w:t>
      </w:r>
      <w:r>
        <w:rPr>
          <w:sz w:val="20"/>
          <w:szCs w:val="20"/>
        </w:rPr>
        <w:t xml:space="preserve">  “</w:t>
      </w:r>
      <w:r w:rsidRPr="003E4B9C">
        <w:rPr>
          <w:sz w:val="20"/>
          <w:szCs w:val="20"/>
        </w:rPr>
        <w:t>The Retirement of Sterling as a Reserve Currency after 1945: Lessons for the US Dollar?</w:t>
      </w:r>
      <w:r>
        <w:rPr>
          <w:sz w:val="20"/>
          <w:szCs w:val="20"/>
        </w:rPr>
        <w:t>”</w:t>
      </w:r>
    </w:p>
    <w:p w:rsidR="00DF0276" w:rsidRPr="00045927" w:rsidRDefault="00DF0276" w:rsidP="00883AA6">
      <w:pPr>
        <w:rPr>
          <w:sz w:val="20"/>
          <w:szCs w:val="20"/>
        </w:rPr>
      </w:pPr>
    </w:p>
    <w:p w:rsidR="00DF0276" w:rsidRPr="00045927" w:rsidRDefault="00DF0276" w:rsidP="0016447D">
      <w:pPr>
        <w:rPr>
          <w:sz w:val="20"/>
          <w:szCs w:val="20"/>
        </w:rPr>
      </w:pPr>
      <w:r w:rsidRPr="00045927">
        <w:rPr>
          <w:sz w:val="20"/>
          <w:szCs w:val="20"/>
        </w:rPr>
        <w:t xml:space="preserve">Subramanian, Arvind, 2011a, “Renminbi Rules: The Conditional Imminence of the Reserve Currency Transition,” </w:t>
      </w:r>
      <w:r>
        <w:rPr>
          <w:sz w:val="20"/>
          <w:szCs w:val="20"/>
        </w:rPr>
        <w:t>(</w:t>
      </w:r>
      <w:r w:rsidRPr="00045927">
        <w:rPr>
          <w:sz w:val="20"/>
          <w:szCs w:val="20"/>
        </w:rPr>
        <w:t>Petersen Institute for International Economics</w:t>
      </w:r>
      <w:r>
        <w:rPr>
          <w:sz w:val="20"/>
          <w:szCs w:val="20"/>
        </w:rPr>
        <w:t>)</w:t>
      </w:r>
      <w:r w:rsidRPr="00045927">
        <w:rPr>
          <w:sz w:val="20"/>
          <w:szCs w:val="20"/>
        </w:rPr>
        <w:t xml:space="preserve">, September.  </w:t>
      </w:r>
    </w:p>
    <w:p w:rsidR="00DF0276" w:rsidRPr="00045927" w:rsidRDefault="00DF0276" w:rsidP="0016447D">
      <w:pPr>
        <w:rPr>
          <w:sz w:val="20"/>
          <w:szCs w:val="20"/>
        </w:rPr>
      </w:pPr>
    </w:p>
    <w:p w:rsidR="00DF0276" w:rsidRPr="00045927" w:rsidRDefault="00DF0276" w:rsidP="0016447D">
      <w:pPr>
        <w:rPr>
          <w:sz w:val="20"/>
          <w:szCs w:val="20"/>
        </w:rPr>
      </w:pPr>
      <w:r w:rsidRPr="00045927">
        <w:rPr>
          <w:sz w:val="20"/>
          <w:szCs w:val="20"/>
        </w:rPr>
        <w:t xml:space="preserve">Subramanian, Arvind, 2011b , </w:t>
      </w:r>
      <w:r w:rsidRPr="00045927">
        <w:rPr>
          <w:i/>
          <w:sz w:val="20"/>
          <w:szCs w:val="20"/>
        </w:rPr>
        <w:t>Eclipse: Living in the Shadow of China’s Economic Dominance</w:t>
      </w:r>
      <w:r w:rsidRPr="00045927">
        <w:rPr>
          <w:sz w:val="20"/>
          <w:szCs w:val="20"/>
        </w:rPr>
        <w:t>.</w:t>
      </w:r>
    </w:p>
    <w:p w:rsidR="00DF0276" w:rsidRPr="00045927" w:rsidRDefault="00DF0276" w:rsidP="00883AA6">
      <w:pPr>
        <w:tabs>
          <w:tab w:val="left" w:pos="0"/>
        </w:tabs>
        <w:suppressAutoHyphens/>
        <w:jc w:val="both"/>
        <w:rPr>
          <w:spacing w:val="-3"/>
          <w:sz w:val="20"/>
          <w:szCs w:val="20"/>
        </w:rPr>
      </w:pPr>
    </w:p>
    <w:p w:rsidR="00DF0276" w:rsidRPr="00045927" w:rsidRDefault="00DF0276" w:rsidP="00883AA6">
      <w:pPr>
        <w:suppressAutoHyphens/>
        <w:jc w:val="both"/>
        <w:rPr>
          <w:spacing w:val="-3"/>
          <w:sz w:val="20"/>
          <w:szCs w:val="20"/>
        </w:rPr>
      </w:pPr>
      <w:r w:rsidRPr="00045927">
        <w:rPr>
          <w:spacing w:val="-3"/>
          <w:sz w:val="20"/>
          <w:szCs w:val="20"/>
        </w:rPr>
        <w:t xml:space="preserve">Swoboda, Alexander, 1969, "Vehicle Currencies in the Foreign Exchange Market: The Case of the Dollar," in R.Aliber, ed., </w:t>
      </w:r>
      <w:r w:rsidRPr="00045927">
        <w:rPr>
          <w:i/>
          <w:spacing w:val="-3"/>
          <w:sz w:val="20"/>
          <w:szCs w:val="20"/>
        </w:rPr>
        <w:t>The International Market for Foreign Exchange</w:t>
      </w:r>
      <w:r w:rsidRPr="00045927">
        <w:rPr>
          <w:spacing w:val="-3"/>
          <w:sz w:val="20"/>
          <w:szCs w:val="20"/>
        </w:rPr>
        <w:t>, Praeger, New York.</w:t>
      </w:r>
    </w:p>
    <w:p w:rsidR="00DF0276" w:rsidRPr="00045927" w:rsidRDefault="00DF0276" w:rsidP="00883AA6">
      <w:pPr>
        <w:suppressAutoHyphens/>
        <w:jc w:val="both"/>
        <w:rPr>
          <w:spacing w:val="-3"/>
          <w:sz w:val="20"/>
          <w:szCs w:val="20"/>
        </w:rPr>
      </w:pPr>
    </w:p>
    <w:p w:rsidR="00DF0276" w:rsidRPr="00045927" w:rsidRDefault="00DF0276" w:rsidP="00AC39CD">
      <w:pPr>
        <w:rPr>
          <w:sz w:val="20"/>
          <w:szCs w:val="20"/>
        </w:rPr>
      </w:pPr>
      <w:r>
        <w:rPr>
          <w:sz w:val="20"/>
          <w:szCs w:val="20"/>
        </w:rPr>
        <w:t xml:space="preserve">Tagaki, Shinji , </w:t>
      </w:r>
      <w:r w:rsidRPr="00045927">
        <w:rPr>
          <w:sz w:val="20"/>
          <w:szCs w:val="20"/>
        </w:rPr>
        <w:t>2011</w:t>
      </w:r>
      <w:r>
        <w:rPr>
          <w:sz w:val="20"/>
          <w:szCs w:val="20"/>
        </w:rPr>
        <w:t>,</w:t>
      </w:r>
      <w:r w:rsidRPr="00045927">
        <w:rPr>
          <w:sz w:val="20"/>
          <w:szCs w:val="20"/>
        </w:rPr>
        <w:t xml:space="preserve"> “Internationalizing the yen, 1984–2003: </w:t>
      </w:r>
      <w:r>
        <w:rPr>
          <w:sz w:val="20"/>
          <w:szCs w:val="20"/>
        </w:rPr>
        <w:t>U</w:t>
      </w:r>
      <w:r w:rsidRPr="00045927">
        <w:rPr>
          <w:sz w:val="20"/>
          <w:szCs w:val="20"/>
        </w:rPr>
        <w:t xml:space="preserve">nfinished agenda or mission impossible?” in Y.-W. Cheung and G. Ma, editors, </w:t>
      </w:r>
      <w:r w:rsidRPr="00045927">
        <w:rPr>
          <w:i/>
          <w:sz w:val="20"/>
          <w:szCs w:val="20"/>
        </w:rPr>
        <w:t>Asia and China in the Global Economy</w:t>
      </w:r>
      <w:r w:rsidRPr="00045927">
        <w:rPr>
          <w:sz w:val="20"/>
          <w:szCs w:val="20"/>
        </w:rPr>
        <w:t xml:space="preserve">, (World Scientific Publishing: Singapore).  [Presented at the BoK/BIS seminar on </w:t>
      </w:r>
      <w:r w:rsidRPr="00045927">
        <w:rPr>
          <w:i/>
          <w:iCs/>
          <w:sz w:val="20"/>
          <w:szCs w:val="20"/>
        </w:rPr>
        <w:t>Currency internationalisation: lessons from the global financial crisis and prospects for the future in Asia and the Pacific</w:t>
      </w:r>
      <w:r w:rsidRPr="00045927">
        <w:rPr>
          <w:sz w:val="20"/>
          <w:szCs w:val="20"/>
        </w:rPr>
        <w:t>, Seoul, 19–20 March 2009.[</w:t>
      </w:r>
    </w:p>
    <w:p w:rsidR="00DF0276" w:rsidRPr="00045927" w:rsidRDefault="00DF0276" w:rsidP="00883AA6">
      <w:pPr>
        <w:tabs>
          <w:tab w:val="left" w:pos="0"/>
        </w:tabs>
        <w:suppressAutoHyphens/>
        <w:jc w:val="both"/>
        <w:rPr>
          <w:spacing w:val="-3"/>
          <w:sz w:val="20"/>
          <w:szCs w:val="20"/>
        </w:rPr>
      </w:pPr>
    </w:p>
    <w:p w:rsidR="00DF0276" w:rsidRPr="00045927" w:rsidRDefault="00DF0276" w:rsidP="00883AA6">
      <w:pPr>
        <w:tabs>
          <w:tab w:val="left" w:pos="0"/>
        </w:tabs>
        <w:suppressAutoHyphens/>
        <w:jc w:val="both"/>
        <w:rPr>
          <w:spacing w:val="-3"/>
          <w:sz w:val="20"/>
          <w:szCs w:val="20"/>
        </w:rPr>
      </w:pPr>
      <w:r w:rsidRPr="00045927">
        <w:rPr>
          <w:spacing w:val="-3"/>
          <w:sz w:val="20"/>
          <w:szCs w:val="20"/>
        </w:rPr>
        <w:t xml:space="preserve">Tavlas, George, 1993, "The Deutsche Mark as an International Currency," in Dilip Das, ed., </w:t>
      </w:r>
      <w:r w:rsidRPr="00045927">
        <w:rPr>
          <w:i/>
          <w:spacing w:val="-3"/>
          <w:sz w:val="20"/>
          <w:szCs w:val="20"/>
        </w:rPr>
        <w:t>International Finance: Contemporary Issues</w:t>
      </w:r>
      <w:r w:rsidRPr="00045927">
        <w:rPr>
          <w:spacing w:val="-3"/>
          <w:sz w:val="20"/>
          <w:szCs w:val="20"/>
        </w:rPr>
        <w:t>, Routledge, London, 566-579.</w:t>
      </w:r>
    </w:p>
    <w:p w:rsidR="00DF0276" w:rsidRPr="00045927" w:rsidRDefault="00DF0276" w:rsidP="00883AA6">
      <w:pPr>
        <w:tabs>
          <w:tab w:val="left" w:pos="0"/>
        </w:tabs>
        <w:suppressAutoHyphens/>
        <w:jc w:val="both"/>
        <w:rPr>
          <w:spacing w:val="-3"/>
          <w:sz w:val="20"/>
          <w:szCs w:val="20"/>
        </w:rPr>
      </w:pPr>
    </w:p>
    <w:p w:rsidR="00DF0276" w:rsidRPr="00045927" w:rsidRDefault="00DF0276" w:rsidP="00883AA6">
      <w:pPr>
        <w:tabs>
          <w:tab w:val="left" w:pos="0"/>
        </w:tabs>
        <w:suppressAutoHyphens/>
        <w:jc w:val="both"/>
        <w:rPr>
          <w:spacing w:val="-3"/>
          <w:sz w:val="20"/>
          <w:szCs w:val="20"/>
        </w:rPr>
      </w:pPr>
      <w:r w:rsidRPr="00045927">
        <w:rPr>
          <w:spacing w:val="-3"/>
          <w:sz w:val="20"/>
          <w:szCs w:val="20"/>
        </w:rPr>
        <w:t xml:space="preserve">Tavlas, George, and Yuzuru Ozeki, 1992, </w:t>
      </w:r>
      <w:r w:rsidRPr="00045927">
        <w:rPr>
          <w:i/>
          <w:spacing w:val="-3"/>
          <w:sz w:val="20"/>
          <w:szCs w:val="20"/>
        </w:rPr>
        <w:t>The Internationalization of Currencies: An Appraisal of the Japanese Yen</w:t>
      </w:r>
      <w:r w:rsidRPr="00045927">
        <w:rPr>
          <w:spacing w:val="-3"/>
          <w:sz w:val="20"/>
          <w:szCs w:val="20"/>
        </w:rPr>
        <w:t>, IMF Occasional Paper No. 90.  International Monetary Fund: Washington, D.C.</w:t>
      </w:r>
    </w:p>
    <w:p w:rsidR="00DF0276" w:rsidRPr="00045927" w:rsidRDefault="00DF0276" w:rsidP="00883AA6">
      <w:pPr>
        <w:tabs>
          <w:tab w:val="left" w:pos="0"/>
        </w:tabs>
        <w:suppressAutoHyphens/>
        <w:jc w:val="both"/>
        <w:rPr>
          <w:spacing w:val="-3"/>
          <w:sz w:val="20"/>
          <w:szCs w:val="20"/>
        </w:rPr>
      </w:pPr>
    </w:p>
    <w:p w:rsidR="00DF0276" w:rsidRPr="00045927" w:rsidRDefault="00DF0276" w:rsidP="00883AA6">
      <w:pPr>
        <w:suppressAutoHyphens/>
        <w:jc w:val="both"/>
        <w:rPr>
          <w:spacing w:val="-3"/>
          <w:sz w:val="20"/>
          <w:szCs w:val="20"/>
        </w:rPr>
      </w:pPr>
      <w:r w:rsidRPr="00045927">
        <w:rPr>
          <w:spacing w:val="-3"/>
          <w:sz w:val="20"/>
          <w:szCs w:val="20"/>
        </w:rPr>
        <w:t xml:space="preserve">Triffin, Robert, 1960, </w:t>
      </w:r>
      <w:r w:rsidRPr="00045927">
        <w:rPr>
          <w:i/>
          <w:spacing w:val="-3"/>
          <w:sz w:val="20"/>
          <w:szCs w:val="20"/>
        </w:rPr>
        <w:t>Gold and the Dollar Crisis</w:t>
      </w:r>
      <w:r w:rsidRPr="00045927">
        <w:rPr>
          <w:spacing w:val="-3"/>
          <w:sz w:val="20"/>
          <w:szCs w:val="20"/>
        </w:rPr>
        <w:t>, Yale University Press, New Haven.</w:t>
      </w:r>
    </w:p>
    <w:p w:rsidR="00DF0276" w:rsidRDefault="00DF0276" w:rsidP="00317DF8">
      <w:pPr>
        <w:tabs>
          <w:tab w:val="left" w:pos="0"/>
        </w:tabs>
        <w:suppressAutoHyphens/>
        <w:jc w:val="both"/>
        <w:rPr>
          <w:spacing w:val="-3"/>
        </w:rPr>
      </w:pPr>
      <w:r>
        <w:rPr>
          <w:spacing w:val="-3"/>
          <w:sz w:val="20"/>
          <w:szCs w:val="20"/>
        </w:rPr>
        <w:br w:type="page"/>
      </w:r>
    </w:p>
    <w:p w:rsidR="00DF0276" w:rsidRPr="00CF2985" w:rsidRDefault="00DF0276" w:rsidP="00317DF8">
      <w:pPr>
        <w:pStyle w:val="BodyText"/>
        <w:rPr>
          <w:b/>
          <w:sz w:val="44"/>
          <w:szCs w:val="44"/>
        </w:rPr>
      </w:pPr>
      <w:r w:rsidRPr="0061230E">
        <w:rPr>
          <w:b/>
          <w:sz w:val="44"/>
          <w:szCs w:val="44"/>
        </w:rPr>
        <w:lastRenderedPageBreak/>
        <w:t>Append</w:t>
      </w:r>
      <w:r>
        <w:rPr>
          <w:b/>
          <w:sz w:val="44"/>
          <w:szCs w:val="44"/>
        </w:rPr>
        <w:t>ix 1</w:t>
      </w:r>
      <w:r w:rsidRPr="0061230E">
        <w:rPr>
          <w:b/>
          <w:sz w:val="44"/>
          <w:szCs w:val="44"/>
        </w:rPr>
        <w:t xml:space="preserve"> </w:t>
      </w:r>
      <w:r>
        <w:rPr>
          <w:b/>
          <w:sz w:val="44"/>
          <w:szCs w:val="44"/>
        </w:rPr>
        <w:br/>
      </w:r>
      <w:r>
        <w:rPr>
          <w:sz w:val="28"/>
          <w:szCs w:val="28"/>
        </w:rPr>
        <w:t xml:space="preserve"> </w:t>
      </w:r>
      <w:r>
        <w:rPr>
          <w:b/>
          <w:i/>
          <w:sz w:val="28"/>
          <w:szCs w:val="28"/>
        </w:rPr>
        <w:t>International Currency Concepts</w:t>
      </w:r>
    </w:p>
    <w:p w:rsidR="00DF0276" w:rsidRDefault="00DF0276" w:rsidP="00317DF8">
      <w:pPr>
        <w:pStyle w:val="BodyText"/>
      </w:pPr>
      <w:r>
        <w:tab/>
        <w:t>This appendix reviews some basic concepts regarding international currency status.</w:t>
      </w:r>
      <w:r>
        <w:rPr>
          <w:rStyle w:val="FootnoteReference"/>
        </w:rPr>
        <w:footnoteReference w:id="42"/>
      </w:r>
    </w:p>
    <w:p w:rsidR="00DF0276" w:rsidRDefault="00DF0276" w:rsidP="00317DF8">
      <w:pPr>
        <w:pStyle w:val="BodyText"/>
      </w:pPr>
      <w:r w:rsidRPr="00143C8D">
        <w:rPr>
          <w:b/>
          <w:i/>
        </w:rPr>
        <w:t>Definitions.</w:t>
      </w:r>
      <w:r>
        <w:t xml:space="preserve">   </w:t>
      </w:r>
    </w:p>
    <w:p w:rsidR="00DF0276" w:rsidRDefault="00DF0276" w:rsidP="00317DF8">
      <w:pPr>
        <w:pStyle w:val="BodyText"/>
      </w:pPr>
      <w:r>
        <w:tab/>
        <w:t xml:space="preserve">An international currency is one that is used outside its home country.   Reserve currency status is the main measure used in this paper, but it is just one of a number of possible measures of international use.   The others can be neatly summarized by means of a simple 2x3 table originally introduced by Peter Kenen and Benjamin Cohen. (See Table A.)  The classic three functions of money domestically -- store of value, medium of exchange and unit of account – can be transferred to the level of international money.   Under each function, there are important examples of how government authorities and private actors sometimes choose to use a major international currency that is not their own.  The main focus of this paper appears in the first cell, the decision of central banks to hold their reserves in the form of particular currencies.   But other possible criteria of an international currency also appear in the table: currency substitution (e.g., the circulation of dollar currency in Latin America and elsewhere), invoicing foreign trade and denominating international financial flows, pegs for smaller countries' currencies, and foreign exchange trading. </w:t>
      </w:r>
    </w:p>
    <w:p w:rsidR="00DF0276" w:rsidRDefault="00DF0276" w:rsidP="00317DF8">
      <w:pPr>
        <w:pStyle w:val="BodyText"/>
      </w:pPr>
      <w:r>
        <w:tab/>
        <w:t>Studies of currency internationalization often focus on reserve currency holdings for three reasons.   First, annual data for all relevant currencies are available over the last 40 years or more;   the other international roles that appear in Table A are nowhere near as comprehensively quantifiable.  Second, reserve currency holdings are most relevant to the important questions, such as whether the United States will continue to be able to finance its current account deficit.  Third, the various roles of an international currency are heavily interrelated, causally and statistically.</w:t>
      </w:r>
    </w:p>
    <w:p w:rsidR="00DF0276" w:rsidRDefault="00DF0276" w:rsidP="00317DF8">
      <w:pPr>
        <w:pStyle w:val="BodyText"/>
      </w:pPr>
    </w:p>
    <w:p w:rsidR="00DF0276" w:rsidRDefault="00DF0276" w:rsidP="00317DF8">
      <w:pPr>
        <w:pStyle w:val="BodyText"/>
      </w:pPr>
      <w:r>
        <w:t>Table A: Roles of an International Currency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52"/>
        <w:gridCol w:w="2952"/>
        <w:gridCol w:w="2952"/>
      </w:tblGrid>
      <w:tr w:rsidR="00DF0276" w:rsidTr="00317DF8">
        <w:tc>
          <w:tcPr>
            <w:tcW w:w="2952" w:type="dxa"/>
          </w:tcPr>
          <w:p w:rsidR="00DF0276" w:rsidRDefault="00DF0276" w:rsidP="00317DF8">
            <w:pPr>
              <w:pStyle w:val="BodyText"/>
              <w:rPr>
                <w:i/>
              </w:rPr>
            </w:pPr>
            <w:r>
              <w:rPr>
                <w:i/>
              </w:rPr>
              <w:t>Function of money:</w:t>
            </w:r>
          </w:p>
        </w:tc>
        <w:tc>
          <w:tcPr>
            <w:tcW w:w="2952" w:type="dxa"/>
          </w:tcPr>
          <w:p w:rsidR="00DF0276" w:rsidRDefault="00DF0276" w:rsidP="00317DF8">
            <w:pPr>
              <w:pStyle w:val="BodyText"/>
              <w:rPr>
                <w:b/>
                <w:i/>
              </w:rPr>
            </w:pPr>
            <w:r>
              <w:rPr>
                <w:b/>
                <w:i/>
              </w:rPr>
              <w:t>Governments</w:t>
            </w:r>
          </w:p>
        </w:tc>
        <w:tc>
          <w:tcPr>
            <w:tcW w:w="2952" w:type="dxa"/>
          </w:tcPr>
          <w:p w:rsidR="00DF0276" w:rsidRDefault="00DF0276" w:rsidP="00317DF8">
            <w:pPr>
              <w:pStyle w:val="BodyText"/>
              <w:rPr>
                <w:b/>
                <w:i/>
              </w:rPr>
            </w:pPr>
            <w:r>
              <w:rPr>
                <w:b/>
                <w:i/>
              </w:rPr>
              <w:t>Private actors</w:t>
            </w:r>
          </w:p>
          <w:p w:rsidR="00DF0276" w:rsidRDefault="00DF0276" w:rsidP="00317DF8">
            <w:pPr>
              <w:pStyle w:val="BodyText"/>
              <w:rPr>
                <w:b/>
                <w:i/>
              </w:rPr>
            </w:pPr>
          </w:p>
        </w:tc>
      </w:tr>
      <w:tr w:rsidR="00DF0276" w:rsidTr="00317DF8">
        <w:tc>
          <w:tcPr>
            <w:tcW w:w="2952" w:type="dxa"/>
          </w:tcPr>
          <w:p w:rsidR="00DF0276" w:rsidRDefault="00DF0276" w:rsidP="00317DF8">
            <w:pPr>
              <w:pStyle w:val="BodyText"/>
              <w:rPr>
                <w:i/>
              </w:rPr>
            </w:pPr>
            <w:r>
              <w:rPr>
                <w:i/>
              </w:rPr>
              <w:t>Store of value</w:t>
            </w:r>
          </w:p>
        </w:tc>
        <w:tc>
          <w:tcPr>
            <w:tcW w:w="2952" w:type="dxa"/>
          </w:tcPr>
          <w:p w:rsidR="00DF0276" w:rsidRDefault="00DF0276" w:rsidP="00317DF8">
            <w:pPr>
              <w:pStyle w:val="BodyText"/>
            </w:pPr>
            <w:r>
              <w:t>International reserves</w:t>
            </w:r>
          </w:p>
        </w:tc>
        <w:tc>
          <w:tcPr>
            <w:tcW w:w="2952" w:type="dxa"/>
          </w:tcPr>
          <w:p w:rsidR="00DF0276" w:rsidRDefault="00DF0276" w:rsidP="00317DF8">
            <w:pPr>
              <w:pStyle w:val="BodyText"/>
            </w:pPr>
            <w:r>
              <w:t>Currency substitution</w:t>
            </w:r>
          </w:p>
          <w:p w:rsidR="00DF0276" w:rsidRDefault="00DF0276" w:rsidP="00317DF8">
            <w:pPr>
              <w:pStyle w:val="BodyText"/>
            </w:pPr>
            <w:r>
              <w:t>(private dollarization)</w:t>
            </w:r>
          </w:p>
        </w:tc>
      </w:tr>
      <w:tr w:rsidR="00DF0276" w:rsidTr="00317DF8">
        <w:tc>
          <w:tcPr>
            <w:tcW w:w="2952" w:type="dxa"/>
          </w:tcPr>
          <w:p w:rsidR="00DF0276" w:rsidRDefault="00DF0276" w:rsidP="00317DF8">
            <w:pPr>
              <w:pStyle w:val="BodyText"/>
              <w:rPr>
                <w:i/>
              </w:rPr>
            </w:pPr>
            <w:r>
              <w:rPr>
                <w:i/>
              </w:rPr>
              <w:t>Medium of exchange</w:t>
            </w:r>
          </w:p>
        </w:tc>
        <w:tc>
          <w:tcPr>
            <w:tcW w:w="2952" w:type="dxa"/>
          </w:tcPr>
          <w:p w:rsidR="00DF0276" w:rsidRDefault="00DF0276" w:rsidP="00317DF8">
            <w:pPr>
              <w:pStyle w:val="BodyText"/>
            </w:pPr>
            <w:r>
              <w:t>Vehicle currency for foreign exchange intervention</w:t>
            </w:r>
          </w:p>
        </w:tc>
        <w:tc>
          <w:tcPr>
            <w:tcW w:w="2952" w:type="dxa"/>
          </w:tcPr>
          <w:p w:rsidR="00DF0276" w:rsidRDefault="00DF0276" w:rsidP="00317DF8">
            <w:pPr>
              <w:pStyle w:val="BodyText"/>
            </w:pPr>
            <w:r>
              <w:t xml:space="preserve">Invoicing trade and </w:t>
            </w:r>
          </w:p>
          <w:p w:rsidR="00DF0276" w:rsidRDefault="00DF0276" w:rsidP="00317DF8">
            <w:pPr>
              <w:pStyle w:val="BodyText"/>
            </w:pPr>
            <w:r>
              <w:t>financial transactions</w:t>
            </w:r>
          </w:p>
        </w:tc>
      </w:tr>
      <w:tr w:rsidR="00DF0276" w:rsidTr="00317DF8">
        <w:tc>
          <w:tcPr>
            <w:tcW w:w="2952" w:type="dxa"/>
          </w:tcPr>
          <w:p w:rsidR="00DF0276" w:rsidRDefault="00DF0276" w:rsidP="00317DF8">
            <w:pPr>
              <w:pStyle w:val="BodyText"/>
              <w:rPr>
                <w:i/>
              </w:rPr>
            </w:pPr>
            <w:r>
              <w:rPr>
                <w:i/>
              </w:rPr>
              <w:t>Unit of account</w:t>
            </w:r>
          </w:p>
        </w:tc>
        <w:tc>
          <w:tcPr>
            <w:tcW w:w="2952" w:type="dxa"/>
          </w:tcPr>
          <w:p w:rsidR="00DF0276" w:rsidRDefault="00DF0276" w:rsidP="00317DF8">
            <w:pPr>
              <w:pStyle w:val="BodyText"/>
            </w:pPr>
            <w:r>
              <w:t xml:space="preserve">Anchor for pegging local </w:t>
            </w:r>
            <w:r>
              <w:lastRenderedPageBreak/>
              <w:t>currency</w:t>
            </w:r>
          </w:p>
        </w:tc>
        <w:tc>
          <w:tcPr>
            <w:tcW w:w="2952" w:type="dxa"/>
          </w:tcPr>
          <w:p w:rsidR="00DF0276" w:rsidRDefault="00DF0276" w:rsidP="00317DF8">
            <w:pPr>
              <w:pStyle w:val="BodyText"/>
            </w:pPr>
            <w:r>
              <w:lastRenderedPageBreak/>
              <w:t>Denominating trade and</w:t>
            </w:r>
          </w:p>
          <w:p w:rsidR="00DF0276" w:rsidRDefault="00DF0276" w:rsidP="00317DF8">
            <w:pPr>
              <w:pStyle w:val="BodyText"/>
            </w:pPr>
            <w:r>
              <w:lastRenderedPageBreak/>
              <w:t>financial transactions</w:t>
            </w:r>
          </w:p>
        </w:tc>
      </w:tr>
    </w:tbl>
    <w:p w:rsidR="00DF0276" w:rsidRDefault="00DF0276" w:rsidP="00317DF8">
      <w:pPr>
        <w:pStyle w:val="BodyText"/>
      </w:pPr>
      <w:r>
        <w:lastRenderedPageBreak/>
        <w:t xml:space="preserve"> </w:t>
      </w:r>
    </w:p>
    <w:p w:rsidR="00DF0276" w:rsidRDefault="00DF0276" w:rsidP="00317DF8">
      <w:pPr>
        <w:tabs>
          <w:tab w:val="left" w:pos="0"/>
        </w:tabs>
        <w:suppressAutoHyphens/>
        <w:jc w:val="both"/>
        <w:rPr>
          <w:spacing w:val="-3"/>
        </w:rPr>
      </w:pPr>
    </w:p>
    <w:p w:rsidR="00DF0276" w:rsidRDefault="00DF0276" w:rsidP="00317DF8">
      <w:pPr>
        <w:tabs>
          <w:tab w:val="left" w:pos="0"/>
        </w:tabs>
        <w:suppressAutoHyphens/>
        <w:jc w:val="both"/>
        <w:rPr>
          <w:b/>
          <w:i/>
          <w:spacing w:val="-3"/>
        </w:rPr>
      </w:pPr>
      <w:r>
        <w:rPr>
          <w:b/>
          <w:i/>
          <w:spacing w:val="-3"/>
        </w:rPr>
        <w:t>Should we care about international currency rankings?</w:t>
      </w:r>
    </w:p>
    <w:p w:rsidR="00DF0276" w:rsidRDefault="00DF0276" w:rsidP="00317DF8">
      <w:pPr>
        <w:tabs>
          <w:tab w:val="left" w:pos="0"/>
        </w:tabs>
        <w:suppressAutoHyphens/>
        <w:jc w:val="both"/>
        <w:rPr>
          <w:spacing w:val="-3"/>
        </w:rPr>
      </w:pPr>
      <w:r>
        <w:rPr>
          <w:spacing w:val="-3"/>
        </w:rPr>
        <w:tab/>
        <w:t>Is the question important of international currency status important?  It has  fewer direct implications for the real economy than does the currency’s exchange rate.  But it is important nevertheless.  To begin with, the exchange rate and international currency status have always been causally inter-related [notwithstanding some periods such as the early 1990s when they have moved in opposite directions].  But the topic has been made urgent by the question of whether international imbalances, specifically the US current account deficit and Chinese current account surplus, are sustainable.</w:t>
      </w:r>
    </w:p>
    <w:p w:rsidR="00DF0276" w:rsidRDefault="00DF0276" w:rsidP="00317DF8">
      <w:pPr>
        <w:suppressAutoHyphens/>
        <w:spacing w:line="480" w:lineRule="atLeast"/>
        <w:jc w:val="both"/>
        <w:rPr>
          <w:spacing w:val="-3"/>
        </w:rPr>
      </w:pPr>
      <w:r>
        <w:rPr>
          <w:spacing w:val="-3"/>
        </w:rPr>
        <w:t>A</w:t>
      </w:r>
      <w:r>
        <w:rPr>
          <w:spacing w:val="-3"/>
          <w:sz w:val="18"/>
        </w:rPr>
        <w:t>DVANTAGES OF HAVING AN INTERNATIONAL CURRENCY</w:t>
      </w:r>
    </w:p>
    <w:p w:rsidR="00DF0276" w:rsidRDefault="00DF0276" w:rsidP="00317DF8">
      <w:pPr>
        <w:suppressAutoHyphens/>
        <w:jc w:val="both"/>
        <w:rPr>
          <w:spacing w:val="-3"/>
        </w:rPr>
      </w:pPr>
      <w:r>
        <w:rPr>
          <w:spacing w:val="-3"/>
        </w:rPr>
        <w:t xml:space="preserve">     One can think of four advantages to a country of having its currency play a large role in the world.</w:t>
      </w:r>
    </w:p>
    <w:p w:rsidR="00DF0276" w:rsidRPr="00E41A7C" w:rsidRDefault="00DF0276" w:rsidP="00317DF8">
      <w:r>
        <w:rPr>
          <w:spacing w:val="-3"/>
        </w:rPr>
        <w:t xml:space="preserve">     (1) </w:t>
      </w:r>
      <w:r>
        <w:rPr>
          <w:spacing w:val="-3"/>
          <w:u w:val="single"/>
        </w:rPr>
        <w:t>Convenience for the country's residents</w:t>
      </w:r>
      <w:r>
        <w:rPr>
          <w:spacing w:val="-3"/>
        </w:rPr>
        <w:t>.   It is certainly more convenient for a country's exporters, importers, borrowers and lenders to be able to deal in its own currency than foreign currencies.  Doing so reduces transactions costs as well as foreign exchange risk.</w:t>
      </w:r>
      <w:r>
        <w:rPr>
          <w:rStyle w:val="FootnoteReference"/>
          <w:spacing w:val="-3"/>
        </w:rPr>
        <w:footnoteReference w:id="43"/>
      </w:r>
      <w:r>
        <w:rPr>
          <w:spacing w:val="-3"/>
        </w:rPr>
        <w:t xml:space="preserve">  The global use of the dollar, as with the global use of the English language, is a natural advantage that American businessmen tend to take for granted.  </w:t>
      </w:r>
      <w:r>
        <w:rPr>
          <w:b/>
        </w:rPr>
        <w:t xml:space="preserve"> </w:t>
      </w:r>
    </w:p>
    <w:p w:rsidR="00DF0276" w:rsidRDefault="00DF0276" w:rsidP="00317DF8">
      <w:pPr>
        <w:suppressAutoHyphens/>
        <w:jc w:val="both"/>
        <w:rPr>
          <w:spacing w:val="-3"/>
        </w:rPr>
      </w:pPr>
      <w:r>
        <w:rPr>
          <w:spacing w:val="-3"/>
        </w:rPr>
        <w:t xml:space="preserve">     (2) </w:t>
      </w:r>
      <w:r>
        <w:rPr>
          <w:spacing w:val="-3"/>
          <w:u w:val="single"/>
        </w:rPr>
        <w:t>More business for the country's banks and other financial institutions</w:t>
      </w:r>
      <w:r>
        <w:rPr>
          <w:spacing w:val="-3"/>
        </w:rPr>
        <w:t>.  There need be no firm connection between the currency in which banking is conducted and the nationality of the banks (or between the nationalities of savers and borrowers and the nationality of the intermediating bank).  Nevertheless, it stands to reason that U.S. banks have a comparative advantage at dealing in dollars, British banks at dealing in pounds, Chinese banks at dealing in renminbi, etc.</w:t>
      </w:r>
    </w:p>
    <w:p w:rsidR="00DF0276" w:rsidRPr="009F578A" w:rsidRDefault="00DF0276" w:rsidP="00317DF8">
      <w:r>
        <w:rPr>
          <w:spacing w:val="-3"/>
        </w:rPr>
        <w:t xml:space="preserve">     (3) </w:t>
      </w:r>
      <w:r>
        <w:rPr>
          <w:spacing w:val="-3"/>
          <w:u w:val="single"/>
        </w:rPr>
        <w:t>Seignorage</w:t>
      </w:r>
      <w:r>
        <w:rPr>
          <w:spacing w:val="-3"/>
        </w:rPr>
        <w:t xml:space="preserve">. This is perhaps the most well-known advantage of having other countries hold one's currency.  They must give up real goods and services, or ownership of the real capital stock, in order to add to the dollars that they use.   </w:t>
      </w:r>
      <w:r>
        <w:rPr>
          <w:color w:val="000000"/>
        </w:rPr>
        <w:t>We are not necessarily talking about seignorage narrowly defined (foreign holdings of US currency, which doesn’t pay interest).  More important is the US ability to run up huge debts denominated in its own currency at low interest rates.  The US has consistently earned more on it investments overseas than it has had to pay on its debts, a differential of about 1 per cent per annum according to Cline (2005, p. 45).</w:t>
      </w:r>
      <w:r>
        <w:rPr>
          <w:rStyle w:val="FootnoteReference"/>
          <w:color w:val="000000"/>
        </w:rPr>
        <w:footnoteReference w:id="44"/>
      </w:r>
      <w:r>
        <w:rPr>
          <w:color w:val="000000"/>
        </w:rPr>
        <w:t xml:space="preserve">  Possibly this American role as the world's banker (taking short-term liquid deposits, and lending long term in riskier higher-return assets) would survive the loss of the dollar as the leading international currency.   But it seems possible that the loss of one would lead to the loss of the other.</w:t>
      </w:r>
    </w:p>
    <w:p w:rsidR="00DF0276" w:rsidRDefault="00DF0276" w:rsidP="00317DF8">
      <w:pPr>
        <w:suppressAutoHyphens/>
        <w:jc w:val="both"/>
        <w:rPr>
          <w:spacing w:val="-3"/>
        </w:rPr>
      </w:pPr>
      <w:r>
        <w:rPr>
          <w:spacing w:val="-3"/>
        </w:rPr>
        <w:lastRenderedPageBreak/>
        <w:t xml:space="preserve">      (4) </w:t>
      </w:r>
      <w:r>
        <w:rPr>
          <w:spacing w:val="-3"/>
          <w:u w:val="single"/>
        </w:rPr>
        <w:t>Political power and prestige</w:t>
      </w:r>
      <w:r>
        <w:rPr>
          <w:spacing w:val="-3"/>
        </w:rPr>
        <w:t xml:space="preserve">.  Britain's gradual loss of key currency status was simultaneous with its gradual loss of political and military pre-eminence.  As with most of the other advantages mentioned above, causality here flows in both directions.   </w:t>
      </w:r>
    </w:p>
    <w:p w:rsidR="00DF0276" w:rsidRDefault="00DF0276" w:rsidP="00317DF8">
      <w:pPr>
        <w:suppressAutoHyphens/>
        <w:jc w:val="both"/>
        <w:rPr>
          <w:spacing w:val="-3"/>
        </w:rPr>
      </w:pPr>
    </w:p>
    <w:p w:rsidR="00DF0276" w:rsidRDefault="00DF0276" w:rsidP="00317DF8">
      <w:pPr>
        <w:suppressAutoHyphens/>
        <w:jc w:val="both"/>
        <w:rPr>
          <w:spacing w:val="-3"/>
          <w:sz w:val="18"/>
        </w:rPr>
      </w:pPr>
      <w:r>
        <w:rPr>
          <w:spacing w:val="-3"/>
          <w:sz w:val="18"/>
        </w:rPr>
        <w:t>DISADVANTAGES OF HAVING AN INTERNATIONAL CURRENCY</w:t>
      </w:r>
    </w:p>
    <w:p w:rsidR="00DF0276" w:rsidRDefault="00DF0276" w:rsidP="00317DF8">
      <w:pPr>
        <w:suppressAutoHyphens/>
        <w:jc w:val="both"/>
        <w:rPr>
          <w:spacing w:val="-3"/>
        </w:rPr>
      </w:pPr>
    </w:p>
    <w:p w:rsidR="00DF0276" w:rsidRDefault="00DF0276" w:rsidP="00317DF8">
      <w:pPr>
        <w:suppressAutoHyphens/>
        <w:jc w:val="both"/>
        <w:rPr>
          <w:spacing w:val="-3"/>
        </w:rPr>
      </w:pPr>
      <w:r>
        <w:rPr>
          <w:spacing w:val="-3"/>
        </w:rPr>
        <w:t xml:space="preserve">    One can think of three disadvantages from the viewpoint of a key-currency country.  They explain why Japan and Germany were in the past reluctant to have their currencies held and used widely, and why China worries about the implications of beginning to internationalize its currency.</w:t>
      </w:r>
    </w:p>
    <w:p w:rsidR="00DF0276" w:rsidRDefault="00DF0276" w:rsidP="00317DF8">
      <w:pPr>
        <w:suppressAutoHyphens/>
        <w:jc w:val="both"/>
        <w:rPr>
          <w:spacing w:val="-3"/>
        </w:rPr>
      </w:pPr>
      <w:r>
        <w:rPr>
          <w:spacing w:val="-3"/>
        </w:rPr>
        <w:t xml:space="preserve">    (1) </w:t>
      </w:r>
      <w:r>
        <w:rPr>
          <w:spacing w:val="-3"/>
          <w:u w:val="single"/>
        </w:rPr>
        <w:t>Larger fluctuations in demand for the currency</w:t>
      </w:r>
      <w:r>
        <w:rPr>
          <w:spacing w:val="-3"/>
        </w:rPr>
        <w:t xml:space="preserve">.  It is not automatically clear that having one's currency held by a wide variety of people around the world would result in greater variability of demand.  Such instability is probably more likely to follow from an increase in the degree of capital mobility, than from key currency status </w:t>
      </w:r>
      <w:r>
        <w:rPr>
          <w:i/>
          <w:spacing w:val="-3"/>
        </w:rPr>
        <w:t>per se</w:t>
      </w:r>
      <w:r>
        <w:rPr>
          <w:spacing w:val="-3"/>
        </w:rPr>
        <w:t xml:space="preserve">.  Nevertheless, the two are related.  Central banks are sometimes concerned that internationalization will make it more difficult to control the money stock.  This problem need not arise if they do not intervene in the foreign exchange market.  But the central bank may view letting fluctuations in demand for the currency be reflected in the exchange rate as being just as undesirable as letting them be reflected in the money supply.    </w:t>
      </w:r>
    </w:p>
    <w:p w:rsidR="00DF0276" w:rsidRDefault="00DF0276" w:rsidP="00317DF8">
      <w:pPr>
        <w:suppressAutoHyphens/>
        <w:jc w:val="both"/>
        <w:rPr>
          <w:spacing w:val="-3"/>
        </w:rPr>
      </w:pPr>
      <w:r>
        <w:rPr>
          <w:spacing w:val="-3"/>
        </w:rPr>
        <w:t xml:space="preserve">     (2) </w:t>
      </w:r>
      <w:r>
        <w:rPr>
          <w:spacing w:val="-3"/>
          <w:u w:val="single"/>
        </w:rPr>
        <w:t>An increase in the average demand for the currency</w:t>
      </w:r>
      <w:r>
        <w:rPr>
          <w:spacing w:val="-3"/>
        </w:rPr>
        <w:t>.  This is the other side of seignorage.  In the 1960s and 1970s, the Japanese and German governments were particularly worried about the possibility that if assets were made available to foreign residents, an inflow of capital would cause the currency to appreciate and render exporters less competitive on world markets.  Again, this is also China’s problem today.</w:t>
      </w:r>
    </w:p>
    <w:p w:rsidR="00DF0276" w:rsidRDefault="00DF0276" w:rsidP="00317DF8">
      <w:pPr>
        <w:suppressAutoHyphens/>
        <w:jc w:val="both"/>
        <w:rPr>
          <w:spacing w:val="-3"/>
        </w:rPr>
      </w:pPr>
      <w:r>
        <w:rPr>
          <w:spacing w:val="-3"/>
        </w:rPr>
        <w:t xml:space="preserve">     (3)  </w:t>
      </w:r>
      <w:r>
        <w:rPr>
          <w:spacing w:val="-3"/>
          <w:u w:val="single"/>
        </w:rPr>
        <w:t>Burden of responsibility</w:t>
      </w:r>
      <w:r>
        <w:rPr>
          <w:spacing w:val="-3"/>
        </w:rPr>
        <w:t>.   The monetary authorities in the country of a leading international currency may be called on to take into account the effects of their actions on world markets, rather than being free to devote monetary policy solely to domestic objectives.   The Federal Reserve probably cut interest rates more than it otherwise would have in the second half of 1982, and again in late 1998, in response to international debt problems in Latin America and elsewhere.   At times Argentina or others have considered officially dollarizing;  reluctance to accept any burden of responsibility, even if only implicit, explains the lack of enthusiasm from US authorities.</w:t>
      </w:r>
    </w:p>
    <w:p w:rsidR="00DF0276" w:rsidRDefault="00DF0276" w:rsidP="00317DF8">
      <w:pPr>
        <w:tabs>
          <w:tab w:val="left" w:pos="0"/>
        </w:tabs>
        <w:suppressAutoHyphens/>
        <w:jc w:val="both"/>
        <w:rPr>
          <w:spacing w:val="-3"/>
        </w:rPr>
      </w:pPr>
    </w:p>
    <w:p w:rsidR="00DF0276" w:rsidRPr="0061230E" w:rsidRDefault="00DF0276" w:rsidP="00317DF8">
      <w:pPr>
        <w:tabs>
          <w:tab w:val="left" w:pos="0"/>
        </w:tabs>
        <w:suppressAutoHyphens/>
        <w:jc w:val="both"/>
        <w:rPr>
          <w:spacing w:val="-3"/>
          <w:sz w:val="18"/>
          <w:szCs w:val="18"/>
        </w:rPr>
      </w:pPr>
      <w:r w:rsidRPr="0061230E">
        <w:rPr>
          <w:spacing w:val="-3"/>
          <w:sz w:val="18"/>
          <w:szCs w:val="18"/>
        </w:rPr>
        <w:t>WHAT DETERMINES WHETHER A CURRENCY IS SUITED TO INTERNATIONAL STATUS?</w:t>
      </w:r>
    </w:p>
    <w:p w:rsidR="00DF0276" w:rsidRDefault="00DF0276" w:rsidP="00317DF8">
      <w:pPr>
        <w:tabs>
          <w:tab w:val="left" w:pos="0"/>
        </w:tabs>
        <w:suppressAutoHyphens/>
        <w:jc w:val="both"/>
        <w:rPr>
          <w:spacing w:val="-3"/>
        </w:rPr>
      </w:pPr>
      <w:r>
        <w:rPr>
          <w:spacing w:val="-3"/>
        </w:rPr>
        <w:t xml:space="preserve">The literature on what determines reserve currency status is fairly well-established, if often lacking in quantification.    Three key points.  </w:t>
      </w:r>
    </w:p>
    <w:p w:rsidR="00DF0276" w:rsidRDefault="00DF0276" w:rsidP="00317DF8">
      <w:pPr>
        <w:tabs>
          <w:tab w:val="left" w:pos="0"/>
        </w:tabs>
        <w:suppressAutoHyphens/>
        <w:jc w:val="both"/>
        <w:rPr>
          <w:spacing w:val="-3"/>
        </w:rPr>
      </w:pPr>
      <w:r>
        <w:rPr>
          <w:spacing w:val="-3"/>
        </w:rPr>
        <w:tab/>
        <w:t xml:space="preserve">First: </w:t>
      </w:r>
      <w:r>
        <w:rPr>
          <w:i/>
          <w:spacing w:val="-3"/>
        </w:rPr>
        <w:t>fundamental determinants.</w:t>
      </w:r>
      <w:r>
        <w:rPr>
          <w:spacing w:val="-3"/>
        </w:rPr>
        <w:t xml:space="preserve">  There is a list of determining factors, which appears below.  The most important is the size of the country or region in which the currency is indigenously used, but there are others as well.  Second: Network externalities or economies of scale and scope are important.   Each country is more likely to use whatever currency is used by others.  Thus international currency use is not linear in the determinants.  Rather, there may be a </w:t>
      </w:r>
      <w:r>
        <w:rPr>
          <w:i/>
          <w:spacing w:val="-3"/>
        </w:rPr>
        <w:t>tipping phenomenon</w:t>
      </w:r>
      <w:r>
        <w:rPr>
          <w:spacing w:val="-3"/>
        </w:rPr>
        <w:t xml:space="preserve">: if one currency were to draw even and surpass another, the derivative of reserve currency share with respect to its determining variables – the change in currency use corresponding to a given .01 increase in economic fundamentals -- would be higher in the vicinity of 50-50 than in the vicinity of zero or in the range when </w:t>
      </w:r>
      <w:r>
        <w:rPr>
          <w:spacing w:val="-3"/>
        </w:rPr>
        <w:lastRenderedPageBreak/>
        <w:t>the leading currency is unchallenged.   In that sense the switch happens rapidly.</w:t>
      </w:r>
      <w:r>
        <w:rPr>
          <w:rStyle w:val="FootnoteReference"/>
          <w:spacing w:val="-3"/>
        </w:rPr>
        <w:footnoteReference w:id="45"/>
      </w:r>
      <w:r>
        <w:rPr>
          <w:spacing w:val="-3"/>
        </w:rPr>
        <w:t xml:space="preserve">  Third: in the chronological sense, however, it has usually been argued that the switch happens slowly. Whatever currency has been used in the past will continue to be used in the future.   Thus </w:t>
      </w:r>
      <w:r>
        <w:rPr>
          <w:i/>
          <w:spacing w:val="-3"/>
        </w:rPr>
        <w:t>inertia</w:t>
      </w:r>
      <w:r>
        <w:rPr>
          <w:spacing w:val="-3"/>
        </w:rPr>
        <w:t xml:space="preserve"> is great.</w:t>
      </w:r>
    </w:p>
    <w:p w:rsidR="00DF0276" w:rsidRDefault="00DF0276" w:rsidP="00317DF8">
      <w:pPr>
        <w:tabs>
          <w:tab w:val="left" w:pos="0"/>
        </w:tabs>
        <w:suppressAutoHyphens/>
        <w:jc w:val="both"/>
        <w:rPr>
          <w:spacing w:val="-3"/>
        </w:rPr>
      </w:pPr>
    </w:p>
    <w:p w:rsidR="00DF0276" w:rsidRPr="00CF2985" w:rsidRDefault="00DF0276" w:rsidP="00317DF8">
      <w:pPr>
        <w:pStyle w:val="Caption"/>
        <w:keepNext/>
        <w:jc w:val="center"/>
      </w:pPr>
      <w:r>
        <w:t>Figure 1A - US and UK exports 1900-1957</w:t>
      </w:r>
    </w:p>
    <w:p w:rsidR="00DF0276" w:rsidRDefault="00E96D54" w:rsidP="00317DF8">
      <w:pPr>
        <w:tabs>
          <w:tab w:val="left" w:pos="0"/>
        </w:tabs>
        <w:suppressAutoHyphens/>
        <w:jc w:val="both"/>
      </w:pPr>
      <w:r>
        <w:rPr>
          <w:noProof/>
        </w:rPr>
        <w:drawing>
          <wp:inline distT="0" distB="0" distL="0" distR="0">
            <wp:extent cx="4714875" cy="2066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4714875" cy="2066925"/>
                    </a:xfrm>
                    <a:prstGeom prst="rect">
                      <a:avLst/>
                    </a:prstGeom>
                    <a:noFill/>
                    <a:ln w="9525">
                      <a:noFill/>
                      <a:miter lim="800000"/>
                      <a:headEnd/>
                      <a:tailEnd/>
                    </a:ln>
                  </pic:spPr>
                </pic:pic>
              </a:graphicData>
            </a:graphic>
          </wp:inline>
        </w:drawing>
      </w:r>
    </w:p>
    <w:p w:rsidR="00DF0276" w:rsidRDefault="00DF0276" w:rsidP="00317DF8">
      <w:pPr>
        <w:rPr>
          <w:sz w:val="18"/>
          <w:szCs w:val="18"/>
          <w:u w:val="single"/>
        </w:rPr>
      </w:pPr>
      <w:r>
        <w:rPr>
          <w:sz w:val="18"/>
          <w:szCs w:val="18"/>
          <w:u w:val="single"/>
        </w:rPr>
        <w:t xml:space="preserve">Data Sources </w:t>
      </w:r>
    </w:p>
    <w:p w:rsidR="00DF0276" w:rsidRDefault="00DF0276" w:rsidP="00317DF8">
      <w:pPr>
        <w:rPr>
          <w:sz w:val="18"/>
          <w:szCs w:val="18"/>
        </w:rPr>
      </w:pPr>
      <w:r>
        <w:rPr>
          <w:sz w:val="18"/>
          <w:szCs w:val="18"/>
        </w:rPr>
        <w:t>UK Export Data: Department of Trade and Industry, UK; UK exchange rate (1946-1970): Global Financial Data;</w:t>
      </w:r>
    </w:p>
    <w:p w:rsidR="00DF0276" w:rsidRPr="009F578A" w:rsidRDefault="00DF0276" w:rsidP="00317DF8">
      <w:pPr>
        <w:rPr>
          <w:sz w:val="18"/>
          <w:szCs w:val="18"/>
        </w:rPr>
      </w:pPr>
      <w:r>
        <w:rPr>
          <w:sz w:val="18"/>
          <w:szCs w:val="18"/>
        </w:rPr>
        <w:t xml:space="preserve">US Export Data: </w:t>
      </w:r>
      <w:r>
        <w:rPr>
          <w:i/>
          <w:sz w:val="18"/>
          <w:szCs w:val="18"/>
        </w:rPr>
        <w:t>Historical Statistics of the United States, Colonial Times To 1970</w:t>
      </w:r>
      <w:r>
        <w:rPr>
          <w:sz w:val="18"/>
          <w:szCs w:val="18"/>
        </w:rPr>
        <w:t>; Published by U.S. Census Bureau</w:t>
      </w:r>
    </w:p>
    <w:p w:rsidR="00DF0276" w:rsidRDefault="00DF0276" w:rsidP="00317DF8">
      <w:pPr>
        <w:tabs>
          <w:tab w:val="left" w:pos="0"/>
        </w:tabs>
        <w:suppressAutoHyphens/>
        <w:jc w:val="both"/>
        <w:rPr>
          <w:spacing w:val="-3"/>
        </w:rPr>
      </w:pPr>
    </w:p>
    <w:p w:rsidR="00DF0276" w:rsidRDefault="00DF0276" w:rsidP="00317DF8">
      <w:pPr>
        <w:tabs>
          <w:tab w:val="left" w:pos="0"/>
        </w:tabs>
        <w:suppressAutoHyphens/>
        <w:jc w:val="both"/>
        <w:rPr>
          <w:spacing w:val="-3"/>
        </w:rPr>
      </w:pPr>
      <w:r>
        <w:rPr>
          <w:spacing w:val="-3"/>
        </w:rPr>
        <w:tab/>
        <w:t>The literature on international currencies has identified a number of factors that determine whether a currency is suited for international currency status.</w:t>
      </w:r>
      <w:r>
        <w:rPr>
          <w:rStyle w:val="FootnoteReference"/>
          <w:spacing w:val="-3"/>
        </w:rPr>
        <w:footnoteReference w:id="46"/>
      </w:r>
    </w:p>
    <w:p w:rsidR="00DF0276" w:rsidRDefault="00DF0276" w:rsidP="00317DF8">
      <w:pPr>
        <w:tabs>
          <w:tab w:val="left" w:pos="0"/>
        </w:tabs>
        <w:suppressAutoHyphens/>
        <w:jc w:val="both"/>
        <w:rPr>
          <w:spacing w:val="-3"/>
        </w:rPr>
      </w:pPr>
    </w:p>
    <w:p w:rsidR="00DF0276" w:rsidRDefault="00DF0276" w:rsidP="00317DF8">
      <w:pPr>
        <w:tabs>
          <w:tab w:val="left" w:pos="0"/>
        </w:tabs>
        <w:suppressAutoHyphens/>
        <w:jc w:val="both"/>
        <w:rPr>
          <w:spacing w:val="-3"/>
        </w:rPr>
      </w:pPr>
      <w:r>
        <w:rPr>
          <w:spacing w:val="-3"/>
        </w:rPr>
        <w:t xml:space="preserve">(1) </w:t>
      </w:r>
      <w:r>
        <w:rPr>
          <w:spacing w:val="-3"/>
          <w:u w:val="single"/>
        </w:rPr>
        <w:t>Patterns of output and trade</w:t>
      </w:r>
      <w:r>
        <w:rPr>
          <w:spacing w:val="-3"/>
        </w:rPr>
        <w:t xml:space="preserve">. The currency of a country that has a large share in international output, trade and finance has a big natural advantage.  The U.S. economy is still the world's largest in terms of output and trade.  By such measures, Japan should be number 2, ahead of Germany.  Alarmist fears of the early 1990s, notwithstanding, it was never very likely that Japan, a country with half the population and far less land area or natural resources, would surpass the United States in sheer economic size.   But the euro is now the home currency to 17 countries.  Their combined economic weight is much greater than Germany alone, or Japan, and roughly equal to that of the United States  </w:t>
      </w:r>
      <w:r>
        <w:rPr>
          <w:spacing w:val="-3"/>
        </w:rPr>
        <w:tab/>
        <w:t xml:space="preserve">For some measures of international currency use – how often a vehicle currency is used in the invoicing and financing of international trade -- other aspects of the pattern of trade may also be relevant.  The fact that much of Japan's imports are oil and other raw materials and that much of its exports go to the Western Hemisphere, for example, helps explain why a </w:t>
      </w:r>
      <w:r>
        <w:rPr>
          <w:spacing w:val="-3"/>
        </w:rPr>
        <w:lastRenderedPageBreak/>
        <w:t>disproportionately small share of trade is invoiced in yen as opposed to dollars.  Raw materials still tend heavily to be priced in dollars.   Whenever the dollar depreciates for more than a few years, OPEC starts discussing switching to another currency of denomination.  It hasn’t happened yet.   But it could, if the dollar’s primacy in other international roles were seriously challenged.</w:t>
      </w:r>
    </w:p>
    <w:p w:rsidR="00DF0276" w:rsidRDefault="00DF0276" w:rsidP="00317DF8">
      <w:pPr>
        <w:tabs>
          <w:tab w:val="left" w:pos="0"/>
        </w:tabs>
        <w:suppressAutoHyphens/>
        <w:jc w:val="both"/>
        <w:rPr>
          <w:spacing w:val="-3"/>
        </w:rPr>
      </w:pPr>
      <w:r>
        <w:rPr>
          <w:spacing w:val="-3"/>
        </w:rPr>
        <w:tab/>
      </w:r>
    </w:p>
    <w:p w:rsidR="00DF0276" w:rsidRDefault="00DF0276" w:rsidP="00317DF8">
      <w:pPr>
        <w:tabs>
          <w:tab w:val="left" w:pos="0"/>
        </w:tabs>
        <w:suppressAutoHyphens/>
        <w:jc w:val="both"/>
        <w:rPr>
          <w:spacing w:val="-3"/>
        </w:rPr>
      </w:pPr>
      <w:r>
        <w:rPr>
          <w:spacing w:val="-3"/>
        </w:rPr>
        <w:tab/>
        <w:t xml:space="preserve">(2) </w:t>
      </w:r>
      <w:r>
        <w:rPr>
          <w:spacing w:val="-3"/>
          <w:u w:val="single"/>
        </w:rPr>
        <w:t>The country's financial markets</w:t>
      </w:r>
      <w:r>
        <w:rPr>
          <w:spacing w:val="-3"/>
        </w:rPr>
        <w:t xml:space="preserve">.  To attain international currency status, capital and money markets in the home country must be not only open and free of controls, but also deep and well-developed.  The large financial marketplaces of New York and London clearly benefit the dollar and pound relative to the euro and its predecessor the deutschemark, as Frankfurt is still less well-developed.  Tokyo and Frankfurt financial markets have changed a lot over the last two decades.  But they still lag far behind New York and London as a financial centers.  Meanwhile, Singapore and Hong Kong have gained.  </w:t>
      </w:r>
    </w:p>
    <w:p w:rsidR="00DF0276" w:rsidRDefault="00DF0276" w:rsidP="00317DF8">
      <w:pPr>
        <w:tabs>
          <w:tab w:val="left" w:pos="0"/>
        </w:tabs>
        <w:suppressAutoHyphens/>
        <w:jc w:val="both"/>
        <w:rPr>
          <w:spacing w:val="-3"/>
        </w:rPr>
      </w:pPr>
      <w:r>
        <w:rPr>
          <w:spacing w:val="-3"/>
        </w:rPr>
        <w:tab/>
        <w:t xml:space="preserve">It is surprisingly difficult to come up with a proxy for size, depth, or development that is available for all the financial centers.   We have opted to use as our primary measure data on foreign exchange turnover in the respective financial centers:  New York, London, Frankfurt, Tokyo, Zurich, etc.   This measure differs from turnover </w:t>
      </w:r>
      <w:r>
        <w:rPr>
          <w:i/>
          <w:spacing w:val="-3"/>
        </w:rPr>
        <w:t>of</w:t>
      </w:r>
      <w:r>
        <w:rPr>
          <w:spacing w:val="-3"/>
        </w:rPr>
        <w:t xml:space="preserve"> the currencies (dollar, pound, euro, etc.), a variable that would be much more simultaneous with the international currency status that we are trying to explain.   It captures, for example, the pre-eminence of London, which continues despite the small role of the pound.  This measure has the virtue of reflecting to some extent all kinds of international financial transactions (both long-term and short-term, banking and securities, bonds and equities).   Moreover it is possible to patch together a data set covering the desired countries and years -- though but just barely, and with increasing difficulty as one goes back through the 1970s.  We have also tried an alternative proxy for the size of financial centers – the size of the countries’ stock markets.</w:t>
      </w:r>
    </w:p>
    <w:p w:rsidR="00DF0276" w:rsidRDefault="00DF0276" w:rsidP="00317DF8">
      <w:pPr>
        <w:tabs>
          <w:tab w:val="left" w:pos="0"/>
        </w:tabs>
        <w:suppressAutoHyphens/>
        <w:jc w:val="both"/>
        <w:rPr>
          <w:spacing w:val="-3"/>
        </w:rPr>
      </w:pPr>
    </w:p>
    <w:p w:rsidR="00DF0276" w:rsidRDefault="00DF0276" w:rsidP="00317DF8">
      <w:pPr>
        <w:tabs>
          <w:tab w:val="left" w:pos="0"/>
        </w:tabs>
        <w:suppressAutoHyphens/>
        <w:jc w:val="both"/>
        <w:rPr>
          <w:spacing w:val="-3"/>
        </w:rPr>
      </w:pPr>
      <w:r>
        <w:rPr>
          <w:spacing w:val="-3"/>
        </w:rPr>
        <w:t xml:space="preserve">     (3) </w:t>
      </w:r>
      <w:r>
        <w:rPr>
          <w:spacing w:val="-3"/>
          <w:u w:val="single"/>
        </w:rPr>
        <w:t>Confidence in the value of the currency</w:t>
      </w:r>
      <w:r>
        <w:rPr>
          <w:spacing w:val="-3"/>
        </w:rPr>
        <w:t>.  Even if a key currency were used only as a unit of account, a necessary qualification would be that its value not fluctuate erratically.  As it is, a key currency is also used as a form in which to hold assets (firms hold working balances of the currencies in which they invoice, investors hold bonds issued internationally, and central banks hold currency reserves).  Here confidence that the value of the currency will be stable, and particularly that it will not be inflated away in the future, is critical.  The monetary authorities in Japan, Germany and Switzerland, in the 1970s established a better track record of low inflation than did the United States, which helped their bids for international currency status.   As recently as the 1980s, the mean and variance of the inflation rate in the United States were both higher than in those three hard-currency countries, though lower than in the United Kingdom, France, Italy, and many other countries.</w:t>
      </w:r>
      <w:r>
        <w:rPr>
          <w:rStyle w:val="FootnoteReference"/>
          <w:spacing w:val="-3"/>
        </w:rPr>
        <w:footnoteReference w:id="47"/>
      </w:r>
      <w:r>
        <w:rPr>
          <w:spacing w:val="-3"/>
        </w:rPr>
        <w:t xml:space="preserve"> </w:t>
      </w:r>
    </w:p>
    <w:p w:rsidR="00DF0276" w:rsidRDefault="00DF0276" w:rsidP="00317DF8">
      <w:pPr>
        <w:tabs>
          <w:tab w:val="left" w:pos="0"/>
        </w:tabs>
        <w:suppressAutoHyphens/>
        <w:jc w:val="both"/>
        <w:rPr>
          <w:spacing w:val="-3"/>
        </w:rPr>
      </w:pPr>
      <w:r>
        <w:rPr>
          <w:spacing w:val="-3"/>
        </w:rPr>
        <w:tab/>
        <w:t xml:space="preserve">Given the good U.S. inflation performance since the 1980s, this is no longer such a concern.  A more important negative for the dollar is the fact that the United States is now a large-scale debtor country.  Even if the Federal Reserve never succumbs to the temptations or pressures to inflate away the U.S. debt, the continuing U.S. current account deficit is </w:t>
      </w:r>
      <w:r>
        <w:rPr>
          <w:spacing w:val="-3"/>
        </w:rPr>
        <w:lastRenderedPageBreak/>
        <w:t xml:space="preserve">always a possible source of downward pressure on the dollar.  Such fears work to make dollars unattractive. </w:t>
      </w:r>
    </w:p>
    <w:p w:rsidR="00DF0276" w:rsidRDefault="00DF0276" w:rsidP="00317DF8">
      <w:pPr>
        <w:tabs>
          <w:tab w:val="left" w:pos="0"/>
        </w:tabs>
        <w:suppressAutoHyphens/>
        <w:jc w:val="both"/>
        <w:rPr>
          <w:spacing w:val="-3"/>
        </w:rPr>
      </w:pPr>
    </w:p>
    <w:p w:rsidR="00DF0276" w:rsidRDefault="00DF0276" w:rsidP="00317DF8">
      <w:pPr>
        <w:tabs>
          <w:tab w:val="left" w:pos="0"/>
        </w:tabs>
        <w:suppressAutoHyphens/>
        <w:jc w:val="both"/>
        <w:rPr>
          <w:spacing w:val="-3"/>
        </w:rPr>
      </w:pPr>
    </w:p>
    <w:p w:rsidR="00DF0276" w:rsidRDefault="00DF0276" w:rsidP="00317DF8">
      <w:pPr>
        <w:tabs>
          <w:tab w:val="left" w:pos="0"/>
        </w:tabs>
        <w:suppressAutoHyphens/>
        <w:jc w:val="both"/>
        <w:rPr>
          <w:spacing w:val="-3"/>
          <w:u w:val="single"/>
        </w:rPr>
      </w:pPr>
      <w:r>
        <w:rPr>
          <w:spacing w:val="-3"/>
          <w:u w:val="single"/>
        </w:rPr>
        <w:t>(4) Network externalities</w:t>
      </w:r>
    </w:p>
    <w:p w:rsidR="00DF0276" w:rsidRDefault="00DF0276" w:rsidP="00317DF8">
      <w:pPr>
        <w:tabs>
          <w:tab w:val="left" w:pos="0"/>
        </w:tabs>
        <w:suppressAutoHyphens/>
        <w:jc w:val="both"/>
        <w:rPr>
          <w:spacing w:val="-3"/>
        </w:rPr>
      </w:pPr>
      <w:r>
        <w:rPr>
          <w:spacing w:val="-3"/>
        </w:rPr>
        <w:tab/>
        <w:t xml:space="preserve">An international money, like domestic money, derives its value because others are using it.  It is a classic instance of network externalities.  In this sense, the intrinsic characteristics of a currency are of less importance than the path-dependent historical equilibrium.  There is a strong inertial bias in favor of using whatever currency has been the international currency in the past.  </w:t>
      </w:r>
    </w:p>
    <w:p w:rsidR="00DF0276" w:rsidRDefault="00DF0276" w:rsidP="00317DF8">
      <w:pPr>
        <w:tabs>
          <w:tab w:val="left" w:pos="0"/>
        </w:tabs>
        <w:suppressAutoHyphens/>
        <w:jc w:val="both"/>
        <w:rPr>
          <w:spacing w:val="-3"/>
        </w:rPr>
      </w:pPr>
      <w:r>
        <w:rPr>
          <w:spacing w:val="-3"/>
        </w:rPr>
        <w:tab/>
        <w:t>One can make an analogy with language.   If one sat down to design an ideal language, it would not be English.  (Presumably it would be Esperanto.)   Nobody would claim that the English language is particularly well-suited to be the world's</w:t>
      </w:r>
      <w:r>
        <w:rPr>
          <w:i/>
          <w:spacing w:val="-3"/>
        </w:rPr>
        <w:t xml:space="preserve"> lingua franca</w:t>
      </w:r>
      <w:r>
        <w:rPr>
          <w:spacing w:val="-3"/>
        </w:rPr>
        <w:t xml:space="preserve"> by virtue of its intrinsic beauty, simplicity, or utility. It is neither as elegant and euphonious as French, for example, nor as simple and logical in spelling and grammar as Spanish or Italian.  Yet it is certainly the language in which citizens of different countries most often converse and do business, and increasingly so.  One chooses to use a </w:t>
      </w:r>
      <w:r>
        <w:rPr>
          <w:i/>
          <w:spacing w:val="-3"/>
        </w:rPr>
        <w:t>lingua franca</w:t>
      </w:r>
      <w:r>
        <w:rPr>
          <w:spacing w:val="-3"/>
        </w:rPr>
        <w:t xml:space="preserve">, as one chooses a currency, in the belief that it is the one that others are most likely to use. </w:t>
      </w:r>
    </w:p>
    <w:p w:rsidR="00DF0276" w:rsidRDefault="00DF0276" w:rsidP="00317DF8">
      <w:pPr>
        <w:tabs>
          <w:tab w:val="left" w:pos="0"/>
        </w:tabs>
        <w:suppressAutoHyphens/>
        <w:jc w:val="both"/>
        <w:rPr>
          <w:spacing w:val="-3"/>
        </w:rPr>
      </w:pPr>
      <w:r>
        <w:rPr>
          <w:spacing w:val="-3"/>
        </w:rPr>
        <w:tab/>
        <w:t>The implication is that small changes in the determinants will not produce corresponding changes in the reserve currency numbers, at least not in the short run.  At a minimum, changes will show up only with a long lag.  As noted, the pound remained an important international currency even after the United Kingdom lost its position as an economic superpower early in the century.  In the present context, the inertial bias favors the continued central role of the dollar.  Also, as already noted, economies of scale suggest that, even in the long run, measures of international currency use may not be linear in the determinants.   There may be a tipping phenomenon when one currency passes another.</w:t>
      </w:r>
    </w:p>
    <w:p w:rsidR="00DF0276" w:rsidRDefault="00DF0276" w:rsidP="00317DF8">
      <w:pPr>
        <w:tabs>
          <w:tab w:val="left" w:pos="0"/>
        </w:tabs>
        <w:suppressAutoHyphens/>
        <w:jc w:val="both"/>
        <w:rPr>
          <w:spacing w:val="-3"/>
        </w:rPr>
      </w:pPr>
      <w:r>
        <w:rPr>
          <w:spacing w:val="-3"/>
        </w:rPr>
        <w:tab/>
        <w:t>Another aspect of the network externalities is economies of scope. An individual (exporter, importer, borrower, lender, or currency trader) is more likely to use a given currency in his or her transactions if everyone else is doing so.  If a currency is widely used to invoice trade, it is more likely to be used to invoice financial transactions as well.  If it is more widely used in financial transactions, it is more likely to be a vehicle currency in foreign exchange trading.   If it is used as a vehicle currency, it is more likely to used as a currency to which smaller countries peg.   And so forth.   In Chinn and Frankel (2007, 2008), we contented ourselves with trying to predict reserve currency holdings.   But this will depend on some of the other measures of international currency use.</w:t>
      </w:r>
    </w:p>
    <w:p w:rsidR="00DF0276" w:rsidRDefault="00DF0276" w:rsidP="00317DF8">
      <w:pPr>
        <w:tabs>
          <w:tab w:val="left" w:pos="0"/>
        </w:tabs>
        <w:suppressAutoHyphens/>
        <w:jc w:val="both"/>
        <w:rPr>
          <w:spacing w:val="-3"/>
        </w:rPr>
      </w:pPr>
    </w:p>
    <w:p w:rsidR="00DF0276" w:rsidRPr="00485453" w:rsidRDefault="00DF0276" w:rsidP="00317DF8">
      <w:pPr>
        <w:tabs>
          <w:tab w:val="left" w:pos="0"/>
        </w:tabs>
        <w:suppressAutoHyphens/>
        <w:jc w:val="both"/>
        <w:rPr>
          <w:b/>
          <w:i/>
          <w:spacing w:val="-3"/>
          <w:sz w:val="28"/>
          <w:szCs w:val="28"/>
        </w:rPr>
      </w:pPr>
      <w:r w:rsidRPr="0028473D">
        <w:rPr>
          <w:b/>
          <w:i/>
          <w:spacing w:val="-3"/>
          <w:sz w:val="28"/>
          <w:szCs w:val="28"/>
        </w:rPr>
        <w:t>Appendix 2:  Statistical estimation of the determinants</w:t>
      </w:r>
    </w:p>
    <w:p w:rsidR="00DF0276" w:rsidRDefault="00DF0276" w:rsidP="00317DF8">
      <w:pPr>
        <w:tabs>
          <w:tab w:val="left" w:pos="0"/>
        </w:tabs>
        <w:suppressAutoHyphens/>
        <w:jc w:val="both"/>
        <w:rPr>
          <w:spacing w:val="-3"/>
        </w:rPr>
      </w:pPr>
    </w:p>
    <w:p w:rsidR="00DF0276" w:rsidRDefault="00DF0276" w:rsidP="00317DF8">
      <w:pPr>
        <w:tabs>
          <w:tab w:val="left" w:pos="0"/>
        </w:tabs>
        <w:suppressAutoHyphens/>
        <w:jc w:val="both"/>
      </w:pPr>
      <w:r>
        <w:rPr>
          <w:spacing w:val="-3"/>
        </w:rPr>
        <w:tab/>
        <w:t xml:space="preserve">We use the IMF annual data on aggregate central bank holdings of the relevant major currencies.  A preliminary examination of the relationship between </w:t>
      </w:r>
      <w:r>
        <w:t xml:space="preserve">the currency shares and GDP at market rates, or GDP in PPP terms, suggests two propositions.  First, it does not seem that the difference between GDP measured at market rates or in PPP terms is essential for our purposes.   Second it is apparent that the relationship between currency shares and GDP shares is nonlinear.   The curve must turn sharply upward somewhere in the middle.  This consideration, and the realization that no currency share can fall below zero or rise above 100% leads us to the logistic as the functional form.  </w:t>
      </w:r>
      <w:r>
        <w:lastRenderedPageBreak/>
        <w:t>The standard logistic transformation is symmetric, and has a maximal slope at share equal 0.50.   Figure 1a plots the logistic of the currency share against the size variables.  The straight line now seems to fit the data much more comfortably, indicating that the logistic may be a good guess.</w:t>
      </w:r>
    </w:p>
    <w:p w:rsidR="00DF0276" w:rsidRPr="00F6268A" w:rsidRDefault="00DF0276" w:rsidP="00317DF8">
      <w:pPr>
        <w:tabs>
          <w:tab w:val="left" w:pos="0"/>
        </w:tabs>
        <w:suppressAutoHyphens/>
        <w:jc w:val="both"/>
        <w:rPr>
          <w:spacing w:val="-3"/>
        </w:rPr>
      </w:pPr>
      <w:r>
        <w:br w:type="page"/>
      </w:r>
      <w:r w:rsidRPr="00F20694">
        <w:rPr>
          <w:b/>
          <w:bCs/>
          <w:spacing w:val="-3"/>
        </w:rPr>
        <w:lastRenderedPageBreak/>
        <w:t>Figure 1</w:t>
      </w:r>
      <w:r>
        <w:rPr>
          <w:b/>
          <w:bCs/>
          <w:spacing w:val="-3"/>
        </w:rPr>
        <w:t>a</w:t>
      </w:r>
      <w:r w:rsidRPr="00F20694">
        <w:rPr>
          <w:b/>
          <w:bCs/>
          <w:spacing w:val="-3"/>
        </w:rPr>
        <w:t xml:space="preserve">: </w:t>
      </w:r>
      <w:r w:rsidRPr="00F20694">
        <w:rPr>
          <w:spacing w:val="-3"/>
        </w:rPr>
        <w:t>Currency share vs. GDP (market rates).</w:t>
      </w:r>
      <w:r>
        <w:rPr>
          <w:spacing w:val="-3"/>
        </w:rPr>
        <w:t xml:space="preserve">  </w:t>
      </w:r>
      <w:r w:rsidR="00E96D54">
        <w:rPr>
          <w:noProof/>
        </w:rPr>
        <w:drawing>
          <wp:inline distT="0" distB="0" distL="0" distR="0">
            <wp:extent cx="1038225" cy="2095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1038225" cy="209550"/>
                    </a:xfrm>
                    <a:prstGeom prst="rect">
                      <a:avLst/>
                    </a:prstGeom>
                    <a:noFill/>
                    <a:ln w="9525">
                      <a:noFill/>
                      <a:miter lim="800000"/>
                      <a:headEnd/>
                      <a:tailEnd/>
                    </a:ln>
                  </pic:spPr>
                </pic:pic>
              </a:graphicData>
            </a:graphic>
          </wp:inline>
        </w:drawing>
      </w:r>
    </w:p>
    <w:p w:rsidR="00DF0276" w:rsidRPr="009F578A" w:rsidRDefault="00E96D54" w:rsidP="00317DF8">
      <w:pPr>
        <w:tabs>
          <w:tab w:val="left" w:pos="0"/>
        </w:tabs>
        <w:suppressAutoHyphens/>
        <w:jc w:val="both"/>
        <w:rPr>
          <w:b/>
          <w:bCs/>
          <w:spacing w:val="-3"/>
        </w:rPr>
      </w:pPr>
      <w:r>
        <w:rPr>
          <w:noProof/>
        </w:rPr>
        <w:drawing>
          <wp:inline distT="0" distB="0" distL="0" distR="0">
            <wp:extent cx="5124450" cy="32575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5124450" cy="3257550"/>
                    </a:xfrm>
                    <a:prstGeom prst="rect">
                      <a:avLst/>
                    </a:prstGeom>
                    <a:noFill/>
                    <a:ln w="9525">
                      <a:noFill/>
                      <a:miter lim="800000"/>
                      <a:headEnd/>
                      <a:tailEnd/>
                    </a:ln>
                  </pic:spPr>
                </pic:pic>
              </a:graphicData>
            </a:graphic>
          </wp:inline>
        </w:drawing>
      </w:r>
      <w:r w:rsidR="00DF0276" w:rsidRPr="00F20694">
        <w:rPr>
          <w:b/>
          <w:bCs/>
          <w:spacing w:val="-3"/>
        </w:rPr>
        <w:t xml:space="preserve"> </w:t>
      </w:r>
      <w:r w:rsidR="00DF0276">
        <w:rPr>
          <w:b/>
          <w:bCs/>
          <w:spacing w:val="-3"/>
        </w:rPr>
        <w:br/>
      </w:r>
    </w:p>
    <w:p w:rsidR="00DF0276" w:rsidRPr="00F6268A" w:rsidRDefault="00DF0276" w:rsidP="00317DF8">
      <w:pPr>
        <w:rPr>
          <w:b/>
          <w:sz w:val="8"/>
          <w:szCs w:val="8"/>
        </w:rPr>
      </w:pPr>
      <w:r w:rsidRPr="00F6268A">
        <w:rPr>
          <w:b/>
          <w:sz w:val="22"/>
          <w:szCs w:val="22"/>
        </w:rPr>
        <w:t xml:space="preserve">Table 2a: Determinants of Reserve Currency Shares During the Rise of the DM and Yen </w:t>
      </w:r>
      <w:r w:rsidRPr="00F6268A">
        <w:rPr>
          <w:b/>
          <w:sz w:val="8"/>
          <w:szCs w:val="8"/>
        </w:rPr>
        <w:br/>
      </w:r>
    </w:p>
    <w:tbl>
      <w:tblPr>
        <w:tblW w:w="8826" w:type="dxa"/>
        <w:tblInd w:w="93" w:type="dxa"/>
        <w:tblBorders>
          <w:top w:val="single" w:sz="4" w:space="0" w:color="auto"/>
          <w:left w:val="single" w:sz="4" w:space="0" w:color="auto"/>
          <w:bottom w:val="single" w:sz="4" w:space="0" w:color="auto"/>
          <w:right w:val="single" w:sz="4" w:space="0" w:color="auto"/>
        </w:tblBorders>
        <w:tblLayout w:type="fixed"/>
        <w:tblLook w:val="0000"/>
      </w:tblPr>
      <w:tblGrid>
        <w:gridCol w:w="1995"/>
        <w:gridCol w:w="936"/>
        <w:gridCol w:w="960"/>
        <w:gridCol w:w="915"/>
        <w:gridCol w:w="1005"/>
        <w:gridCol w:w="1005"/>
        <w:gridCol w:w="1005"/>
        <w:gridCol w:w="1005"/>
      </w:tblGrid>
      <w:tr w:rsidR="00DF0276" w:rsidTr="00317DF8">
        <w:trPr>
          <w:trHeight w:val="387"/>
        </w:trPr>
        <w:tc>
          <w:tcPr>
            <w:tcW w:w="8826" w:type="dxa"/>
            <w:gridSpan w:val="8"/>
            <w:tcBorders>
              <w:top w:val="nil"/>
              <w:bottom w:val="single" w:sz="4" w:space="0" w:color="auto"/>
            </w:tcBorders>
            <w:vAlign w:val="bottom"/>
          </w:tcPr>
          <w:p w:rsidR="00DF0276" w:rsidRPr="00F6268A" w:rsidRDefault="00DF0276" w:rsidP="00317DF8">
            <w:pPr>
              <w:jc w:val="center"/>
            </w:pPr>
            <w:r>
              <w:rPr>
                <w:b/>
                <w:sz w:val="22"/>
                <w:szCs w:val="22"/>
              </w:rPr>
              <w:t xml:space="preserve">Panel Regression </w:t>
            </w:r>
            <w:r w:rsidRPr="00F6268A">
              <w:rPr>
                <w:b/>
                <w:sz w:val="22"/>
                <w:szCs w:val="22"/>
              </w:rPr>
              <w:t>(1973-1998)</w:t>
            </w:r>
            <w:r>
              <w:rPr>
                <w:b/>
                <w:sz w:val="22"/>
                <w:szCs w:val="22"/>
              </w:rPr>
              <w:br/>
            </w:r>
            <w:r w:rsidRPr="00F6268A">
              <w:rPr>
                <w:sz w:val="22"/>
                <w:szCs w:val="22"/>
              </w:rPr>
              <w:t xml:space="preserve">Dependent variable: logit of share of major currencies </w:t>
            </w:r>
            <w:r w:rsidRPr="00F6268A">
              <w:rPr>
                <w:sz w:val="22"/>
                <w:szCs w:val="22"/>
              </w:rPr>
              <w:br/>
              <w:t>in central banks’ holdings of foreign exchange reserves</w:t>
            </w:r>
          </w:p>
        </w:tc>
      </w:tr>
      <w:tr w:rsidR="00DF0276" w:rsidTr="00317DF8">
        <w:trPr>
          <w:trHeight w:val="255"/>
        </w:trPr>
        <w:tc>
          <w:tcPr>
            <w:tcW w:w="1995" w:type="dxa"/>
            <w:tcBorders>
              <w:top w:val="single" w:sz="4" w:space="0" w:color="auto"/>
              <w:bottom w:val="single" w:sz="4" w:space="0" w:color="auto"/>
            </w:tcBorders>
            <w:vAlign w:val="bottom"/>
          </w:tcPr>
          <w:p w:rsidR="00DF0276" w:rsidRDefault="00DF0276" w:rsidP="00317DF8">
            <w:pPr>
              <w:jc w:val="center"/>
              <w:rPr>
                <w:sz w:val="20"/>
              </w:rPr>
            </w:pPr>
          </w:p>
        </w:tc>
        <w:tc>
          <w:tcPr>
            <w:tcW w:w="936" w:type="dxa"/>
            <w:tcBorders>
              <w:top w:val="single" w:sz="4" w:space="0" w:color="auto"/>
              <w:bottom w:val="single" w:sz="4" w:space="0" w:color="auto"/>
            </w:tcBorders>
            <w:vAlign w:val="bottom"/>
          </w:tcPr>
          <w:p w:rsidR="00DF0276" w:rsidRDefault="00DF0276" w:rsidP="00317DF8">
            <w:pPr>
              <w:jc w:val="center"/>
              <w:rPr>
                <w:sz w:val="20"/>
              </w:rPr>
            </w:pPr>
            <w:r>
              <w:rPr>
                <w:sz w:val="20"/>
              </w:rPr>
              <w:t>[1]</w:t>
            </w:r>
          </w:p>
        </w:tc>
        <w:tc>
          <w:tcPr>
            <w:tcW w:w="960" w:type="dxa"/>
            <w:tcBorders>
              <w:top w:val="single" w:sz="4" w:space="0" w:color="auto"/>
              <w:bottom w:val="single" w:sz="4" w:space="0" w:color="auto"/>
            </w:tcBorders>
            <w:vAlign w:val="bottom"/>
          </w:tcPr>
          <w:p w:rsidR="00DF0276" w:rsidRDefault="00DF0276" w:rsidP="00317DF8">
            <w:pPr>
              <w:jc w:val="center"/>
              <w:rPr>
                <w:sz w:val="20"/>
              </w:rPr>
            </w:pPr>
            <w:r>
              <w:rPr>
                <w:sz w:val="20"/>
              </w:rPr>
              <w:t>[2]</w:t>
            </w:r>
          </w:p>
        </w:tc>
        <w:tc>
          <w:tcPr>
            <w:tcW w:w="915" w:type="dxa"/>
            <w:tcBorders>
              <w:top w:val="single" w:sz="4" w:space="0" w:color="auto"/>
              <w:bottom w:val="single" w:sz="4" w:space="0" w:color="auto"/>
            </w:tcBorders>
            <w:vAlign w:val="bottom"/>
          </w:tcPr>
          <w:p w:rsidR="00DF0276" w:rsidRDefault="00DF0276" w:rsidP="00317DF8">
            <w:pPr>
              <w:jc w:val="center"/>
              <w:rPr>
                <w:sz w:val="20"/>
              </w:rPr>
            </w:pPr>
            <w:r>
              <w:rPr>
                <w:sz w:val="20"/>
              </w:rPr>
              <w:t>[3]</w:t>
            </w:r>
          </w:p>
        </w:tc>
        <w:tc>
          <w:tcPr>
            <w:tcW w:w="1005" w:type="dxa"/>
            <w:tcBorders>
              <w:top w:val="single" w:sz="4" w:space="0" w:color="auto"/>
              <w:bottom w:val="single" w:sz="4" w:space="0" w:color="auto"/>
            </w:tcBorders>
            <w:vAlign w:val="bottom"/>
          </w:tcPr>
          <w:p w:rsidR="00DF0276" w:rsidRDefault="00DF0276" w:rsidP="00317DF8">
            <w:pPr>
              <w:jc w:val="center"/>
              <w:rPr>
                <w:sz w:val="20"/>
              </w:rPr>
            </w:pPr>
            <w:r>
              <w:rPr>
                <w:sz w:val="20"/>
              </w:rPr>
              <w:t>[4]</w:t>
            </w:r>
          </w:p>
        </w:tc>
        <w:tc>
          <w:tcPr>
            <w:tcW w:w="1005" w:type="dxa"/>
            <w:tcBorders>
              <w:top w:val="single" w:sz="4" w:space="0" w:color="auto"/>
              <w:bottom w:val="single" w:sz="4" w:space="0" w:color="auto"/>
            </w:tcBorders>
          </w:tcPr>
          <w:p w:rsidR="00DF0276" w:rsidRDefault="00DF0276" w:rsidP="00317DF8">
            <w:pPr>
              <w:jc w:val="center"/>
              <w:rPr>
                <w:sz w:val="20"/>
              </w:rPr>
            </w:pPr>
            <w:r>
              <w:rPr>
                <w:sz w:val="20"/>
              </w:rPr>
              <w:t>[5]</w:t>
            </w:r>
          </w:p>
        </w:tc>
        <w:tc>
          <w:tcPr>
            <w:tcW w:w="1005" w:type="dxa"/>
            <w:tcBorders>
              <w:top w:val="single" w:sz="4" w:space="0" w:color="auto"/>
              <w:bottom w:val="single" w:sz="4" w:space="0" w:color="auto"/>
            </w:tcBorders>
            <w:vAlign w:val="bottom"/>
          </w:tcPr>
          <w:p w:rsidR="00DF0276" w:rsidRDefault="00DF0276" w:rsidP="00317DF8">
            <w:pPr>
              <w:jc w:val="center"/>
              <w:rPr>
                <w:sz w:val="20"/>
              </w:rPr>
            </w:pPr>
            <w:r>
              <w:rPr>
                <w:sz w:val="20"/>
              </w:rPr>
              <w:t>[6]</w:t>
            </w:r>
          </w:p>
        </w:tc>
        <w:tc>
          <w:tcPr>
            <w:tcW w:w="1005" w:type="dxa"/>
            <w:tcBorders>
              <w:top w:val="single" w:sz="4" w:space="0" w:color="auto"/>
              <w:bottom w:val="single" w:sz="4" w:space="0" w:color="auto"/>
            </w:tcBorders>
            <w:vAlign w:val="bottom"/>
          </w:tcPr>
          <w:p w:rsidR="00DF0276" w:rsidRDefault="00DF0276" w:rsidP="00317DF8">
            <w:pPr>
              <w:jc w:val="center"/>
              <w:rPr>
                <w:sz w:val="20"/>
              </w:rPr>
            </w:pPr>
            <w:r>
              <w:rPr>
                <w:sz w:val="20"/>
              </w:rPr>
              <w:t>[7]</w:t>
            </w:r>
          </w:p>
        </w:tc>
      </w:tr>
      <w:tr w:rsidR="00DF0276" w:rsidTr="00317DF8">
        <w:trPr>
          <w:trHeight w:val="255"/>
        </w:trPr>
        <w:tc>
          <w:tcPr>
            <w:tcW w:w="1995" w:type="dxa"/>
            <w:tcBorders>
              <w:top w:val="single" w:sz="4" w:space="0" w:color="auto"/>
              <w:bottom w:val="nil"/>
              <w:right w:val="single" w:sz="4" w:space="0" w:color="auto"/>
            </w:tcBorders>
            <w:vAlign w:val="bottom"/>
          </w:tcPr>
          <w:p w:rsidR="00DF0276" w:rsidRDefault="00DF0276" w:rsidP="00317DF8">
            <w:pPr>
              <w:jc w:val="center"/>
              <w:rPr>
                <w:sz w:val="20"/>
              </w:rPr>
            </w:pPr>
            <w:r>
              <w:rPr>
                <w:sz w:val="20"/>
              </w:rPr>
              <w:t>Constant</w:t>
            </w:r>
          </w:p>
        </w:tc>
        <w:tc>
          <w:tcPr>
            <w:tcW w:w="936" w:type="dxa"/>
            <w:tcBorders>
              <w:top w:val="single" w:sz="4" w:space="0" w:color="auto"/>
              <w:left w:val="single" w:sz="4" w:space="0" w:color="auto"/>
            </w:tcBorders>
            <w:vAlign w:val="bottom"/>
          </w:tcPr>
          <w:p w:rsidR="00DF0276" w:rsidRDefault="00DF0276" w:rsidP="00317DF8">
            <w:pPr>
              <w:jc w:val="center"/>
              <w:rPr>
                <w:b/>
                <w:sz w:val="20"/>
              </w:rPr>
            </w:pPr>
            <w:r>
              <w:rPr>
                <w:b/>
                <w:sz w:val="20"/>
              </w:rPr>
              <w:t>-0.506</w:t>
            </w:r>
          </w:p>
        </w:tc>
        <w:tc>
          <w:tcPr>
            <w:tcW w:w="960" w:type="dxa"/>
            <w:tcBorders>
              <w:top w:val="single" w:sz="4" w:space="0" w:color="auto"/>
            </w:tcBorders>
            <w:vAlign w:val="bottom"/>
          </w:tcPr>
          <w:p w:rsidR="00DF0276" w:rsidRDefault="00DF0276" w:rsidP="00317DF8">
            <w:pPr>
              <w:jc w:val="center"/>
              <w:rPr>
                <w:b/>
                <w:sz w:val="20"/>
              </w:rPr>
            </w:pPr>
            <w:r>
              <w:rPr>
                <w:b/>
                <w:sz w:val="20"/>
              </w:rPr>
              <w:t>-0.648</w:t>
            </w:r>
          </w:p>
        </w:tc>
        <w:tc>
          <w:tcPr>
            <w:tcW w:w="915" w:type="dxa"/>
            <w:tcBorders>
              <w:top w:val="single" w:sz="4" w:space="0" w:color="auto"/>
            </w:tcBorders>
            <w:vAlign w:val="bottom"/>
          </w:tcPr>
          <w:p w:rsidR="00DF0276" w:rsidRDefault="00DF0276" w:rsidP="00317DF8">
            <w:pPr>
              <w:jc w:val="center"/>
              <w:rPr>
                <w:b/>
                <w:sz w:val="20"/>
              </w:rPr>
            </w:pPr>
            <w:r>
              <w:rPr>
                <w:b/>
                <w:sz w:val="20"/>
              </w:rPr>
              <w:t>-0.497</w:t>
            </w:r>
          </w:p>
        </w:tc>
        <w:tc>
          <w:tcPr>
            <w:tcW w:w="1005" w:type="dxa"/>
            <w:tcBorders>
              <w:top w:val="single" w:sz="4" w:space="0" w:color="auto"/>
            </w:tcBorders>
            <w:vAlign w:val="bottom"/>
          </w:tcPr>
          <w:p w:rsidR="00DF0276" w:rsidRDefault="00DF0276" w:rsidP="00317DF8">
            <w:pPr>
              <w:jc w:val="center"/>
              <w:rPr>
                <w:b/>
                <w:sz w:val="20"/>
              </w:rPr>
            </w:pPr>
            <w:r>
              <w:rPr>
                <w:b/>
                <w:sz w:val="20"/>
              </w:rPr>
              <w:t>-0.674</w:t>
            </w:r>
          </w:p>
        </w:tc>
        <w:tc>
          <w:tcPr>
            <w:tcW w:w="1005" w:type="dxa"/>
            <w:tcBorders>
              <w:top w:val="single" w:sz="4" w:space="0" w:color="auto"/>
            </w:tcBorders>
            <w:vAlign w:val="bottom"/>
          </w:tcPr>
          <w:p w:rsidR="00DF0276" w:rsidRDefault="00DF0276" w:rsidP="00317DF8">
            <w:pPr>
              <w:jc w:val="center"/>
              <w:rPr>
                <w:b/>
                <w:sz w:val="20"/>
              </w:rPr>
            </w:pPr>
            <w:r>
              <w:rPr>
                <w:b/>
                <w:sz w:val="20"/>
              </w:rPr>
              <w:t>-0.488</w:t>
            </w:r>
          </w:p>
        </w:tc>
        <w:tc>
          <w:tcPr>
            <w:tcW w:w="1005" w:type="dxa"/>
            <w:tcBorders>
              <w:top w:val="single" w:sz="4" w:space="0" w:color="auto"/>
            </w:tcBorders>
            <w:vAlign w:val="bottom"/>
          </w:tcPr>
          <w:p w:rsidR="00DF0276" w:rsidRDefault="00DF0276" w:rsidP="00317DF8">
            <w:pPr>
              <w:jc w:val="center"/>
              <w:rPr>
                <w:b/>
                <w:sz w:val="20"/>
              </w:rPr>
            </w:pPr>
            <w:r>
              <w:rPr>
                <w:b/>
                <w:sz w:val="20"/>
              </w:rPr>
              <w:t>-0.487</w:t>
            </w:r>
          </w:p>
        </w:tc>
        <w:tc>
          <w:tcPr>
            <w:tcW w:w="1005" w:type="dxa"/>
            <w:tcBorders>
              <w:top w:val="single" w:sz="4" w:space="0" w:color="auto"/>
            </w:tcBorders>
            <w:vAlign w:val="bottom"/>
          </w:tcPr>
          <w:p w:rsidR="00DF0276" w:rsidRDefault="00DF0276" w:rsidP="00317DF8">
            <w:pPr>
              <w:jc w:val="center"/>
              <w:rPr>
                <w:b/>
                <w:sz w:val="20"/>
              </w:rPr>
            </w:pPr>
            <w:r>
              <w:rPr>
                <w:b/>
                <w:sz w:val="20"/>
              </w:rPr>
              <w:t>-0.117</w:t>
            </w:r>
          </w:p>
        </w:tc>
      </w:tr>
      <w:tr w:rsidR="00DF0276" w:rsidTr="00317DF8">
        <w:trPr>
          <w:trHeight w:val="255"/>
        </w:trPr>
        <w:tc>
          <w:tcPr>
            <w:tcW w:w="1995" w:type="dxa"/>
            <w:tcBorders>
              <w:top w:val="single" w:sz="4" w:space="0" w:color="auto"/>
              <w:bottom w:val="nil"/>
              <w:right w:val="single" w:sz="4" w:space="0" w:color="auto"/>
            </w:tcBorders>
            <w:vAlign w:val="bottom"/>
          </w:tcPr>
          <w:p w:rsidR="00DF0276" w:rsidRDefault="00DF0276" w:rsidP="00317DF8">
            <w:pPr>
              <w:jc w:val="center"/>
              <w:rPr>
                <w:sz w:val="20"/>
              </w:rPr>
            </w:pPr>
          </w:p>
        </w:tc>
        <w:tc>
          <w:tcPr>
            <w:tcW w:w="936" w:type="dxa"/>
            <w:tcBorders>
              <w:top w:val="single" w:sz="4" w:space="0" w:color="auto"/>
              <w:left w:val="single" w:sz="4" w:space="0" w:color="auto"/>
            </w:tcBorders>
            <w:vAlign w:val="bottom"/>
          </w:tcPr>
          <w:p w:rsidR="00DF0276" w:rsidRDefault="00DF0276" w:rsidP="00317DF8">
            <w:pPr>
              <w:jc w:val="center"/>
              <w:rPr>
                <w:b/>
                <w:sz w:val="20"/>
              </w:rPr>
            </w:pPr>
            <w:r>
              <w:rPr>
                <w:b/>
                <w:sz w:val="20"/>
              </w:rPr>
              <w:t>[0.123]</w:t>
            </w:r>
          </w:p>
        </w:tc>
        <w:tc>
          <w:tcPr>
            <w:tcW w:w="960" w:type="dxa"/>
            <w:tcBorders>
              <w:top w:val="single" w:sz="4" w:space="0" w:color="auto"/>
            </w:tcBorders>
            <w:vAlign w:val="bottom"/>
          </w:tcPr>
          <w:p w:rsidR="00DF0276" w:rsidRDefault="00DF0276" w:rsidP="00317DF8">
            <w:pPr>
              <w:jc w:val="center"/>
              <w:rPr>
                <w:b/>
                <w:sz w:val="20"/>
              </w:rPr>
            </w:pPr>
            <w:r>
              <w:rPr>
                <w:b/>
                <w:sz w:val="20"/>
              </w:rPr>
              <w:t>[0.154]</w:t>
            </w:r>
          </w:p>
        </w:tc>
        <w:tc>
          <w:tcPr>
            <w:tcW w:w="915" w:type="dxa"/>
            <w:tcBorders>
              <w:top w:val="single" w:sz="4" w:space="0" w:color="auto"/>
            </w:tcBorders>
            <w:vAlign w:val="bottom"/>
          </w:tcPr>
          <w:p w:rsidR="00DF0276" w:rsidRDefault="00DF0276" w:rsidP="00317DF8">
            <w:pPr>
              <w:jc w:val="center"/>
              <w:rPr>
                <w:b/>
                <w:sz w:val="20"/>
              </w:rPr>
            </w:pPr>
            <w:r>
              <w:rPr>
                <w:b/>
                <w:sz w:val="20"/>
              </w:rPr>
              <w:t>0.124</w:t>
            </w:r>
          </w:p>
        </w:tc>
        <w:tc>
          <w:tcPr>
            <w:tcW w:w="1005" w:type="dxa"/>
            <w:tcBorders>
              <w:top w:val="single" w:sz="4" w:space="0" w:color="auto"/>
            </w:tcBorders>
            <w:vAlign w:val="bottom"/>
          </w:tcPr>
          <w:p w:rsidR="00DF0276" w:rsidRDefault="00DF0276" w:rsidP="00317DF8">
            <w:pPr>
              <w:jc w:val="center"/>
              <w:rPr>
                <w:b/>
                <w:sz w:val="20"/>
              </w:rPr>
            </w:pPr>
            <w:r>
              <w:rPr>
                <w:b/>
                <w:sz w:val="20"/>
              </w:rPr>
              <w:t>[0.154]</w:t>
            </w:r>
          </w:p>
        </w:tc>
        <w:tc>
          <w:tcPr>
            <w:tcW w:w="1005" w:type="dxa"/>
            <w:tcBorders>
              <w:top w:val="single" w:sz="4" w:space="0" w:color="auto"/>
            </w:tcBorders>
            <w:vAlign w:val="bottom"/>
          </w:tcPr>
          <w:p w:rsidR="00DF0276" w:rsidRDefault="00DF0276" w:rsidP="00317DF8">
            <w:pPr>
              <w:jc w:val="center"/>
              <w:rPr>
                <w:b/>
                <w:sz w:val="20"/>
              </w:rPr>
            </w:pPr>
            <w:r>
              <w:rPr>
                <w:b/>
                <w:sz w:val="20"/>
              </w:rPr>
              <w:t>[0.138]</w:t>
            </w:r>
          </w:p>
        </w:tc>
        <w:tc>
          <w:tcPr>
            <w:tcW w:w="1005" w:type="dxa"/>
            <w:tcBorders>
              <w:top w:val="single" w:sz="4" w:space="0" w:color="auto"/>
            </w:tcBorders>
            <w:vAlign w:val="bottom"/>
          </w:tcPr>
          <w:p w:rsidR="00DF0276" w:rsidRDefault="00DF0276" w:rsidP="00317DF8">
            <w:pPr>
              <w:jc w:val="center"/>
              <w:rPr>
                <w:b/>
                <w:sz w:val="20"/>
              </w:rPr>
            </w:pPr>
            <w:r>
              <w:rPr>
                <w:b/>
                <w:sz w:val="20"/>
              </w:rPr>
              <w:t>[0.138]</w:t>
            </w:r>
          </w:p>
        </w:tc>
        <w:tc>
          <w:tcPr>
            <w:tcW w:w="1005" w:type="dxa"/>
            <w:tcBorders>
              <w:top w:val="single" w:sz="4" w:space="0" w:color="auto"/>
            </w:tcBorders>
            <w:vAlign w:val="bottom"/>
          </w:tcPr>
          <w:p w:rsidR="00DF0276" w:rsidRDefault="00DF0276" w:rsidP="00317DF8">
            <w:pPr>
              <w:jc w:val="center"/>
              <w:rPr>
                <w:b/>
                <w:sz w:val="20"/>
              </w:rPr>
            </w:pPr>
            <w:r>
              <w:rPr>
                <w:b/>
                <w:sz w:val="20"/>
              </w:rPr>
              <w:t>[0.061]</w:t>
            </w:r>
          </w:p>
        </w:tc>
      </w:tr>
      <w:tr w:rsidR="00DF0276" w:rsidTr="00317DF8">
        <w:trPr>
          <w:trHeight w:val="255"/>
        </w:trPr>
        <w:tc>
          <w:tcPr>
            <w:tcW w:w="1995" w:type="dxa"/>
            <w:tcBorders>
              <w:top w:val="single" w:sz="4" w:space="0" w:color="auto"/>
              <w:bottom w:val="nil"/>
              <w:right w:val="single" w:sz="4" w:space="0" w:color="auto"/>
            </w:tcBorders>
            <w:vAlign w:val="bottom"/>
          </w:tcPr>
          <w:p w:rsidR="00DF0276" w:rsidRDefault="00DF0276" w:rsidP="00317DF8">
            <w:pPr>
              <w:jc w:val="center"/>
              <w:rPr>
                <w:sz w:val="20"/>
              </w:rPr>
            </w:pPr>
            <w:r>
              <w:rPr>
                <w:sz w:val="20"/>
              </w:rPr>
              <w:t>GDPratio (y)</w:t>
            </w:r>
          </w:p>
        </w:tc>
        <w:tc>
          <w:tcPr>
            <w:tcW w:w="936" w:type="dxa"/>
            <w:tcBorders>
              <w:top w:val="single" w:sz="4" w:space="0" w:color="auto"/>
              <w:left w:val="single" w:sz="4" w:space="0" w:color="auto"/>
            </w:tcBorders>
            <w:vAlign w:val="bottom"/>
          </w:tcPr>
          <w:p w:rsidR="00DF0276" w:rsidRDefault="00DF0276" w:rsidP="00317DF8">
            <w:pPr>
              <w:jc w:val="center"/>
              <w:rPr>
                <w:b/>
                <w:sz w:val="20"/>
              </w:rPr>
            </w:pPr>
            <w:r>
              <w:rPr>
                <w:b/>
                <w:sz w:val="20"/>
              </w:rPr>
              <w:t>2.285</w:t>
            </w:r>
          </w:p>
        </w:tc>
        <w:tc>
          <w:tcPr>
            <w:tcW w:w="960" w:type="dxa"/>
            <w:tcBorders>
              <w:top w:val="single" w:sz="4" w:space="0" w:color="auto"/>
            </w:tcBorders>
            <w:vAlign w:val="bottom"/>
          </w:tcPr>
          <w:p w:rsidR="00DF0276" w:rsidRDefault="00DF0276" w:rsidP="00317DF8">
            <w:pPr>
              <w:jc w:val="center"/>
              <w:rPr>
                <w:b/>
                <w:sz w:val="20"/>
              </w:rPr>
            </w:pPr>
            <w:r>
              <w:rPr>
                <w:b/>
                <w:sz w:val="20"/>
              </w:rPr>
              <w:t>2.768</w:t>
            </w:r>
          </w:p>
        </w:tc>
        <w:tc>
          <w:tcPr>
            <w:tcW w:w="915" w:type="dxa"/>
            <w:tcBorders>
              <w:top w:val="single" w:sz="4" w:space="0" w:color="auto"/>
            </w:tcBorders>
            <w:vAlign w:val="bottom"/>
          </w:tcPr>
          <w:p w:rsidR="00DF0276" w:rsidRDefault="00DF0276" w:rsidP="00317DF8">
            <w:pPr>
              <w:jc w:val="center"/>
              <w:rPr>
                <w:b/>
                <w:sz w:val="20"/>
              </w:rPr>
            </w:pPr>
            <w:r>
              <w:rPr>
                <w:b/>
                <w:sz w:val="20"/>
              </w:rPr>
              <w:t>2.735</w:t>
            </w:r>
          </w:p>
        </w:tc>
        <w:tc>
          <w:tcPr>
            <w:tcW w:w="1005" w:type="dxa"/>
            <w:tcBorders>
              <w:top w:val="single" w:sz="4" w:space="0" w:color="auto"/>
            </w:tcBorders>
            <w:vAlign w:val="bottom"/>
          </w:tcPr>
          <w:p w:rsidR="00DF0276" w:rsidRDefault="00DF0276" w:rsidP="00317DF8">
            <w:pPr>
              <w:jc w:val="center"/>
              <w:rPr>
                <w:b/>
                <w:sz w:val="20"/>
              </w:rPr>
            </w:pPr>
            <w:r>
              <w:rPr>
                <w:b/>
                <w:sz w:val="20"/>
              </w:rPr>
              <w:t>3.690</w:t>
            </w:r>
          </w:p>
        </w:tc>
        <w:tc>
          <w:tcPr>
            <w:tcW w:w="1005" w:type="dxa"/>
            <w:tcBorders>
              <w:top w:val="single" w:sz="4" w:space="0" w:color="auto"/>
            </w:tcBorders>
            <w:vAlign w:val="bottom"/>
          </w:tcPr>
          <w:p w:rsidR="00DF0276" w:rsidRDefault="00DF0276" w:rsidP="00317DF8">
            <w:pPr>
              <w:jc w:val="center"/>
              <w:rPr>
                <w:b/>
                <w:sz w:val="20"/>
              </w:rPr>
            </w:pPr>
            <w:r>
              <w:rPr>
                <w:b/>
                <w:sz w:val="20"/>
              </w:rPr>
              <w:t>2.215</w:t>
            </w:r>
          </w:p>
        </w:tc>
        <w:tc>
          <w:tcPr>
            <w:tcW w:w="1005" w:type="dxa"/>
            <w:tcBorders>
              <w:top w:val="single" w:sz="4" w:space="0" w:color="auto"/>
            </w:tcBorders>
            <w:vAlign w:val="bottom"/>
          </w:tcPr>
          <w:p w:rsidR="00DF0276" w:rsidRDefault="00DF0276" w:rsidP="00317DF8">
            <w:pPr>
              <w:jc w:val="center"/>
              <w:rPr>
                <w:b/>
                <w:sz w:val="20"/>
              </w:rPr>
            </w:pPr>
            <w:r>
              <w:rPr>
                <w:b/>
                <w:sz w:val="20"/>
              </w:rPr>
              <w:t>2.775</w:t>
            </w:r>
          </w:p>
        </w:tc>
        <w:tc>
          <w:tcPr>
            <w:tcW w:w="1005" w:type="dxa"/>
            <w:tcBorders>
              <w:top w:val="single" w:sz="4" w:space="0" w:color="auto"/>
            </w:tcBorders>
            <w:vAlign w:val="bottom"/>
          </w:tcPr>
          <w:p w:rsidR="00DF0276" w:rsidRDefault="00DF0276" w:rsidP="00317DF8">
            <w:pPr>
              <w:jc w:val="center"/>
              <w:rPr>
                <w:b/>
                <w:sz w:val="20"/>
              </w:rPr>
            </w:pPr>
            <w:r>
              <w:rPr>
                <w:b/>
                <w:sz w:val="20"/>
              </w:rPr>
              <w:t>1.040</w:t>
            </w:r>
          </w:p>
        </w:tc>
      </w:tr>
      <w:tr w:rsidR="00DF0276" w:rsidTr="00317DF8">
        <w:trPr>
          <w:trHeight w:val="255"/>
        </w:trPr>
        <w:tc>
          <w:tcPr>
            <w:tcW w:w="1995" w:type="dxa"/>
            <w:tcBorders>
              <w:top w:val="nil"/>
              <w:bottom w:val="nil"/>
              <w:right w:val="single" w:sz="4" w:space="0" w:color="auto"/>
            </w:tcBorders>
            <w:vAlign w:val="bottom"/>
          </w:tcPr>
          <w:p w:rsidR="00DF0276" w:rsidRDefault="00DF0276" w:rsidP="00317DF8">
            <w:pPr>
              <w:jc w:val="center"/>
              <w:rPr>
                <w:sz w:val="20"/>
              </w:rPr>
            </w:pPr>
          </w:p>
        </w:tc>
        <w:tc>
          <w:tcPr>
            <w:tcW w:w="936" w:type="dxa"/>
            <w:tcBorders>
              <w:left w:val="single" w:sz="4" w:space="0" w:color="auto"/>
            </w:tcBorders>
            <w:vAlign w:val="bottom"/>
          </w:tcPr>
          <w:p w:rsidR="00DF0276" w:rsidRDefault="00DF0276" w:rsidP="00317DF8">
            <w:pPr>
              <w:jc w:val="center"/>
              <w:rPr>
                <w:b/>
                <w:sz w:val="20"/>
              </w:rPr>
            </w:pPr>
            <w:r>
              <w:rPr>
                <w:b/>
                <w:sz w:val="20"/>
              </w:rPr>
              <w:t>[0.564]</w:t>
            </w:r>
          </w:p>
        </w:tc>
        <w:tc>
          <w:tcPr>
            <w:tcW w:w="960" w:type="dxa"/>
            <w:vAlign w:val="bottom"/>
          </w:tcPr>
          <w:p w:rsidR="00DF0276" w:rsidRDefault="00DF0276" w:rsidP="00317DF8">
            <w:pPr>
              <w:jc w:val="center"/>
              <w:rPr>
                <w:b/>
                <w:sz w:val="20"/>
              </w:rPr>
            </w:pPr>
            <w:r>
              <w:rPr>
                <w:b/>
                <w:sz w:val="20"/>
              </w:rPr>
              <w:t>[0.643]</w:t>
            </w:r>
          </w:p>
        </w:tc>
        <w:tc>
          <w:tcPr>
            <w:tcW w:w="915" w:type="dxa"/>
            <w:vAlign w:val="bottom"/>
          </w:tcPr>
          <w:p w:rsidR="00DF0276" w:rsidRDefault="00DF0276" w:rsidP="00317DF8">
            <w:pPr>
              <w:jc w:val="center"/>
              <w:rPr>
                <w:b/>
                <w:sz w:val="20"/>
              </w:rPr>
            </w:pPr>
            <w:r>
              <w:rPr>
                <w:b/>
                <w:sz w:val="20"/>
              </w:rPr>
              <w:t>[0.781]</w:t>
            </w:r>
          </w:p>
        </w:tc>
        <w:tc>
          <w:tcPr>
            <w:tcW w:w="1005" w:type="dxa"/>
            <w:vAlign w:val="bottom"/>
          </w:tcPr>
          <w:p w:rsidR="00DF0276" w:rsidRDefault="00DF0276" w:rsidP="00317DF8">
            <w:pPr>
              <w:jc w:val="center"/>
              <w:rPr>
                <w:b/>
                <w:sz w:val="20"/>
              </w:rPr>
            </w:pPr>
            <w:r>
              <w:rPr>
                <w:b/>
                <w:sz w:val="20"/>
              </w:rPr>
              <w:t>[0.923]</w:t>
            </w:r>
          </w:p>
        </w:tc>
        <w:tc>
          <w:tcPr>
            <w:tcW w:w="1005" w:type="dxa"/>
            <w:vAlign w:val="bottom"/>
          </w:tcPr>
          <w:p w:rsidR="00DF0276" w:rsidRDefault="00DF0276" w:rsidP="00317DF8">
            <w:pPr>
              <w:jc w:val="center"/>
              <w:rPr>
                <w:b/>
                <w:sz w:val="20"/>
              </w:rPr>
            </w:pPr>
            <w:r>
              <w:rPr>
                <w:b/>
                <w:sz w:val="20"/>
              </w:rPr>
              <w:t>[0.616]</w:t>
            </w:r>
          </w:p>
        </w:tc>
        <w:tc>
          <w:tcPr>
            <w:tcW w:w="1005" w:type="dxa"/>
            <w:vAlign w:val="bottom"/>
          </w:tcPr>
          <w:p w:rsidR="00DF0276" w:rsidRDefault="00DF0276" w:rsidP="00317DF8">
            <w:pPr>
              <w:jc w:val="center"/>
              <w:rPr>
                <w:b/>
                <w:sz w:val="20"/>
              </w:rPr>
            </w:pPr>
            <w:r>
              <w:rPr>
                <w:b/>
                <w:sz w:val="20"/>
              </w:rPr>
              <w:t>[0.854]</w:t>
            </w:r>
          </w:p>
        </w:tc>
        <w:tc>
          <w:tcPr>
            <w:tcW w:w="1005" w:type="dxa"/>
            <w:vAlign w:val="bottom"/>
          </w:tcPr>
          <w:p w:rsidR="00DF0276" w:rsidRDefault="00DF0276" w:rsidP="00317DF8">
            <w:pPr>
              <w:jc w:val="center"/>
              <w:rPr>
                <w:b/>
                <w:sz w:val="20"/>
              </w:rPr>
            </w:pPr>
            <w:r>
              <w:rPr>
                <w:b/>
                <w:sz w:val="20"/>
              </w:rPr>
              <w:t>[0.288]</w:t>
            </w:r>
          </w:p>
        </w:tc>
      </w:tr>
      <w:tr w:rsidR="00DF0276" w:rsidTr="00317DF8">
        <w:trPr>
          <w:trHeight w:val="255"/>
        </w:trPr>
        <w:tc>
          <w:tcPr>
            <w:tcW w:w="1995" w:type="dxa"/>
            <w:tcBorders>
              <w:top w:val="nil"/>
              <w:bottom w:val="nil"/>
              <w:right w:val="single" w:sz="4" w:space="0" w:color="auto"/>
            </w:tcBorders>
            <w:vAlign w:val="bottom"/>
          </w:tcPr>
          <w:p w:rsidR="00DF0276" w:rsidRDefault="00DF0276" w:rsidP="00317DF8">
            <w:pPr>
              <w:jc w:val="center"/>
              <w:rPr>
                <w:sz w:val="20"/>
              </w:rPr>
            </w:pPr>
            <w:r>
              <w:rPr>
                <w:sz w:val="20"/>
              </w:rPr>
              <w:t>Inflationdiff (π)</w:t>
            </w:r>
          </w:p>
        </w:tc>
        <w:tc>
          <w:tcPr>
            <w:tcW w:w="936" w:type="dxa"/>
            <w:tcBorders>
              <w:left w:val="single" w:sz="4" w:space="0" w:color="auto"/>
            </w:tcBorders>
            <w:vAlign w:val="bottom"/>
          </w:tcPr>
          <w:p w:rsidR="00DF0276" w:rsidRDefault="00DF0276" w:rsidP="00317DF8">
            <w:pPr>
              <w:jc w:val="center"/>
              <w:rPr>
                <w:b/>
                <w:sz w:val="20"/>
              </w:rPr>
            </w:pPr>
            <w:r>
              <w:rPr>
                <w:b/>
                <w:sz w:val="20"/>
              </w:rPr>
              <w:t>-1.565</w:t>
            </w:r>
          </w:p>
        </w:tc>
        <w:tc>
          <w:tcPr>
            <w:tcW w:w="960" w:type="dxa"/>
            <w:vAlign w:val="bottom"/>
          </w:tcPr>
          <w:p w:rsidR="00DF0276" w:rsidRDefault="00DF0276" w:rsidP="00317DF8">
            <w:pPr>
              <w:jc w:val="center"/>
              <w:rPr>
                <w:b/>
                <w:sz w:val="20"/>
              </w:rPr>
            </w:pPr>
            <w:r>
              <w:rPr>
                <w:b/>
                <w:sz w:val="20"/>
              </w:rPr>
              <w:t>-2.639</w:t>
            </w:r>
          </w:p>
        </w:tc>
        <w:tc>
          <w:tcPr>
            <w:tcW w:w="915" w:type="dxa"/>
            <w:vAlign w:val="bottom"/>
          </w:tcPr>
          <w:p w:rsidR="00DF0276" w:rsidRDefault="00DF0276" w:rsidP="00317DF8">
            <w:pPr>
              <w:jc w:val="center"/>
              <w:rPr>
                <w:b/>
                <w:sz w:val="20"/>
              </w:rPr>
            </w:pPr>
            <w:r>
              <w:rPr>
                <w:b/>
                <w:sz w:val="20"/>
              </w:rPr>
              <w:t>-1.512</w:t>
            </w:r>
          </w:p>
        </w:tc>
        <w:tc>
          <w:tcPr>
            <w:tcW w:w="1005" w:type="dxa"/>
            <w:vAlign w:val="bottom"/>
          </w:tcPr>
          <w:p w:rsidR="00DF0276" w:rsidRDefault="00DF0276" w:rsidP="00317DF8">
            <w:pPr>
              <w:jc w:val="center"/>
              <w:rPr>
                <w:b/>
                <w:sz w:val="20"/>
              </w:rPr>
            </w:pPr>
            <w:r>
              <w:rPr>
                <w:b/>
                <w:sz w:val="20"/>
              </w:rPr>
              <w:t>-2.860</w:t>
            </w:r>
          </w:p>
        </w:tc>
        <w:tc>
          <w:tcPr>
            <w:tcW w:w="1005" w:type="dxa"/>
            <w:vAlign w:val="bottom"/>
          </w:tcPr>
          <w:p w:rsidR="00DF0276" w:rsidRDefault="00DF0276" w:rsidP="00317DF8">
            <w:pPr>
              <w:jc w:val="center"/>
              <w:rPr>
                <w:b/>
                <w:sz w:val="20"/>
              </w:rPr>
            </w:pPr>
          </w:p>
        </w:tc>
        <w:tc>
          <w:tcPr>
            <w:tcW w:w="1005" w:type="dxa"/>
            <w:vAlign w:val="bottom"/>
          </w:tcPr>
          <w:p w:rsidR="00DF0276" w:rsidRDefault="00DF0276" w:rsidP="00317DF8">
            <w:pPr>
              <w:jc w:val="center"/>
              <w:rPr>
                <w:b/>
                <w:sz w:val="20"/>
              </w:rPr>
            </w:pPr>
          </w:p>
        </w:tc>
        <w:tc>
          <w:tcPr>
            <w:tcW w:w="1005" w:type="dxa"/>
            <w:vAlign w:val="bottom"/>
          </w:tcPr>
          <w:p w:rsidR="00DF0276" w:rsidRDefault="00DF0276" w:rsidP="00317DF8">
            <w:pPr>
              <w:jc w:val="center"/>
              <w:rPr>
                <w:b/>
                <w:sz w:val="20"/>
              </w:rPr>
            </w:pPr>
          </w:p>
        </w:tc>
      </w:tr>
      <w:tr w:rsidR="00DF0276" w:rsidTr="00317DF8">
        <w:trPr>
          <w:trHeight w:val="255"/>
        </w:trPr>
        <w:tc>
          <w:tcPr>
            <w:tcW w:w="1995" w:type="dxa"/>
            <w:tcBorders>
              <w:top w:val="nil"/>
              <w:bottom w:val="nil"/>
              <w:right w:val="single" w:sz="4" w:space="0" w:color="auto"/>
            </w:tcBorders>
            <w:vAlign w:val="bottom"/>
          </w:tcPr>
          <w:p w:rsidR="00DF0276" w:rsidRDefault="00DF0276" w:rsidP="00317DF8">
            <w:pPr>
              <w:jc w:val="center"/>
              <w:rPr>
                <w:sz w:val="20"/>
              </w:rPr>
            </w:pPr>
          </w:p>
        </w:tc>
        <w:tc>
          <w:tcPr>
            <w:tcW w:w="936" w:type="dxa"/>
            <w:tcBorders>
              <w:left w:val="single" w:sz="4" w:space="0" w:color="auto"/>
            </w:tcBorders>
            <w:vAlign w:val="bottom"/>
          </w:tcPr>
          <w:p w:rsidR="00DF0276" w:rsidRDefault="00DF0276" w:rsidP="00317DF8">
            <w:pPr>
              <w:jc w:val="center"/>
              <w:rPr>
                <w:b/>
                <w:sz w:val="20"/>
              </w:rPr>
            </w:pPr>
            <w:r>
              <w:rPr>
                <w:b/>
                <w:sz w:val="20"/>
              </w:rPr>
              <w:t>[0.927]</w:t>
            </w:r>
          </w:p>
        </w:tc>
        <w:tc>
          <w:tcPr>
            <w:tcW w:w="960" w:type="dxa"/>
            <w:vAlign w:val="bottom"/>
          </w:tcPr>
          <w:p w:rsidR="00DF0276" w:rsidRDefault="00DF0276" w:rsidP="00317DF8">
            <w:pPr>
              <w:jc w:val="center"/>
              <w:rPr>
                <w:b/>
                <w:sz w:val="20"/>
              </w:rPr>
            </w:pPr>
            <w:r>
              <w:rPr>
                <w:b/>
                <w:sz w:val="20"/>
              </w:rPr>
              <w:t>[1.156]</w:t>
            </w:r>
          </w:p>
        </w:tc>
        <w:tc>
          <w:tcPr>
            <w:tcW w:w="915" w:type="dxa"/>
            <w:vAlign w:val="bottom"/>
          </w:tcPr>
          <w:p w:rsidR="00DF0276" w:rsidRDefault="00DF0276" w:rsidP="00317DF8">
            <w:pPr>
              <w:jc w:val="center"/>
              <w:rPr>
                <w:b/>
                <w:sz w:val="20"/>
              </w:rPr>
            </w:pPr>
            <w:r>
              <w:rPr>
                <w:b/>
                <w:sz w:val="20"/>
              </w:rPr>
              <w:t>[0.930]</w:t>
            </w:r>
          </w:p>
        </w:tc>
        <w:tc>
          <w:tcPr>
            <w:tcW w:w="1005" w:type="dxa"/>
            <w:vAlign w:val="bottom"/>
          </w:tcPr>
          <w:p w:rsidR="00DF0276" w:rsidRDefault="00DF0276" w:rsidP="00317DF8">
            <w:pPr>
              <w:jc w:val="center"/>
              <w:rPr>
                <w:b/>
                <w:sz w:val="20"/>
              </w:rPr>
            </w:pPr>
            <w:r>
              <w:rPr>
                <w:b/>
                <w:sz w:val="20"/>
              </w:rPr>
              <w:t>[1.164]</w:t>
            </w:r>
          </w:p>
        </w:tc>
        <w:tc>
          <w:tcPr>
            <w:tcW w:w="1005" w:type="dxa"/>
            <w:vAlign w:val="bottom"/>
          </w:tcPr>
          <w:p w:rsidR="00DF0276" w:rsidRDefault="00DF0276" w:rsidP="00317DF8">
            <w:pPr>
              <w:jc w:val="center"/>
              <w:rPr>
                <w:b/>
                <w:sz w:val="20"/>
              </w:rPr>
            </w:pPr>
          </w:p>
        </w:tc>
        <w:tc>
          <w:tcPr>
            <w:tcW w:w="1005" w:type="dxa"/>
            <w:vAlign w:val="bottom"/>
          </w:tcPr>
          <w:p w:rsidR="00DF0276" w:rsidRDefault="00DF0276" w:rsidP="00317DF8">
            <w:pPr>
              <w:jc w:val="center"/>
              <w:rPr>
                <w:b/>
                <w:sz w:val="20"/>
              </w:rPr>
            </w:pPr>
          </w:p>
        </w:tc>
        <w:tc>
          <w:tcPr>
            <w:tcW w:w="1005" w:type="dxa"/>
            <w:vAlign w:val="bottom"/>
          </w:tcPr>
          <w:p w:rsidR="00DF0276" w:rsidRDefault="00DF0276" w:rsidP="00317DF8">
            <w:pPr>
              <w:jc w:val="center"/>
              <w:rPr>
                <w:b/>
                <w:sz w:val="20"/>
              </w:rPr>
            </w:pPr>
          </w:p>
        </w:tc>
      </w:tr>
      <w:tr w:rsidR="00DF0276" w:rsidTr="00317DF8">
        <w:trPr>
          <w:trHeight w:val="255"/>
        </w:trPr>
        <w:tc>
          <w:tcPr>
            <w:tcW w:w="1995" w:type="dxa"/>
            <w:tcBorders>
              <w:top w:val="nil"/>
              <w:bottom w:val="nil"/>
              <w:right w:val="single" w:sz="4" w:space="0" w:color="auto"/>
            </w:tcBorders>
            <w:vAlign w:val="bottom"/>
          </w:tcPr>
          <w:p w:rsidR="00DF0276" w:rsidRDefault="00DF0276" w:rsidP="00317DF8">
            <w:pPr>
              <w:jc w:val="center"/>
              <w:rPr>
                <w:sz w:val="20"/>
              </w:rPr>
            </w:pPr>
            <w:r>
              <w:rPr>
                <w:sz w:val="20"/>
              </w:rPr>
              <w:t>Depreciation ( Δs)</w:t>
            </w:r>
          </w:p>
        </w:tc>
        <w:tc>
          <w:tcPr>
            <w:tcW w:w="936" w:type="dxa"/>
            <w:tcBorders>
              <w:left w:val="single" w:sz="4" w:space="0" w:color="auto"/>
            </w:tcBorders>
            <w:vAlign w:val="bottom"/>
          </w:tcPr>
          <w:p w:rsidR="00DF0276" w:rsidRDefault="00DF0276" w:rsidP="00317DF8">
            <w:pPr>
              <w:jc w:val="center"/>
              <w:rPr>
                <w:b/>
                <w:sz w:val="20"/>
              </w:rPr>
            </w:pPr>
          </w:p>
        </w:tc>
        <w:tc>
          <w:tcPr>
            <w:tcW w:w="960" w:type="dxa"/>
            <w:vAlign w:val="bottom"/>
          </w:tcPr>
          <w:p w:rsidR="00DF0276" w:rsidRDefault="00DF0276" w:rsidP="00317DF8">
            <w:pPr>
              <w:jc w:val="center"/>
              <w:rPr>
                <w:b/>
                <w:sz w:val="20"/>
              </w:rPr>
            </w:pPr>
          </w:p>
        </w:tc>
        <w:tc>
          <w:tcPr>
            <w:tcW w:w="915" w:type="dxa"/>
            <w:vAlign w:val="bottom"/>
          </w:tcPr>
          <w:p w:rsidR="00DF0276" w:rsidRDefault="00DF0276" w:rsidP="00317DF8">
            <w:pPr>
              <w:jc w:val="center"/>
              <w:rPr>
                <w:b/>
                <w:sz w:val="20"/>
              </w:rPr>
            </w:pPr>
          </w:p>
        </w:tc>
        <w:tc>
          <w:tcPr>
            <w:tcW w:w="1005" w:type="dxa"/>
            <w:vAlign w:val="bottom"/>
          </w:tcPr>
          <w:p w:rsidR="00DF0276" w:rsidRDefault="00DF0276" w:rsidP="00317DF8">
            <w:pPr>
              <w:jc w:val="center"/>
              <w:rPr>
                <w:b/>
                <w:sz w:val="20"/>
              </w:rPr>
            </w:pPr>
          </w:p>
        </w:tc>
        <w:tc>
          <w:tcPr>
            <w:tcW w:w="1005" w:type="dxa"/>
            <w:vAlign w:val="bottom"/>
          </w:tcPr>
          <w:p w:rsidR="00DF0276" w:rsidRDefault="00DF0276" w:rsidP="00317DF8">
            <w:pPr>
              <w:jc w:val="center"/>
              <w:rPr>
                <w:sz w:val="20"/>
              </w:rPr>
            </w:pPr>
            <w:r>
              <w:rPr>
                <w:bCs/>
                <w:sz w:val="20"/>
              </w:rPr>
              <w:t>-1.079</w:t>
            </w:r>
          </w:p>
        </w:tc>
        <w:tc>
          <w:tcPr>
            <w:tcW w:w="1005" w:type="dxa"/>
            <w:vAlign w:val="bottom"/>
          </w:tcPr>
          <w:p w:rsidR="00DF0276" w:rsidRDefault="00DF0276" w:rsidP="00317DF8">
            <w:pPr>
              <w:jc w:val="center"/>
              <w:rPr>
                <w:sz w:val="20"/>
              </w:rPr>
            </w:pPr>
            <w:r>
              <w:rPr>
                <w:bCs/>
                <w:sz w:val="20"/>
              </w:rPr>
              <w:t>-0.920</w:t>
            </w:r>
          </w:p>
        </w:tc>
        <w:tc>
          <w:tcPr>
            <w:tcW w:w="1005" w:type="dxa"/>
            <w:vAlign w:val="bottom"/>
          </w:tcPr>
          <w:p w:rsidR="00DF0276" w:rsidRDefault="00DF0276" w:rsidP="00317DF8">
            <w:pPr>
              <w:jc w:val="center"/>
              <w:rPr>
                <w:b/>
                <w:sz w:val="20"/>
              </w:rPr>
            </w:pPr>
            <w:r>
              <w:rPr>
                <w:b/>
                <w:sz w:val="20"/>
              </w:rPr>
              <w:t>-1.095</w:t>
            </w:r>
          </w:p>
        </w:tc>
      </w:tr>
      <w:tr w:rsidR="00DF0276" w:rsidTr="00317DF8">
        <w:trPr>
          <w:trHeight w:val="255"/>
        </w:trPr>
        <w:tc>
          <w:tcPr>
            <w:tcW w:w="1995" w:type="dxa"/>
            <w:tcBorders>
              <w:top w:val="nil"/>
              <w:bottom w:val="nil"/>
              <w:right w:val="single" w:sz="4" w:space="0" w:color="auto"/>
            </w:tcBorders>
            <w:vAlign w:val="bottom"/>
          </w:tcPr>
          <w:p w:rsidR="00DF0276" w:rsidRDefault="00DF0276" w:rsidP="00317DF8">
            <w:pPr>
              <w:jc w:val="center"/>
              <w:rPr>
                <w:sz w:val="20"/>
              </w:rPr>
            </w:pPr>
          </w:p>
        </w:tc>
        <w:tc>
          <w:tcPr>
            <w:tcW w:w="936" w:type="dxa"/>
            <w:tcBorders>
              <w:left w:val="single" w:sz="4" w:space="0" w:color="auto"/>
            </w:tcBorders>
            <w:vAlign w:val="bottom"/>
          </w:tcPr>
          <w:p w:rsidR="00DF0276" w:rsidRDefault="00DF0276" w:rsidP="00317DF8">
            <w:pPr>
              <w:jc w:val="center"/>
              <w:rPr>
                <w:b/>
                <w:sz w:val="20"/>
              </w:rPr>
            </w:pPr>
          </w:p>
        </w:tc>
        <w:tc>
          <w:tcPr>
            <w:tcW w:w="960" w:type="dxa"/>
            <w:vAlign w:val="bottom"/>
          </w:tcPr>
          <w:p w:rsidR="00DF0276" w:rsidRDefault="00DF0276" w:rsidP="00317DF8">
            <w:pPr>
              <w:jc w:val="center"/>
              <w:rPr>
                <w:b/>
                <w:sz w:val="20"/>
              </w:rPr>
            </w:pPr>
          </w:p>
        </w:tc>
        <w:tc>
          <w:tcPr>
            <w:tcW w:w="915" w:type="dxa"/>
            <w:vAlign w:val="bottom"/>
          </w:tcPr>
          <w:p w:rsidR="00DF0276" w:rsidRDefault="00DF0276" w:rsidP="00317DF8">
            <w:pPr>
              <w:jc w:val="center"/>
              <w:rPr>
                <w:b/>
                <w:sz w:val="20"/>
              </w:rPr>
            </w:pPr>
          </w:p>
        </w:tc>
        <w:tc>
          <w:tcPr>
            <w:tcW w:w="1005" w:type="dxa"/>
            <w:vAlign w:val="bottom"/>
          </w:tcPr>
          <w:p w:rsidR="00DF0276" w:rsidRDefault="00DF0276" w:rsidP="00317DF8">
            <w:pPr>
              <w:jc w:val="center"/>
              <w:rPr>
                <w:b/>
                <w:sz w:val="20"/>
              </w:rPr>
            </w:pPr>
          </w:p>
        </w:tc>
        <w:tc>
          <w:tcPr>
            <w:tcW w:w="1005" w:type="dxa"/>
            <w:vAlign w:val="bottom"/>
          </w:tcPr>
          <w:p w:rsidR="00DF0276" w:rsidRDefault="00DF0276" w:rsidP="00317DF8">
            <w:pPr>
              <w:jc w:val="center"/>
              <w:rPr>
                <w:sz w:val="20"/>
              </w:rPr>
            </w:pPr>
            <w:r>
              <w:rPr>
                <w:bCs/>
                <w:sz w:val="20"/>
              </w:rPr>
              <w:t>[1.294]</w:t>
            </w:r>
          </w:p>
        </w:tc>
        <w:tc>
          <w:tcPr>
            <w:tcW w:w="1005" w:type="dxa"/>
            <w:vAlign w:val="bottom"/>
          </w:tcPr>
          <w:p w:rsidR="00DF0276" w:rsidRDefault="00DF0276" w:rsidP="00317DF8">
            <w:pPr>
              <w:jc w:val="center"/>
              <w:rPr>
                <w:sz w:val="20"/>
              </w:rPr>
            </w:pPr>
            <w:r>
              <w:rPr>
                <w:bCs/>
                <w:sz w:val="20"/>
              </w:rPr>
              <w:t>[1.306]</w:t>
            </w:r>
          </w:p>
        </w:tc>
        <w:tc>
          <w:tcPr>
            <w:tcW w:w="1005" w:type="dxa"/>
            <w:vAlign w:val="bottom"/>
          </w:tcPr>
          <w:p w:rsidR="00DF0276" w:rsidRDefault="00DF0276" w:rsidP="00317DF8">
            <w:pPr>
              <w:jc w:val="center"/>
              <w:rPr>
                <w:b/>
                <w:sz w:val="20"/>
              </w:rPr>
            </w:pPr>
            <w:r>
              <w:rPr>
                <w:b/>
                <w:sz w:val="20"/>
              </w:rPr>
              <w:t>[0.594]</w:t>
            </w:r>
          </w:p>
        </w:tc>
      </w:tr>
      <w:tr w:rsidR="00DF0276" w:rsidTr="00317DF8">
        <w:trPr>
          <w:trHeight w:val="255"/>
        </w:trPr>
        <w:tc>
          <w:tcPr>
            <w:tcW w:w="1995" w:type="dxa"/>
            <w:tcBorders>
              <w:top w:val="nil"/>
              <w:bottom w:val="nil"/>
              <w:right w:val="single" w:sz="4" w:space="0" w:color="auto"/>
            </w:tcBorders>
            <w:vAlign w:val="bottom"/>
          </w:tcPr>
          <w:p w:rsidR="00DF0276" w:rsidRDefault="00DF0276" w:rsidP="00317DF8">
            <w:pPr>
              <w:jc w:val="center"/>
              <w:rPr>
                <w:sz w:val="20"/>
              </w:rPr>
            </w:pPr>
            <w:r>
              <w:rPr>
                <w:sz w:val="20"/>
              </w:rPr>
              <w:t>Exratevar (σ)</w:t>
            </w:r>
          </w:p>
        </w:tc>
        <w:tc>
          <w:tcPr>
            <w:tcW w:w="936" w:type="dxa"/>
            <w:tcBorders>
              <w:left w:val="single" w:sz="4" w:space="0" w:color="auto"/>
            </w:tcBorders>
            <w:vAlign w:val="bottom"/>
          </w:tcPr>
          <w:p w:rsidR="00DF0276" w:rsidRDefault="00DF0276" w:rsidP="00317DF8">
            <w:pPr>
              <w:jc w:val="center"/>
              <w:rPr>
                <w:sz w:val="20"/>
              </w:rPr>
            </w:pPr>
            <w:r>
              <w:rPr>
                <w:bCs/>
                <w:sz w:val="20"/>
              </w:rPr>
              <w:t>-0.445</w:t>
            </w:r>
          </w:p>
        </w:tc>
        <w:tc>
          <w:tcPr>
            <w:tcW w:w="960" w:type="dxa"/>
            <w:vAlign w:val="bottom"/>
          </w:tcPr>
          <w:p w:rsidR="00DF0276" w:rsidRDefault="00DF0276" w:rsidP="00317DF8">
            <w:pPr>
              <w:jc w:val="center"/>
              <w:rPr>
                <w:b/>
                <w:sz w:val="20"/>
              </w:rPr>
            </w:pPr>
            <w:r>
              <w:rPr>
                <w:b/>
                <w:sz w:val="20"/>
              </w:rPr>
              <w:t>-0.981</w:t>
            </w:r>
          </w:p>
        </w:tc>
        <w:tc>
          <w:tcPr>
            <w:tcW w:w="915" w:type="dxa"/>
            <w:vAlign w:val="bottom"/>
          </w:tcPr>
          <w:p w:rsidR="00DF0276" w:rsidRDefault="00DF0276" w:rsidP="00317DF8">
            <w:pPr>
              <w:jc w:val="center"/>
              <w:rPr>
                <w:sz w:val="20"/>
              </w:rPr>
            </w:pPr>
            <w:r>
              <w:rPr>
                <w:bCs/>
                <w:sz w:val="20"/>
              </w:rPr>
              <w:t>-</w:t>
            </w:r>
            <w:r>
              <w:rPr>
                <w:sz w:val="20"/>
              </w:rPr>
              <w:t>0.</w:t>
            </w:r>
            <w:r>
              <w:rPr>
                <w:bCs/>
                <w:sz w:val="20"/>
              </w:rPr>
              <w:t>594</w:t>
            </w:r>
          </w:p>
        </w:tc>
        <w:tc>
          <w:tcPr>
            <w:tcW w:w="1005" w:type="dxa"/>
            <w:vAlign w:val="bottom"/>
          </w:tcPr>
          <w:p w:rsidR="00DF0276" w:rsidRDefault="00DF0276" w:rsidP="00317DF8">
            <w:pPr>
              <w:jc w:val="center"/>
              <w:rPr>
                <w:b/>
                <w:sz w:val="20"/>
              </w:rPr>
            </w:pPr>
            <w:r>
              <w:rPr>
                <w:b/>
                <w:sz w:val="20"/>
              </w:rPr>
              <w:t>-1.395</w:t>
            </w:r>
          </w:p>
        </w:tc>
        <w:tc>
          <w:tcPr>
            <w:tcW w:w="1005" w:type="dxa"/>
            <w:vAlign w:val="bottom"/>
          </w:tcPr>
          <w:p w:rsidR="00DF0276" w:rsidRDefault="00DF0276" w:rsidP="00317DF8">
            <w:pPr>
              <w:jc w:val="center"/>
              <w:rPr>
                <w:sz w:val="20"/>
              </w:rPr>
            </w:pPr>
            <w:r>
              <w:rPr>
                <w:bCs/>
                <w:sz w:val="20"/>
              </w:rPr>
              <w:t>-0.583</w:t>
            </w:r>
          </w:p>
        </w:tc>
        <w:tc>
          <w:tcPr>
            <w:tcW w:w="1005" w:type="dxa"/>
            <w:vAlign w:val="bottom"/>
          </w:tcPr>
          <w:p w:rsidR="00DF0276" w:rsidRDefault="00DF0276" w:rsidP="00317DF8">
            <w:pPr>
              <w:jc w:val="center"/>
              <w:rPr>
                <w:sz w:val="20"/>
              </w:rPr>
            </w:pPr>
            <w:r>
              <w:rPr>
                <w:bCs/>
                <w:sz w:val="20"/>
              </w:rPr>
              <w:t>-0.798</w:t>
            </w:r>
          </w:p>
        </w:tc>
        <w:tc>
          <w:tcPr>
            <w:tcW w:w="1005" w:type="dxa"/>
            <w:vAlign w:val="bottom"/>
          </w:tcPr>
          <w:p w:rsidR="00DF0276" w:rsidRDefault="00DF0276" w:rsidP="00317DF8">
            <w:pPr>
              <w:jc w:val="center"/>
              <w:rPr>
                <w:b/>
                <w:sz w:val="20"/>
              </w:rPr>
            </w:pPr>
            <w:r>
              <w:rPr>
                <w:b/>
                <w:sz w:val="20"/>
              </w:rPr>
              <w:t>-1.251</w:t>
            </w:r>
          </w:p>
        </w:tc>
      </w:tr>
      <w:tr w:rsidR="00DF0276" w:rsidTr="00317DF8">
        <w:trPr>
          <w:trHeight w:val="255"/>
        </w:trPr>
        <w:tc>
          <w:tcPr>
            <w:tcW w:w="1995" w:type="dxa"/>
            <w:tcBorders>
              <w:top w:val="nil"/>
              <w:bottom w:val="nil"/>
              <w:right w:val="single" w:sz="4" w:space="0" w:color="auto"/>
            </w:tcBorders>
            <w:vAlign w:val="bottom"/>
          </w:tcPr>
          <w:p w:rsidR="00DF0276" w:rsidRDefault="00DF0276" w:rsidP="00317DF8">
            <w:pPr>
              <w:jc w:val="center"/>
              <w:rPr>
                <w:sz w:val="20"/>
              </w:rPr>
            </w:pPr>
          </w:p>
        </w:tc>
        <w:tc>
          <w:tcPr>
            <w:tcW w:w="936" w:type="dxa"/>
            <w:tcBorders>
              <w:left w:val="single" w:sz="4" w:space="0" w:color="auto"/>
            </w:tcBorders>
            <w:vAlign w:val="bottom"/>
          </w:tcPr>
          <w:p w:rsidR="00DF0276" w:rsidRDefault="00DF0276" w:rsidP="00317DF8">
            <w:pPr>
              <w:jc w:val="center"/>
              <w:rPr>
                <w:sz w:val="20"/>
              </w:rPr>
            </w:pPr>
            <w:r>
              <w:rPr>
                <w:bCs/>
                <w:sz w:val="20"/>
              </w:rPr>
              <w:t>[0.457]</w:t>
            </w:r>
          </w:p>
        </w:tc>
        <w:tc>
          <w:tcPr>
            <w:tcW w:w="960" w:type="dxa"/>
            <w:vAlign w:val="bottom"/>
          </w:tcPr>
          <w:p w:rsidR="00DF0276" w:rsidRDefault="00DF0276" w:rsidP="00317DF8">
            <w:pPr>
              <w:jc w:val="center"/>
              <w:rPr>
                <w:b/>
                <w:sz w:val="20"/>
              </w:rPr>
            </w:pPr>
            <w:r>
              <w:rPr>
                <w:b/>
                <w:sz w:val="20"/>
              </w:rPr>
              <w:t>[0.573]</w:t>
            </w:r>
          </w:p>
        </w:tc>
        <w:tc>
          <w:tcPr>
            <w:tcW w:w="915" w:type="dxa"/>
            <w:vAlign w:val="bottom"/>
          </w:tcPr>
          <w:p w:rsidR="00DF0276" w:rsidRDefault="00DF0276" w:rsidP="00317DF8">
            <w:pPr>
              <w:jc w:val="center"/>
              <w:rPr>
                <w:sz w:val="20"/>
              </w:rPr>
            </w:pPr>
            <w:r>
              <w:rPr>
                <w:sz w:val="20"/>
              </w:rPr>
              <w:t>[0.</w:t>
            </w:r>
            <w:r>
              <w:rPr>
                <w:bCs/>
                <w:sz w:val="20"/>
              </w:rPr>
              <w:t>491]</w:t>
            </w:r>
          </w:p>
        </w:tc>
        <w:tc>
          <w:tcPr>
            <w:tcW w:w="1005" w:type="dxa"/>
            <w:vAlign w:val="bottom"/>
          </w:tcPr>
          <w:p w:rsidR="00DF0276" w:rsidRDefault="00DF0276" w:rsidP="00317DF8">
            <w:pPr>
              <w:jc w:val="center"/>
              <w:rPr>
                <w:b/>
                <w:sz w:val="20"/>
              </w:rPr>
            </w:pPr>
            <w:r>
              <w:rPr>
                <w:b/>
                <w:sz w:val="20"/>
              </w:rPr>
              <w:t>[0.644]</w:t>
            </w:r>
          </w:p>
        </w:tc>
        <w:tc>
          <w:tcPr>
            <w:tcW w:w="1005" w:type="dxa"/>
            <w:vAlign w:val="bottom"/>
          </w:tcPr>
          <w:p w:rsidR="00DF0276" w:rsidRDefault="00DF0276" w:rsidP="00317DF8">
            <w:pPr>
              <w:jc w:val="center"/>
              <w:rPr>
                <w:sz w:val="20"/>
              </w:rPr>
            </w:pPr>
            <w:r>
              <w:rPr>
                <w:sz w:val="20"/>
              </w:rPr>
              <w:t>[0.</w:t>
            </w:r>
            <w:r>
              <w:rPr>
                <w:bCs/>
                <w:sz w:val="20"/>
              </w:rPr>
              <w:t>581]</w:t>
            </w:r>
          </w:p>
        </w:tc>
        <w:tc>
          <w:tcPr>
            <w:tcW w:w="1005" w:type="dxa"/>
            <w:vAlign w:val="bottom"/>
          </w:tcPr>
          <w:p w:rsidR="00DF0276" w:rsidRDefault="00DF0276" w:rsidP="00317DF8">
            <w:pPr>
              <w:jc w:val="center"/>
              <w:rPr>
                <w:sz w:val="20"/>
              </w:rPr>
            </w:pPr>
            <w:r>
              <w:rPr>
                <w:bCs/>
                <w:sz w:val="20"/>
              </w:rPr>
              <w:t>[0.624]</w:t>
            </w:r>
          </w:p>
        </w:tc>
        <w:tc>
          <w:tcPr>
            <w:tcW w:w="1005" w:type="dxa"/>
            <w:vAlign w:val="bottom"/>
          </w:tcPr>
          <w:p w:rsidR="00DF0276" w:rsidRDefault="00DF0276" w:rsidP="00317DF8">
            <w:pPr>
              <w:jc w:val="center"/>
              <w:rPr>
                <w:b/>
                <w:sz w:val="20"/>
              </w:rPr>
            </w:pPr>
            <w:r>
              <w:rPr>
                <w:b/>
                <w:sz w:val="20"/>
              </w:rPr>
              <w:t>[0.341]</w:t>
            </w:r>
          </w:p>
        </w:tc>
      </w:tr>
      <w:tr w:rsidR="00DF0276" w:rsidTr="00317DF8">
        <w:trPr>
          <w:trHeight w:val="255"/>
        </w:trPr>
        <w:tc>
          <w:tcPr>
            <w:tcW w:w="1995" w:type="dxa"/>
            <w:tcBorders>
              <w:top w:val="nil"/>
              <w:bottom w:val="nil"/>
              <w:right w:val="single" w:sz="4" w:space="0" w:color="auto"/>
            </w:tcBorders>
            <w:vAlign w:val="bottom"/>
          </w:tcPr>
          <w:p w:rsidR="00DF0276" w:rsidRDefault="00DF0276" w:rsidP="00317DF8">
            <w:pPr>
              <w:jc w:val="center"/>
              <w:rPr>
                <w:sz w:val="20"/>
              </w:rPr>
            </w:pPr>
            <w:r>
              <w:rPr>
                <w:sz w:val="20"/>
              </w:rPr>
              <w:t>Fxturnoverratio (to)</w:t>
            </w:r>
          </w:p>
        </w:tc>
        <w:tc>
          <w:tcPr>
            <w:tcW w:w="936" w:type="dxa"/>
            <w:tcBorders>
              <w:left w:val="single" w:sz="4" w:space="0" w:color="auto"/>
            </w:tcBorders>
            <w:vAlign w:val="bottom"/>
          </w:tcPr>
          <w:p w:rsidR="00DF0276" w:rsidRDefault="00DF0276" w:rsidP="00317DF8">
            <w:pPr>
              <w:jc w:val="center"/>
              <w:rPr>
                <w:sz w:val="20"/>
              </w:rPr>
            </w:pPr>
          </w:p>
        </w:tc>
        <w:tc>
          <w:tcPr>
            <w:tcW w:w="960" w:type="dxa"/>
            <w:vAlign w:val="bottom"/>
          </w:tcPr>
          <w:p w:rsidR="00DF0276" w:rsidRDefault="00DF0276" w:rsidP="00317DF8">
            <w:pPr>
              <w:jc w:val="center"/>
              <w:rPr>
                <w:sz w:val="20"/>
              </w:rPr>
            </w:pPr>
            <w:r>
              <w:rPr>
                <w:bCs/>
                <w:sz w:val="20"/>
              </w:rPr>
              <w:t>0.446</w:t>
            </w:r>
          </w:p>
        </w:tc>
        <w:tc>
          <w:tcPr>
            <w:tcW w:w="915" w:type="dxa"/>
            <w:vAlign w:val="bottom"/>
          </w:tcPr>
          <w:p w:rsidR="00DF0276" w:rsidRDefault="00DF0276" w:rsidP="00317DF8">
            <w:pPr>
              <w:jc w:val="center"/>
              <w:rPr>
                <w:b/>
                <w:sz w:val="20"/>
              </w:rPr>
            </w:pPr>
          </w:p>
        </w:tc>
        <w:tc>
          <w:tcPr>
            <w:tcW w:w="1005" w:type="dxa"/>
            <w:vAlign w:val="bottom"/>
          </w:tcPr>
          <w:p w:rsidR="00DF0276" w:rsidRDefault="00DF0276" w:rsidP="00317DF8">
            <w:pPr>
              <w:jc w:val="center"/>
              <w:rPr>
                <w:b/>
                <w:sz w:val="20"/>
              </w:rPr>
            </w:pPr>
            <w:r>
              <w:rPr>
                <w:b/>
                <w:sz w:val="20"/>
              </w:rPr>
              <w:t>0.576</w:t>
            </w:r>
          </w:p>
        </w:tc>
        <w:tc>
          <w:tcPr>
            <w:tcW w:w="1005" w:type="dxa"/>
            <w:vAlign w:val="bottom"/>
          </w:tcPr>
          <w:p w:rsidR="00DF0276" w:rsidRDefault="00DF0276" w:rsidP="00317DF8">
            <w:pPr>
              <w:jc w:val="center"/>
              <w:rPr>
                <w:sz w:val="20"/>
              </w:rPr>
            </w:pPr>
            <w:r>
              <w:rPr>
                <w:sz w:val="20"/>
              </w:rPr>
              <w:t>0.</w:t>
            </w:r>
            <w:r>
              <w:rPr>
                <w:bCs/>
                <w:sz w:val="20"/>
              </w:rPr>
              <w:t>208</w:t>
            </w:r>
          </w:p>
        </w:tc>
        <w:tc>
          <w:tcPr>
            <w:tcW w:w="1005" w:type="dxa"/>
            <w:vAlign w:val="bottom"/>
          </w:tcPr>
          <w:p w:rsidR="00DF0276" w:rsidRDefault="00DF0276" w:rsidP="00317DF8">
            <w:pPr>
              <w:jc w:val="center"/>
              <w:rPr>
                <w:sz w:val="20"/>
              </w:rPr>
            </w:pPr>
            <w:r>
              <w:rPr>
                <w:bCs/>
                <w:sz w:val="20"/>
              </w:rPr>
              <w:t>0.252</w:t>
            </w:r>
          </w:p>
        </w:tc>
        <w:tc>
          <w:tcPr>
            <w:tcW w:w="1005" w:type="dxa"/>
            <w:vAlign w:val="bottom"/>
          </w:tcPr>
          <w:p w:rsidR="00DF0276" w:rsidRDefault="00DF0276" w:rsidP="00317DF8">
            <w:pPr>
              <w:jc w:val="center"/>
              <w:rPr>
                <w:sz w:val="20"/>
              </w:rPr>
            </w:pPr>
            <w:r>
              <w:rPr>
                <w:sz w:val="20"/>
              </w:rPr>
              <w:t>0.</w:t>
            </w:r>
            <w:r>
              <w:rPr>
                <w:bCs/>
                <w:sz w:val="20"/>
              </w:rPr>
              <w:t>427</w:t>
            </w:r>
          </w:p>
        </w:tc>
      </w:tr>
      <w:tr w:rsidR="00DF0276" w:rsidTr="00317DF8">
        <w:trPr>
          <w:trHeight w:val="255"/>
        </w:trPr>
        <w:tc>
          <w:tcPr>
            <w:tcW w:w="1995" w:type="dxa"/>
            <w:tcBorders>
              <w:top w:val="nil"/>
              <w:bottom w:val="nil"/>
              <w:right w:val="single" w:sz="4" w:space="0" w:color="auto"/>
            </w:tcBorders>
            <w:vAlign w:val="bottom"/>
          </w:tcPr>
          <w:p w:rsidR="00DF0276" w:rsidRDefault="00DF0276" w:rsidP="00317DF8">
            <w:pPr>
              <w:jc w:val="center"/>
              <w:rPr>
                <w:sz w:val="20"/>
              </w:rPr>
            </w:pPr>
          </w:p>
        </w:tc>
        <w:tc>
          <w:tcPr>
            <w:tcW w:w="936" w:type="dxa"/>
            <w:tcBorders>
              <w:left w:val="single" w:sz="4" w:space="0" w:color="auto"/>
            </w:tcBorders>
            <w:vAlign w:val="bottom"/>
          </w:tcPr>
          <w:p w:rsidR="00DF0276" w:rsidRDefault="00DF0276" w:rsidP="00317DF8">
            <w:pPr>
              <w:jc w:val="center"/>
              <w:rPr>
                <w:sz w:val="20"/>
              </w:rPr>
            </w:pPr>
          </w:p>
        </w:tc>
        <w:tc>
          <w:tcPr>
            <w:tcW w:w="960" w:type="dxa"/>
            <w:vAlign w:val="bottom"/>
          </w:tcPr>
          <w:p w:rsidR="00DF0276" w:rsidRDefault="00DF0276" w:rsidP="00317DF8">
            <w:pPr>
              <w:jc w:val="center"/>
              <w:rPr>
                <w:sz w:val="20"/>
              </w:rPr>
            </w:pPr>
            <w:r>
              <w:rPr>
                <w:bCs/>
                <w:sz w:val="20"/>
              </w:rPr>
              <w:t>[0.289]</w:t>
            </w:r>
          </w:p>
        </w:tc>
        <w:tc>
          <w:tcPr>
            <w:tcW w:w="915" w:type="dxa"/>
            <w:vAlign w:val="bottom"/>
          </w:tcPr>
          <w:p w:rsidR="00DF0276" w:rsidRDefault="00DF0276" w:rsidP="00317DF8">
            <w:pPr>
              <w:jc w:val="center"/>
              <w:rPr>
                <w:b/>
                <w:sz w:val="20"/>
              </w:rPr>
            </w:pPr>
          </w:p>
        </w:tc>
        <w:tc>
          <w:tcPr>
            <w:tcW w:w="1005" w:type="dxa"/>
            <w:vAlign w:val="bottom"/>
          </w:tcPr>
          <w:p w:rsidR="00DF0276" w:rsidRDefault="00DF0276" w:rsidP="00317DF8">
            <w:pPr>
              <w:jc w:val="center"/>
              <w:rPr>
                <w:b/>
                <w:sz w:val="20"/>
              </w:rPr>
            </w:pPr>
            <w:r>
              <w:rPr>
                <w:b/>
                <w:sz w:val="20"/>
              </w:rPr>
              <w:t>[0.303]</w:t>
            </w:r>
          </w:p>
        </w:tc>
        <w:tc>
          <w:tcPr>
            <w:tcW w:w="1005" w:type="dxa"/>
            <w:vAlign w:val="bottom"/>
          </w:tcPr>
          <w:p w:rsidR="00DF0276" w:rsidRDefault="00DF0276" w:rsidP="00317DF8">
            <w:pPr>
              <w:jc w:val="center"/>
              <w:rPr>
                <w:sz w:val="20"/>
              </w:rPr>
            </w:pPr>
            <w:r>
              <w:rPr>
                <w:sz w:val="20"/>
              </w:rPr>
              <w:t>[0.</w:t>
            </w:r>
            <w:r>
              <w:rPr>
                <w:bCs/>
                <w:sz w:val="20"/>
              </w:rPr>
              <w:t>302]</w:t>
            </w:r>
          </w:p>
        </w:tc>
        <w:tc>
          <w:tcPr>
            <w:tcW w:w="1005" w:type="dxa"/>
            <w:vAlign w:val="bottom"/>
          </w:tcPr>
          <w:p w:rsidR="00DF0276" w:rsidRDefault="00DF0276" w:rsidP="00317DF8">
            <w:pPr>
              <w:jc w:val="center"/>
              <w:rPr>
                <w:sz w:val="20"/>
              </w:rPr>
            </w:pPr>
            <w:r>
              <w:rPr>
                <w:bCs/>
                <w:sz w:val="20"/>
              </w:rPr>
              <w:t>[0.305]</w:t>
            </w:r>
          </w:p>
        </w:tc>
        <w:tc>
          <w:tcPr>
            <w:tcW w:w="1005" w:type="dxa"/>
            <w:vAlign w:val="bottom"/>
          </w:tcPr>
          <w:p w:rsidR="00DF0276" w:rsidRDefault="00DF0276" w:rsidP="00317DF8">
            <w:pPr>
              <w:jc w:val="center"/>
              <w:rPr>
                <w:sz w:val="20"/>
              </w:rPr>
            </w:pPr>
            <w:r>
              <w:rPr>
                <w:sz w:val="20"/>
              </w:rPr>
              <w:t>[0.</w:t>
            </w:r>
            <w:r>
              <w:rPr>
                <w:bCs/>
                <w:sz w:val="20"/>
              </w:rPr>
              <w:t>145]</w:t>
            </w:r>
          </w:p>
        </w:tc>
      </w:tr>
      <w:tr w:rsidR="00DF0276" w:rsidTr="00317DF8">
        <w:trPr>
          <w:trHeight w:val="255"/>
        </w:trPr>
        <w:tc>
          <w:tcPr>
            <w:tcW w:w="1995" w:type="dxa"/>
            <w:tcBorders>
              <w:top w:val="nil"/>
              <w:bottom w:val="nil"/>
              <w:right w:val="single" w:sz="4" w:space="0" w:color="auto"/>
            </w:tcBorders>
            <w:vAlign w:val="bottom"/>
          </w:tcPr>
          <w:p w:rsidR="00DF0276" w:rsidRDefault="00DF0276" w:rsidP="00317DF8">
            <w:pPr>
              <w:jc w:val="center"/>
              <w:rPr>
                <w:sz w:val="20"/>
              </w:rPr>
            </w:pPr>
            <w:r>
              <w:rPr>
                <w:sz w:val="20"/>
              </w:rPr>
              <w:t>GDPleader (leader)</w:t>
            </w:r>
          </w:p>
        </w:tc>
        <w:tc>
          <w:tcPr>
            <w:tcW w:w="936" w:type="dxa"/>
            <w:tcBorders>
              <w:left w:val="single" w:sz="4" w:space="0" w:color="auto"/>
            </w:tcBorders>
            <w:vAlign w:val="bottom"/>
          </w:tcPr>
          <w:p w:rsidR="00DF0276" w:rsidRDefault="00DF0276" w:rsidP="00317DF8">
            <w:pPr>
              <w:jc w:val="center"/>
              <w:rPr>
                <w:sz w:val="20"/>
              </w:rPr>
            </w:pPr>
          </w:p>
        </w:tc>
        <w:tc>
          <w:tcPr>
            <w:tcW w:w="960" w:type="dxa"/>
            <w:vAlign w:val="bottom"/>
          </w:tcPr>
          <w:p w:rsidR="00DF0276" w:rsidRDefault="00DF0276" w:rsidP="00317DF8">
            <w:pPr>
              <w:jc w:val="center"/>
              <w:rPr>
                <w:sz w:val="20"/>
              </w:rPr>
            </w:pPr>
          </w:p>
        </w:tc>
        <w:tc>
          <w:tcPr>
            <w:tcW w:w="915" w:type="dxa"/>
            <w:vAlign w:val="bottom"/>
          </w:tcPr>
          <w:p w:rsidR="00DF0276" w:rsidRDefault="00DF0276" w:rsidP="00317DF8">
            <w:pPr>
              <w:jc w:val="center"/>
              <w:rPr>
                <w:sz w:val="20"/>
              </w:rPr>
            </w:pPr>
            <w:r>
              <w:rPr>
                <w:bCs/>
                <w:sz w:val="20"/>
              </w:rPr>
              <w:t>-0.125</w:t>
            </w:r>
          </w:p>
        </w:tc>
        <w:tc>
          <w:tcPr>
            <w:tcW w:w="1005" w:type="dxa"/>
            <w:vAlign w:val="bottom"/>
          </w:tcPr>
          <w:p w:rsidR="00DF0276" w:rsidRDefault="00DF0276" w:rsidP="00317DF8">
            <w:pPr>
              <w:jc w:val="center"/>
              <w:rPr>
                <w:sz w:val="20"/>
              </w:rPr>
            </w:pPr>
            <w:r>
              <w:rPr>
                <w:bCs/>
                <w:sz w:val="20"/>
              </w:rPr>
              <w:t>-0.217</w:t>
            </w:r>
          </w:p>
        </w:tc>
        <w:tc>
          <w:tcPr>
            <w:tcW w:w="1005" w:type="dxa"/>
            <w:vAlign w:val="bottom"/>
          </w:tcPr>
          <w:p w:rsidR="00DF0276" w:rsidRDefault="00DF0276" w:rsidP="00317DF8">
            <w:pPr>
              <w:jc w:val="center"/>
              <w:rPr>
                <w:sz w:val="20"/>
              </w:rPr>
            </w:pPr>
          </w:p>
        </w:tc>
        <w:tc>
          <w:tcPr>
            <w:tcW w:w="1005" w:type="dxa"/>
            <w:vAlign w:val="bottom"/>
          </w:tcPr>
          <w:p w:rsidR="00DF0276" w:rsidRDefault="00DF0276" w:rsidP="00317DF8">
            <w:pPr>
              <w:jc w:val="center"/>
              <w:rPr>
                <w:sz w:val="20"/>
              </w:rPr>
            </w:pPr>
            <w:r>
              <w:rPr>
                <w:bCs/>
                <w:sz w:val="20"/>
              </w:rPr>
              <w:t>-0.150</w:t>
            </w:r>
          </w:p>
        </w:tc>
        <w:tc>
          <w:tcPr>
            <w:tcW w:w="1005" w:type="dxa"/>
            <w:vAlign w:val="bottom"/>
          </w:tcPr>
          <w:p w:rsidR="00DF0276" w:rsidRDefault="00DF0276" w:rsidP="00317DF8">
            <w:pPr>
              <w:jc w:val="center"/>
              <w:rPr>
                <w:sz w:val="20"/>
              </w:rPr>
            </w:pPr>
          </w:p>
        </w:tc>
      </w:tr>
      <w:tr w:rsidR="00DF0276" w:rsidTr="00317DF8">
        <w:trPr>
          <w:trHeight w:val="255"/>
        </w:trPr>
        <w:tc>
          <w:tcPr>
            <w:tcW w:w="1995" w:type="dxa"/>
            <w:tcBorders>
              <w:top w:val="nil"/>
              <w:bottom w:val="nil"/>
              <w:right w:val="single" w:sz="4" w:space="0" w:color="auto"/>
            </w:tcBorders>
            <w:vAlign w:val="bottom"/>
          </w:tcPr>
          <w:p w:rsidR="00DF0276" w:rsidRDefault="00DF0276" w:rsidP="00317DF8">
            <w:pPr>
              <w:jc w:val="center"/>
              <w:rPr>
                <w:sz w:val="20"/>
              </w:rPr>
            </w:pPr>
          </w:p>
        </w:tc>
        <w:tc>
          <w:tcPr>
            <w:tcW w:w="936" w:type="dxa"/>
            <w:tcBorders>
              <w:left w:val="single" w:sz="4" w:space="0" w:color="auto"/>
            </w:tcBorders>
            <w:vAlign w:val="bottom"/>
          </w:tcPr>
          <w:p w:rsidR="00DF0276" w:rsidRDefault="00DF0276" w:rsidP="00317DF8">
            <w:pPr>
              <w:jc w:val="center"/>
              <w:rPr>
                <w:sz w:val="20"/>
              </w:rPr>
            </w:pPr>
          </w:p>
        </w:tc>
        <w:tc>
          <w:tcPr>
            <w:tcW w:w="960" w:type="dxa"/>
            <w:vAlign w:val="bottom"/>
          </w:tcPr>
          <w:p w:rsidR="00DF0276" w:rsidRDefault="00DF0276" w:rsidP="00317DF8">
            <w:pPr>
              <w:jc w:val="center"/>
              <w:rPr>
                <w:sz w:val="20"/>
              </w:rPr>
            </w:pPr>
          </w:p>
        </w:tc>
        <w:tc>
          <w:tcPr>
            <w:tcW w:w="915" w:type="dxa"/>
            <w:vAlign w:val="bottom"/>
          </w:tcPr>
          <w:p w:rsidR="00DF0276" w:rsidRDefault="00DF0276" w:rsidP="00317DF8">
            <w:pPr>
              <w:jc w:val="center"/>
              <w:rPr>
                <w:bCs/>
                <w:sz w:val="20"/>
              </w:rPr>
            </w:pPr>
            <w:r>
              <w:rPr>
                <w:bCs/>
                <w:sz w:val="20"/>
              </w:rPr>
              <w:t>[0.150]</w:t>
            </w:r>
          </w:p>
        </w:tc>
        <w:tc>
          <w:tcPr>
            <w:tcW w:w="1005" w:type="dxa"/>
            <w:vAlign w:val="bottom"/>
          </w:tcPr>
          <w:p w:rsidR="00DF0276" w:rsidRDefault="00DF0276" w:rsidP="00317DF8">
            <w:pPr>
              <w:jc w:val="center"/>
              <w:rPr>
                <w:bCs/>
                <w:sz w:val="20"/>
              </w:rPr>
            </w:pPr>
            <w:r>
              <w:rPr>
                <w:bCs/>
                <w:sz w:val="20"/>
              </w:rPr>
              <w:t>[0.156]</w:t>
            </w:r>
          </w:p>
        </w:tc>
        <w:tc>
          <w:tcPr>
            <w:tcW w:w="1005" w:type="dxa"/>
            <w:vAlign w:val="bottom"/>
          </w:tcPr>
          <w:p w:rsidR="00DF0276" w:rsidRDefault="00DF0276" w:rsidP="00317DF8">
            <w:pPr>
              <w:jc w:val="center"/>
              <w:rPr>
                <w:bCs/>
                <w:sz w:val="20"/>
              </w:rPr>
            </w:pPr>
          </w:p>
        </w:tc>
        <w:tc>
          <w:tcPr>
            <w:tcW w:w="1005" w:type="dxa"/>
            <w:vAlign w:val="bottom"/>
          </w:tcPr>
          <w:p w:rsidR="00DF0276" w:rsidRDefault="00DF0276" w:rsidP="00317DF8">
            <w:pPr>
              <w:jc w:val="center"/>
              <w:rPr>
                <w:bCs/>
                <w:sz w:val="20"/>
              </w:rPr>
            </w:pPr>
            <w:r>
              <w:rPr>
                <w:bCs/>
                <w:sz w:val="20"/>
              </w:rPr>
              <w:t>0.159</w:t>
            </w:r>
          </w:p>
        </w:tc>
        <w:tc>
          <w:tcPr>
            <w:tcW w:w="1005" w:type="dxa"/>
            <w:vAlign w:val="bottom"/>
          </w:tcPr>
          <w:p w:rsidR="00DF0276" w:rsidRDefault="00DF0276" w:rsidP="00317DF8">
            <w:pPr>
              <w:jc w:val="center"/>
              <w:rPr>
                <w:bCs/>
                <w:sz w:val="20"/>
              </w:rPr>
            </w:pPr>
          </w:p>
        </w:tc>
      </w:tr>
      <w:tr w:rsidR="00DF0276" w:rsidTr="00317DF8">
        <w:trPr>
          <w:trHeight w:val="255"/>
        </w:trPr>
        <w:tc>
          <w:tcPr>
            <w:tcW w:w="1995" w:type="dxa"/>
            <w:tcBorders>
              <w:top w:val="nil"/>
              <w:bottom w:val="nil"/>
              <w:right w:val="single" w:sz="4" w:space="0" w:color="auto"/>
            </w:tcBorders>
            <w:vAlign w:val="bottom"/>
          </w:tcPr>
          <w:p w:rsidR="00DF0276" w:rsidRDefault="00DF0276" w:rsidP="00317DF8">
            <w:pPr>
              <w:jc w:val="center"/>
              <w:rPr>
                <w:sz w:val="20"/>
                <w:lang w:val="de-DE"/>
              </w:rPr>
            </w:pPr>
            <w:r>
              <w:rPr>
                <w:sz w:val="20"/>
                <w:lang w:val="de-DE"/>
              </w:rPr>
              <w:t>laglog(sh</w:t>
            </w:r>
            <w:r>
              <w:rPr>
                <w:sz w:val="20"/>
                <w:vertAlign w:val="subscript"/>
                <w:lang w:val="de-DE"/>
              </w:rPr>
              <w:t xml:space="preserve"> t-1</w:t>
            </w:r>
            <w:r>
              <w:rPr>
                <w:sz w:val="20"/>
                <w:lang w:val="de-DE"/>
              </w:rPr>
              <w:t>/1- sh</w:t>
            </w:r>
            <w:r>
              <w:rPr>
                <w:sz w:val="20"/>
                <w:vertAlign w:val="subscript"/>
                <w:lang w:val="de-DE"/>
              </w:rPr>
              <w:t xml:space="preserve"> t-1</w:t>
            </w:r>
            <w:r>
              <w:rPr>
                <w:sz w:val="20"/>
                <w:lang w:val="de-DE"/>
              </w:rPr>
              <w:t>)</w:t>
            </w:r>
          </w:p>
        </w:tc>
        <w:tc>
          <w:tcPr>
            <w:tcW w:w="936" w:type="dxa"/>
            <w:tcBorders>
              <w:left w:val="single" w:sz="4" w:space="0" w:color="auto"/>
            </w:tcBorders>
            <w:vAlign w:val="bottom"/>
          </w:tcPr>
          <w:p w:rsidR="00DF0276" w:rsidRDefault="00DF0276" w:rsidP="00317DF8">
            <w:pPr>
              <w:jc w:val="center"/>
              <w:rPr>
                <w:b/>
                <w:bCs/>
                <w:sz w:val="20"/>
              </w:rPr>
            </w:pPr>
            <w:r>
              <w:rPr>
                <w:b/>
                <w:bCs/>
                <w:sz w:val="20"/>
              </w:rPr>
              <w:t>0.879</w:t>
            </w:r>
          </w:p>
        </w:tc>
        <w:tc>
          <w:tcPr>
            <w:tcW w:w="960" w:type="dxa"/>
            <w:vAlign w:val="bottom"/>
          </w:tcPr>
          <w:p w:rsidR="00DF0276" w:rsidRDefault="00DF0276" w:rsidP="00317DF8">
            <w:pPr>
              <w:jc w:val="center"/>
              <w:rPr>
                <w:b/>
                <w:bCs/>
                <w:sz w:val="20"/>
              </w:rPr>
            </w:pPr>
            <w:r>
              <w:rPr>
                <w:b/>
                <w:bCs/>
                <w:sz w:val="20"/>
              </w:rPr>
              <w:t>0.851</w:t>
            </w:r>
          </w:p>
        </w:tc>
        <w:tc>
          <w:tcPr>
            <w:tcW w:w="915" w:type="dxa"/>
            <w:vAlign w:val="bottom"/>
          </w:tcPr>
          <w:p w:rsidR="00DF0276" w:rsidRDefault="00DF0276" w:rsidP="00317DF8">
            <w:pPr>
              <w:jc w:val="center"/>
              <w:rPr>
                <w:b/>
                <w:bCs/>
                <w:sz w:val="20"/>
              </w:rPr>
            </w:pPr>
            <w:r>
              <w:rPr>
                <w:b/>
                <w:bCs/>
                <w:sz w:val="20"/>
              </w:rPr>
              <w:t>0.882</w:t>
            </w:r>
          </w:p>
        </w:tc>
        <w:tc>
          <w:tcPr>
            <w:tcW w:w="1005" w:type="dxa"/>
            <w:vAlign w:val="bottom"/>
          </w:tcPr>
          <w:p w:rsidR="00DF0276" w:rsidRDefault="00DF0276" w:rsidP="00317DF8">
            <w:pPr>
              <w:jc w:val="center"/>
              <w:rPr>
                <w:b/>
                <w:bCs/>
                <w:sz w:val="20"/>
              </w:rPr>
            </w:pPr>
            <w:r>
              <w:rPr>
                <w:b/>
                <w:bCs/>
                <w:sz w:val="20"/>
              </w:rPr>
              <w:t>0.846</w:t>
            </w:r>
          </w:p>
        </w:tc>
        <w:tc>
          <w:tcPr>
            <w:tcW w:w="1005" w:type="dxa"/>
            <w:vAlign w:val="bottom"/>
          </w:tcPr>
          <w:p w:rsidR="00DF0276" w:rsidRDefault="00DF0276" w:rsidP="00317DF8">
            <w:pPr>
              <w:jc w:val="center"/>
              <w:rPr>
                <w:b/>
                <w:bCs/>
                <w:sz w:val="20"/>
              </w:rPr>
            </w:pPr>
            <w:r>
              <w:rPr>
                <w:b/>
                <w:bCs/>
                <w:sz w:val="20"/>
              </w:rPr>
              <w:t>0.881</w:t>
            </w:r>
          </w:p>
        </w:tc>
        <w:tc>
          <w:tcPr>
            <w:tcW w:w="1005" w:type="dxa"/>
            <w:vAlign w:val="bottom"/>
          </w:tcPr>
          <w:p w:rsidR="00DF0276" w:rsidRDefault="00DF0276" w:rsidP="00317DF8">
            <w:pPr>
              <w:jc w:val="center"/>
              <w:rPr>
                <w:b/>
                <w:bCs/>
                <w:sz w:val="20"/>
              </w:rPr>
            </w:pPr>
            <w:r>
              <w:rPr>
                <w:b/>
                <w:bCs/>
                <w:sz w:val="20"/>
              </w:rPr>
              <w:t>0.882</w:t>
            </w:r>
          </w:p>
        </w:tc>
        <w:tc>
          <w:tcPr>
            <w:tcW w:w="1005" w:type="dxa"/>
            <w:vAlign w:val="bottom"/>
          </w:tcPr>
          <w:p w:rsidR="00DF0276" w:rsidRDefault="00DF0276" w:rsidP="00317DF8">
            <w:pPr>
              <w:jc w:val="center"/>
              <w:rPr>
                <w:b/>
                <w:bCs/>
                <w:sz w:val="20"/>
              </w:rPr>
            </w:pPr>
            <w:r>
              <w:rPr>
                <w:b/>
                <w:bCs/>
                <w:sz w:val="20"/>
              </w:rPr>
              <w:t>0.957</w:t>
            </w:r>
          </w:p>
        </w:tc>
      </w:tr>
      <w:tr w:rsidR="00DF0276" w:rsidTr="00317DF8">
        <w:trPr>
          <w:trHeight w:val="255"/>
        </w:trPr>
        <w:tc>
          <w:tcPr>
            <w:tcW w:w="1995" w:type="dxa"/>
            <w:tcBorders>
              <w:top w:val="nil"/>
              <w:bottom w:val="single" w:sz="4" w:space="0" w:color="auto"/>
              <w:right w:val="single" w:sz="4" w:space="0" w:color="auto"/>
            </w:tcBorders>
            <w:vAlign w:val="bottom"/>
          </w:tcPr>
          <w:p w:rsidR="00DF0276" w:rsidRDefault="00DF0276" w:rsidP="00317DF8">
            <w:pPr>
              <w:jc w:val="center"/>
              <w:rPr>
                <w:sz w:val="20"/>
              </w:rPr>
            </w:pPr>
          </w:p>
        </w:tc>
        <w:tc>
          <w:tcPr>
            <w:tcW w:w="936" w:type="dxa"/>
            <w:tcBorders>
              <w:left w:val="single" w:sz="4" w:space="0" w:color="auto"/>
              <w:bottom w:val="single" w:sz="4" w:space="0" w:color="auto"/>
            </w:tcBorders>
            <w:vAlign w:val="bottom"/>
          </w:tcPr>
          <w:p w:rsidR="00DF0276" w:rsidRDefault="00DF0276" w:rsidP="00317DF8">
            <w:pPr>
              <w:jc w:val="center"/>
              <w:rPr>
                <w:b/>
                <w:bCs/>
                <w:sz w:val="20"/>
              </w:rPr>
            </w:pPr>
            <w:r>
              <w:rPr>
                <w:b/>
                <w:bCs/>
                <w:sz w:val="20"/>
              </w:rPr>
              <w:t>[0.025]</w:t>
            </w:r>
          </w:p>
        </w:tc>
        <w:tc>
          <w:tcPr>
            <w:tcW w:w="960" w:type="dxa"/>
            <w:tcBorders>
              <w:bottom w:val="single" w:sz="4" w:space="0" w:color="auto"/>
            </w:tcBorders>
            <w:vAlign w:val="bottom"/>
          </w:tcPr>
          <w:p w:rsidR="00DF0276" w:rsidRDefault="00DF0276" w:rsidP="00317DF8">
            <w:pPr>
              <w:jc w:val="center"/>
              <w:rPr>
                <w:b/>
                <w:bCs/>
                <w:sz w:val="20"/>
              </w:rPr>
            </w:pPr>
            <w:r>
              <w:rPr>
                <w:b/>
                <w:bCs/>
                <w:sz w:val="20"/>
              </w:rPr>
              <w:t>[0.031]</w:t>
            </w:r>
          </w:p>
        </w:tc>
        <w:tc>
          <w:tcPr>
            <w:tcW w:w="915" w:type="dxa"/>
            <w:tcBorders>
              <w:bottom w:val="single" w:sz="4" w:space="0" w:color="auto"/>
            </w:tcBorders>
            <w:vAlign w:val="bottom"/>
          </w:tcPr>
          <w:p w:rsidR="00DF0276" w:rsidRDefault="00DF0276" w:rsidP="00317DF8">
            <w:pPr>
              <w:jc w:val="center"/>
              <w:rPr>
                <w:b/>
                <w:bCs/>
                <w:sz w:val="20"/>
              </w:rPr>
            </w:pPr>
            <w:r>
              <w:rPr>
                <w:b/>
                <w:bCs/>
                <w:sz w:val="20"/>
              </w:rPr>
              <w:t>[0.025]</w:t>
            </w:r>
          </w:p>
        </w:tc>
        <w:tc>
          <w:tcPr>
            <w:tcW w:w="1005" w:type="dxa"/>
            <w:tcBorders>
              <w:bottom w:val="single" w:sz="4" w:space="0" w:color="auto"/>
            </w:tcBorders>
            <w:vAlign w:val="bottom"/>
          </w:tcPr>
          <w:p w:rsidR="00DF0276" w:rsidRDefault="00DF0276" w:rsidP="00317DF8">
            <w:pPr>
              <w:jc w:val="center"/>
              <w:rPr>
                <w:b/>
                <w:bCs/>
                <w:sz w:val="20"/>
              </w:rPr>
            </w:pPr>
            <w:r>
              <w:rPr>
                <w:b/>
                <w:bCs/>
                <w:sz w:val="20"/>
              </w:rPr>
              <w:t>[.031]</w:t>
            </w:r>
          </w:p>
        </w:tc>
        <w:tc>
          <w:tcPr>
            <w:tcW w:w="1005" w:type="dxa"/>
            <w:tcBorders>
              <w:bottom w:val="single" w:sz="4" w:space="0" w:color="auto"/>
            </w:tcBorders>
            <w:vAlign w:val="bottom"/>
          </w:tcPr>
          <w:p w:rsidR="00DF0276" w:rsidRDefault="00DF0276" w:rsidP="00317DF8">
            <w:pPr>
              <w:jc w:val="center"/>
              <w:rPr>
                <w:b/>
                <w:bCs/>
                <w:sz w:val="20"/>
              </w:rPr>
            </w:pPr>
            <w:r>
              <w:rPr>
                <w:b/>
                <w:bCs/>
                <w:sz w:val="20"/>
              </w:rPr>
              <w:t>[.029]</w:t>
            </w:r>
          </w:p>
        </w:tc>
        <w:tc>
          <w:tcPr>
            <w:tcW w:w="1005" w:type="dxa"/>
            <w:tcBorders>
              <w:bottom w:val="single" w:sz="4" w:space="0" w:color="auto"/>
            </w:tcBorders>
            <w:vAlign w:val="bottom"/>
          </w:tcPr>
          <w:p w:rsidR="00DF0276" w:rsidRDefault="00DF0276" w:rsidP="00317DF8">
            <w:pPr>
              <w:jc w:val="center"/>
              <w:rPr>
                <w:b/>
                <w:bCs/>
                <w:sz w:val="20"/>
              </w:rPr>
            </w:pPr>
            <w:r>
              <w:rPr>
                <w:b/>
                <w:bCs/>
                <w:sz w:val="20"/>
              </w:rPr>
              <w:t>[.029]</w:t>
            </w:r>
          </w:p>
        </w:tc>
        <w:tc>
          <w:tcPr>
            <w:tcW w:w="1005" w:type="dxa"/>
            <w:tcBorders>
              <w:bottom w:val="single" w:sz="4" w:space="0" w:color="auto"/>
            </w:tcBorders>
            <w:vAlign w:val="bottom"/>
          </w:tcPr>
          <w:p w:rsidR="00DF0276" w:rsidRDefault="00DF0276" w:rsidP="00317DF8">
            <w:pPr>
              <w:jc w:val="center"/>
              <w:rPr>
                <w:b/>
                <w:bCs/>
                <w:sz w:val="20"/>
              </w:rPr>
            </w:pPr>
            <w:r>
              <w:rPr>
                <w:b/>
                <w:bCs/>
                <w:sz w:val="20"/>
              </w:rPr>
              <w:t>[.014]</w:t>
            </w:r>
          </w:p>
        </w:tc>
      </w:tr>
      <w:tr w:rsidR="00DF0276" w:rsidTr="00317DF8">
        <w:trPr>
          <w:trHeight w:val="255"/>
        </w:trPr>
        <w:tc>
          <w:tcPr>
            <w:tcW w:w="1995" w:type="dxa"/>
            <w:tcBorders>
              <w:top w:val="single" w:sz="4" w:space="0" w:color="auto"/>
              <w:bottom w:val="nil"/>
              <w:right w:val="single" w:sz="4" w:space="0" w:color="auto"/>
            </w:tcBorders>
            <w:vAlign w:val="bottom"/>
          </w:tcPr>
          <w:p w:rsidR="00DF0276" w:rsidRPr="00F6268A" w:rsidRDefault="00DF0276" w:rsidP="00317DF8">
            <w:pPr>
              <w:jc w:val="center"/>
              <w:rPr>
                <w:sz w:val="18"/>
                <w:szCs w:val="18"/>
              </w:rPr>
            </w:pPr>
            <w:r w:rsidRPr="00F6268A">
              <w:rPr>
                <w:sz w:val="18"/>
                <w:szCs w:val="18"/>
              </w:rPr>
              <w:t>N</w:t>
            </w:r>
          </w:p>
        </w:tc>
        <w:tc>
          <w:tcPr>
            <w:tcW w:w="936" w:type="dxa"/>
            <w:tcBorders>
              <w:top w:val="single" w:sz="4" w:space="0" w:color="auto"/>
              <w:left w:val="single" w:sz="4" w:space="0" w:color="auto"/>
              <w:bottom w:val="nil"/>
            </w:tcBorders>
            <w:vAlign w:val="bottom"/>
          </w:tcPr>
          <w:p w:rsidR="00DF0276" w:rsidRPr="00F6268A" w:rsidRDefault="00DF0276" w:rsidP="00317DF8">
            <w:pPr>
              <w:jc w:val="center"/>
              <w:rPr>
                <w:sz w:val="18"/>
                <w:szCs w:val="18"/>
              </w:rPr>
            </w:pPr>
            <w:r w:rsidRPr="00F6268A">
              <w:rPr>
                <w:sz w:val="18"/>
                <w:szCs w:val="18"/>
              </w:rPr>
              <w:t>182</w:t>
            </w:r>
          </w:p>
        </w:tc>
        <w:tc>
          <w:tcPr>
            <w:tcW w:w="960" w:type="dxa"/>
            <w:tcBorders>
              <w:top w:val="single" w:sz="4" w:space="0" w:color="auto"/>
              <w:bottom w:val="nil"/>
            </w:tcBorders>
            <w:vAlign w:val="bottom"/>
          </w:tcPr>
          <w:p w:rsidR="00DF0276" w:rsidRPr="00F6268A" w:rsidRDefault="00DF0276" w:rsidP="00317DF8">
            <w:pPr>
              <w:jc w:val="center"/>
              <w:rPr>
                <w:sz w:val="18"/>
                <w:szCs w:val="18"/>
              </w:rPr>
            </w:pPr>
            <w:r w:rsidRPr="00F6268A">
              <w:rPr>
                <w:sz w:val="18"/>
                <w:szCs w:val="18"/>
              </w:rPr>
              <w:t>182</w:t>
            </w:r>
          </w:p>
        </w:tc>
        <w:tc>
          <w:tcPr>
            <w:tcW w:w="915" w:type="dxa"/>
            <w:tcBorders>
              <w:top w:val="single" w:sz="4" w:space="0" w:color="auto"/>
              <w:bottom w:val="nil"/>
            </w:tcBorders>
            <w:vAlign w:val="bottom"/>
          </w:tcPr>
          <w:p w:rsidR="00DF0276" w:rsidRPr="00F6268A" w:rsidRDefault="00DF0276" w:rsidP="00317DF8">
            <w:pPr>
              <w:jc w:val="center"/>
              <w:rPr>
                <w:sz w:val="18"/>
                <w:szCs w:val="18"/>
              </w:rPr>
            </w:pPr>
            <w:r w:rsidRPr="00F6268A">
              <w:rPr>
                <w:sz w:val="18"/>
                <w:szCs w:val="18"/>
              </w:rPr>
              <w:t>182</w:t>
            </w:r>
          </w:p>
        </w:tc>
        <w:tc>
          <w:tcPr>
            <w:tcW w:w="1005" w:type="dxa"/>
            <w:tcBorders>
              <w:top w:val="single" w:sz="4" w:space="0" w:color="auto"/>
              <w:bottom w:val="nil"/>
            </w:tcBorders>
            <w:vAlign w:val="bottom"/>
          </w:tcPr>
          <w:p w:rsidR="00DF0276" w:rsidRPr="00F6268A" w:rsidRDefault="00DF0276" w:rsidP="00317DF8">
            <w:pPr>
              <w:jc w:val="center"/>
              <w:rPr>
                <w:sz w:val="18"/>
                <w:szCs w:val="18"/>
              </w:rPr>
            </w:pPr>
            <w:r w:rsidRPr="00F6268A">
              <w:rPr>
                <w:sz w:val="18"/>
                <w:szCs w:val="18"/>
              </w:rPr>
              <w:t>182</w:t>
            </w:r>
          </w:p>
        </w:tc>
        <w:tc>
          <w:tcPr>
            <w:tcW w:w="1005" w:type="dxa"/>
            <w:tcBorders>
              <w:top w:val="single" w:sz="4" w:space="0" w:color="auto"/>
              <w:bottom w:val="nil"/>
            </w:tcBorders>
            <w:vAlign w:val="bottom"/>
          </w:tcPr>
          <w:p w:rsidR="00DF0276" w:rsidRPr="00F6268A" w:rsidRDefault="00DF0276" w:rsidP="00317DF8">
            <w:pPr>
              <w:jc w:val="center"/>
              <w:rPr>
                <w:sz w:val="18"/>
                <w:szCs w:val="18"/>
              </w:rPr>
            </w:pPr>
            <w:r w:rsidRPr="00F6268A">
              <w:rPr>
                <w:sz w:val="18"/>
                <w:szCs w:val="18"/>
              </w:rPr>
              <w:t>182</w:t>
            </w:r>
          </w:p>
        </w:tc>
        <w:tc>
          <w:tcPr>
            <w:tcW w:w="1005" w:type="dxa"/>
            <w:tcBorders>
              <w:top w:val="single" w:sz="4" w:space="0" w:color="auto"/>
              <w:bottom w:val="nil"/>
            </w:tcBorders>
            <w:vAlign w:val="bottom"/>
          </w:tcPr>
          <w:p w:rsidR="00DF0276" w:rsidRPr="00F6268A" w:rsidRDefault="00DF0276" w:rsidP="00317DF8">
            <w:pPr>
              <w:jc w:val="center"/>
              <w:rPr>
                <w:sz w:val="18"/>
                <w:szCs w:val="18"/>
              </w:rPr>
            </w:pPr>
            <w:r w:rsidRPr="00F6268A">
              <w:rPr>
                <w:sz w:val="18"/>
                <w:szCs w:val="18"/>
              </w:rPr>
              <w:t>182</w:t>
            </w:r>
          </w:p>
        </w:tc>
        <w:tc>
          <w:tcPr>
            <w:tcW w:w="1005" w:type="dxa"/>
            <w:tcBorders>
              <w:top w:val="single" w:sz="4" w:space="0" w:color="auto"/>
              <w:bottom w:val="nil"/>
            </w:tcBorders>
            <w:vAlign w:val="bottom"/>
          </w:tcPr>
          <w:p w:rsidR="00DF0276" w:rsidRPr="00F6268A" w:rsidRDefault="00DF0276" w:rsidP="00317DF8">
            <w:pPr>
              <w:jc w:val="center"/>
              <w:rPr>
                <w:sz w:val="18"/>
                <w:szCs w:val="18"/>
              </w:rPr>
            </w:pPr>
            <w:r w:rsidRPr="00F6268A">
              <w:rPr>
                <w:sz w:val="18"/>
                <w:szCs w:val="18"/>
              </w:rPr>
              <w:t>156</w:t>
            </w:r>
          </w:p>
        </w:tc>
      </w:tr>
      <w:tr w:rsidR="00DF0276" w:rsidTr="00317DF8">
        <w:trPr>
          <w:trHeight w:val="255"/>
        </w:trPr>
        <w:tc>
          <w:tcPr>
            <w:tcW w:w="1995" w:type="dxa"/>
            <w:tcBorders>
              <w:top w:val="nil"/>
              <w:bottom w:val="nil"/>
              <w:right w:val="single" w:sz="4" w:space="0" w:color="auto"/>
            </w:tcBorders>
            <w:vAlign w:val="bottom"/>
          </w:tcPr>
          <w:p w:rsidR="00DF0276" w:rsidRPr="00F6268A" w:rsidRDefault="00DF0276" w:rsidP="00317DF8">
            <w:pPr>
              <w:jc w:val="center"/>
              <w:rPr>
                <w:sz w:val="18"/>
                <w:szCs w:val="18"/>
              </w:rPr>
            </w:pPr>
            <w:r w:rsidRPr="00F6268A">
              <w:rPr>
                <w:sz w:val="18"/>
                <w:szCs w:val="18"/>
              </w:rPr>
              <w:t>sample</w:t>
            </w:r>
          </w:p>
        </w:tc>
        <w:tc>
          <w:tcPr>
            <w:tcW w:w="936" w:type="dxa"/>
            <w:tcBorders>
              <w:top w:val="nil"/>
              <w:left w:val="single" w:sz="4" w:space="0" w:color="auto"/>
              <w:bottom w:val="nil"/>
            </w:tcBorders>
            <w:vAlign w:val="bottom"/>
          </w:tcPr>
          <w:p w:rsidR="00DF0276" w:rsidRPr="00F6268A" w:rsidRDefault="00DF0276" w:rsidP="00317DF8">
            <w:pPr>
              <w:jc w:val="center"/>
              <w:rPr>
                <w:sz w:val="18"/>
                <w:szCs w:val="18"/>
              </w:rPr>
            </w:pPr>
            <w:r w:rsidRPr="00F6268A">
              <w:rPr>
                <w:sz w:val="18"/>
                <w:szCs w:val="18"/>
              </w:rPr>
              <w:t>73-98</w:t>
            </w:r>
          </w:p>
        </w:tc>
        <w:tc>
          <w:tcPr>
            <w:tcW w:w="960" w:type="dxa"/>
            <w:tcBorders>
              <w:top w:val="nil"/>
              <w:bottom w:val="nil"/>
            </w:tcBorders>
            <w:vAlign w:val="bottom"/>
          </w:tcPr>
          <w:p w:rsidR="00DF0276" w:rsidRPr="00F6268A" w:rsidRDefault="00DF0276" w:rsidP="00317DF8">
            <w:pPr>
              <w:jc w:val="center"/>
              <w:rPr>
                <w:sz w:val="18"/>
                <w:szCs w:val="18"/>
              </w:rPr>
            </w:pPr>
            <w:r w:rsidRPr="00F6268A">
              <w:rPr>
                <w:sz w:val="18"/>
                <w:szCs w:val="18"/>
              </w:rPr>
              <w:t>73-98</w:t>
            </w:r>
          </w:p>
        </w:tc>
        <w:tc>
          <w:tcPr>
            <w:tcW w:w="915" w:type="dxa"/>
            <w:tcBorders>
              <w:top w:val="nil"/>
              <w:bottom w:val="nil"/>
            </w:tcBorders>
            <w:vAlign w:val="bottom"/>
          </w:tcPr>
          <w:p w:rsidR="00DF0276" w:rsidRPr="00F6268A" w:rsidRDefault="00DF0276" w:rsidP="00317DF8">
            <w:pPr>
              <w:jc w:val="center"/>
              <w:rPr>
                <w:sz w:val="18"/>
                <w:szCs w:val="18"/>
              </w:rPr>
            </w:pPr>
            <w:r w:rsidRPr="00F6268A">
              <w:rPr>
                <w:sz w:val="18"/>
                <w:szCs w:val="18"/>
              </w:rPr>
              <w:t>73-98</w:t>
            </w:r>
          </w:p>
        </w:tc>
        <w:tc>
          <w:tcPr>
            <w:tcW w:w="1005" w:type="dxa"/>
            <w:tcBorders>
              <w:top w:val="nil"/>
              <w:bottom w:val="nil"/>
            </w:tcBorders>
            <w:vAlign w:val="bottom"/>
          </w:tcPr>
          <w:p w:rsidR="00DF0276" w:rsidRPr="00F6268A" w:rsidRDefault="00DF0276" w:rsidP="00317DF8">
            <w:pPr>
              <w:jc w:val="center"/>
              <w:rPr>
                <w:sz w:val="18"/>
                <w:szCs w:val="18"/>
              </w:rPr>
            </w:pPr>
            <w:r w:rsidRPr="00F6268A">
              <w:rPr>
                <w:sz w:val="18"/>
                <w:szCs w:val="18"/>
              </w:rPr>
              <w:t>73-98</w:t>
            </w:r>
          </w:p>
        </w:tc>
        <w:tc>
          <w:tcPr>
            <w:tcW w:w="1005" w:type="dxa"/>
            <w:tcBorders>
              <w:top w:val="nil"/>
              <w:bottom w:val="nil"/>
            </w:tcBorders>
            <w:vAlign w:val="bottom"/>
          </w:tcPr>
          <w:p w:rsidR="00DF0276" w:rsidRPr="00F6268A" w:rsidRDefault="00DF0276" w:rsidP="00317DF8">
            <w:pPr>
              <w:jc w:val="center"/>
              <w:rPr>
                <w:sz w:val="18"/>
                <w:szCs w:val="18"/>
              </w:rPr>
            </w:pPr>
            <w:r w:rsidRPr="00F6268A">
              <w:rPr>
                <w:sz w:val="18"/>
                <w:szCs w:val="18"/>
              </w:rPr>
              <w:t>73-98</w:t>
            </w:r>
          </w:p>
        </w:tc>
        <w:tc>
          <w:tcPr>
            <w:tcW w:w="1005" w:type="dxa"/>
            <w:tcBorders>
              <w:top w:val="nil"/>
              <w:bottom w:val="nil"/>
            </w:tcBorders>
            <w:vAlign w:val="bottom"/>
          </w:tcPr>
          <w:p w:rsidR="00DF0276" w:rsidRPr="00F6268A" w:rsidRDefault="00DF0276" w:rsidP="00317DF8">
            <w:pPr>
              <w:jc w:val="center"/>
              <w:rPr>
                <w:sz w:val="18"/>
                <w:szCs w:val="18"/>
              </w:rPr>
            </w:pPr>
            <w:r w:rsidRPr="00F6268A">
              <w:rPr>
                <w:sz w:val="18"/>
                <w:szCs w:val="18"/>
              </w:rPr>
              <w:t>73-98</w:t>
            </w:r>
          </w:p>
        </w:tc>
        <w:tc>
          <w:tcPr>
            <w:tcW w:w="1005" w:type="dxa"/>
            <w:tcBorders>
              <w:top w:val="nil"/>
              <w:bottom w:val="nil"/>
            </w:tcBorders>
            <w:vAlign w:val="bottom"/>
          </w:tcPr>
          <w:p w:rsidR="00DF0276" w:rsidRPr="00F6268A" w:rsidRDefault="00DF0276" w:rsidP="00317DF8">
            <w:pPr>
              <w:jc w:val="center"/>
              <w:rPr>
                <w:sz w:val="18"/>
                <w:szCs w:val="18"/>
              </w:rPr>
            </w:pPr>
            <w:r w:rsidRPr="00F6268A">
              <w:rPr>
                <w:sz w:val="18"/>
                <w:szCs w:val="18"/>
              </w:rPr>
              <w:t>73-98</w:t>
            </w:r>
          </w:p>
        </w:tc>
      </w:tr>
      <w:tr w:rsidR="00DF0276" w:rsidTr="00317DF8">
        <w:trPr>
          <w:trHeight w:val="255"/>
        </w:trPr>
        <w:tc>
          <w:tcPr>
            <w:tcW w:w="1995" w:type="dxa"/>
            <w:tcBorders>
              <w:top w:val="nil"/>
              <w:bottom w:val="nil"/>
              <w:right w:val="single" w:sz="4" w:space="0" w:color="auto"/>
            </w:tcBorders>
            <w:vAlign w:val="bottom"/>
          </w:tcPr>
          <w:p w:rsidR="00DF0276" w:rsidRPr="00F6268A" w:rsidRDefault="00DF0276" w:rsidP="00317DF8">
            <w:pPr>
              <w:jc w:val="center"/>
              <w:rPr>
                <w:sz w:val="18"/>
                <w:szCs w:val="18"/>
              </w:rPr>
            </w:pPr>
            <w:r w:rsidRPr="00F6268A">
              <w:rPr>
                <w:sz w:val="18"/>
                <w:szCs w:val="18"/>
              </w:rPr>
              <w:t>Adj R2</w:t>
            </w:r>
          </w:p>
        </w:tc>
        <w:tc>
          <w:tcPr>
            <w:tcW w:w="936" w:type="dxa"/>
            <w:tcBorders>
              <w:top w:val="nil"/>
              <w:left w:val="single" w:sz="4" w:space="0" w:color="auto"/>
              <w:bottom w:val="nil"/>
            </w:tcBorders>
            <w:vAlign w:val="bottom"/>
          </w:tcPr>
          <w:p w:rsidR="00DF0276" w:rsidRPr="00F6268A" w:rsidRDefault="00DF0276" w:rsidP="00317DF8">
            <w:pPr>
              <w:jc w:val="center"/>
              <w:rPr>
                <w:sz w:val="18"/>
                <w:szCs w:val="18"/>
              </w:rPr>
            </w:pPr>
            <w:r w:rsidRPr="00F6268A">
              <w:rPr>
                <w:sz w:val="18"/>
                <w:szCs w:val="18"/>
              </w:rPr>
              <w:t>0.97</w:t>
            </w:r>
          </w:p>
        </w:tc>
        <w:tc>
          <w:tcPr>
            <w:tcW w:w="960" w:type="dxa"/>
            <w:tcBorders>
              <w:top w:val="nil"/>
              <w:bottom w:val="nil"/>
            </w:tcBorders>
            <w:vAlign w:val="bottom"/>
          </w:tcPr>
          <w:p w:rsidR="00DF0276" w:rsidRPr="00F6268A" w:rsidRDefault="00DF0276" w:rsidP="00317DF8">
            <w:pPr>
              <w:jc w:val="center"/>
              <w:rPr>
                <w:sz w:val="18"/>
                <w:szCs w:val="18"/>
              </w:rPr>
            </w:pPr>
            <w:r w:rsidRPr="00F6268A">
              <w:rPr>
                <w:sz w:val="18"/>
                <w:szCs w:val="18"/>
              </w:rPr>
              <w:t>0.97</w:t>
            </w:r>
          </w:p>
        </w:tc>
        <w:tc>
          <w:tcPr>
            <w:tcW w:w="915" w:type="dxa"/>
            <w:tcBorders>
              <w:top w:val="nil"/>
              <w:bottom w:val="nil"/>
            </w:tcBorders>
            <w:vAlign w:val="bottom"/>
          </w:tcPr>
          <w:p w:rsidR="00DF0276" w:rsidRPr="00F6268A" w:rsidRDefault="00DF0276" w:rsidP="00317DF8">
            <w:pPr>
              <w:jc w:val="center"/>
              <w:rPr>
                <w:sz w:val="18"/>
                <w:szCs w:val="18"/>
              </w:rPr>
            </w:pPr>
            <w:r w:rsidRPr="00F6268A">
              <w:rPr>
                <w:sz w:val="18"/>
                <w:szCs w:val="18"/>
              </w:rPr>
              <w:t xml:space="preserve">0.97 </w:t>
            </w:r>
          </w:p>
        </w:tc>
        <w:tc>
          <w:tcPr>
            <w:tcW w:w="1005" w:type="dxa"/>
            <w:tcBorders>
              <w:top w:val="nil"/>
              <w:bottom w:val="nil"/>
            </w:tcBorders>
            <w:vAlign w:val="bottom"/>
          </w:tcPr>
          <w:p w:rsidR="00DF0276" w:rsidRPr="00F6268A" w:rsidRDefault="00DF0276" w:rsidP="00317DF8">
            <w:pPr>
              <w:jc w:val="center"/>
              <w:rPr>
                <w:sz w:val="18"/>
                <w:szCs w:val="18"/>
              </w:rPr>
            </w:pPr>
            <w:r w:rsidRPr="00F6268A">
              <w:rPr>
                <w:sz w:val="18"/>
                <w:szCs w:val="18"/>
              </w:rPr>
              <w:t xml:space="preserve">0.97 </w:t>
            </w:r>
          </w:p>
        </w:tc>
        <w:tc>
          <w:tcPr>
            <w:tcW w:w="1005" w:type="dxa"/>
            <w:tcBorders>
              <w:top w:val="nil"/>
              <w:bottom w:val="nil"/>
            </w:tcBorders>
            <w:vAlign w:val="bottom"/>
          </w:tcPr>
          <w:p w:rsidR="00DF0276" w:rsidRPr="00F6268A" w:rsidRDefault="00DF0276" w:rsidP="00317DF8">
            <w:pPr>
              <w:jc w:val="center"/>
              <w:rPr>
                <w:sz w:val="18"/>
                <w:szCs w:val="18"/>
              </w:rPr>
            </w:pPr>
            <w:r w:rsidRPr="00F6268A">
              <w:rPr>
                <w:sz w:val="18"/>
                <w:szCs w:val="18"/>
              </w:rPr>
              <w:t xml:space="preserve">0.97 </w:t>
            </w:r>
          </w:p>
        </w:tc>
        <w:tc>
          <w:tcPr>
            <w:tcW w:w="1005" w:type="dxa"/>
            <w:tcBorders>
              <w:top w:val="nil"/>
              <w:bottom w:val="nil"/>
            </w:tcBorders>
            <w:vAlign w:val="bottom"/>
          </w:tcPr>
          <w:p w:rsidR="00DF0276" w:rsidRPr="00F6268A" w:rsidRDefault="00DF0276" w:rsidP="00317DF8">
            <w:pPr>
              <w:jc w:val="center"/>
              <w:rPr>
                <w:sz w:val="18"/>
                <w:szCs w:val="18"/>
              </w:rPr>
            </w:pPr>
            <w:r w:rsidRPr="00F6268A">
              <w:rPr>
                <w:sz w:val="18"/>
                <w:szCs w:val="18"/>
              </w:rPr>
              <w:t xml:space="preserve">0.97 </w:t>
            </w:r>
          </w:p>
        </w:tc>
        <w:tc>
          <w:tcPr>
            <w:tcW w:w="1005" w:type="dxa"/>
            <w:tcBorders>
              <w:top w:val="nil"/>
              <w:bottom w:val="nil"/>
            </w:tcBorders>
            <w:vAlign w:val="bottom"/>
          </w:tcPr>
          <w:p w:rsidR="00DF0276" w:rsidRPr="00F6268A" w:rsidRDefault="00DF0276" w:rsidP="00317DF8">
            <w:pPr>
              <w:jc w:val="center"/>
              <w:rPr>
                <w:sz w:val="18"/>
                <w:szCs w:val="18"/>
              </w:rPr>
            </w:pPr>
            <w:r w:rsidRPr="00F6268A">
              <w:rPr>
                <w:sz w:val="18"/>
                <w:szCs w:val="18"/>
              </w:rPr>
              <w:t xml:space="preserve">0.99 </w:t>
            </w:r>
          </w:p>
        </w:tc>
      </w:tr>
    </w:tbl>
    <w:p w:rsidR="00DF0276" w:rsidRPr="00F6268A" w:rsidRDefault="00DF0276" w:rsidP="00317DF8">
      <w:pPr>
        <w:rPr>
          <w:sz w:val="10"/>
          <w:szCs w:val="10"/>
        </w:rPr>
      </w:pPr>
    </w:p>
    <w:p w:rsidR="00DF0276" w:rsidRDefault="00DF0276" w:rsidP="00317DF8">
      <w:pPr>
        <w:rPr>
          <w:sz w:val="20"/>
        </w:rPr>
      </w:pPr>
      <w:r>
        <w:rPr>
          <w:sz w:val="20"/>
        </w:rPr>
        <w:t>Notes: Dependent variable log(sh/(1-sh))    All variables are in decimal form. GDP at market terms.</w:t>
      </w:r>
    </w:p>
    <w:p w:rsidR="00DF0276" w:rsidRPr="0043160A" w:rsidRDefault="00DF0276" w:rsidP="00317DF8">
      <w:r>
        <w:rPr>
          <w:sz w:val="20"/>
        </w:rPr>
        <w:t>Estimated using OLS.  Figures in bold face are significant at the 10% level.</w:t>
      </w:r>
      <w:r>
        <w:rPr>
          <w:sz w:val="20"/>
        </w:rPr>
        <w:br/>
        <w:t>Column [7] omits Japanese yen, and estimated using cross-section weighted standard errors.</w:t>
      </w:r>
    </w:p>
    <w:p w:rsidR="00DF0276" w:rsidRPr="009F578A" w:rsidRDefault="00DF0276" w:rsidP="00317DF8">
      <w:pPr>
        <w:rPr>
          <w:sz w:val="22"/>
          <w:szCs w:val="22"/>
        </w:rPr>
      </w:pPr>
      <w:r w:rsidRPr="0043160A">
        <w:lastRenderedPageBreak/>
        <w:br w:type="page"/>
      </w:r>
    </w:p>
    <w:p w:rsidR="00DF0276" w:rsidRDefault="00DF0276" w:rsidP="00317DF8">
      <w:r w:rsidRPr="00ED4F84">
        <w:rPr>
          <w:sz w:val="28"/>
          <w:szCs w:val="28"/>
        </w:rPr>
        <w:lastRenderedPageBreak/>
        <w:t>US dollar share of total reserves</w:t>
      </w:r>
      <w:r>
        <w:rPr>
          <w:sz w:val="28"/>
          <w:szCs w:val="28"/>
        </w:rPr>
        <w:t xml:space="preserve"> held by central banks</w:t>
      </w:r>
      <w:r>
        <w:rPr>
          <w:sz w:val="28"/>
          <w:szCs w:val="28"/>
        </w:rPr>
        <w:br/>
      </w:r>
      <w:r w:rsidRPr="009F578A">
        <w:t>Source:</w:t>
      </w:r>
      <w:r>
        <w:rPr>
          <w:sz w:val="28"/>
          <w:szCs w:val="28"/>
        </w:rPr>
        <w:t xml:space="preserve"> </w:t>
      </w:r>
      <w:r>
        <w:t xml:space="preserve">Menzie Chinn, </w:t>
      </w:r>
      <w:r w:rsidRPr="009F578A">
        <w:rPr>
          <w:sz w:val="16"/>
          <w:szCs w:val="16"/>
        </w:rPr>
        <w:t>24 March, 2010</w:t>
      </w:r>
    </w:p>
    <w:p w:rsidR="00DF0276" w:rsidRPr="007F016A" w:rsidRDefault="00DF0276" w:rsidP="00317DF8">
      <w:pPr>
        <w:rPr>
          <w:sz w:val="28"/>
          <w:szCs w:val="28"/>
        </w:rPr>
      </w:pPr>
    </w:p>
    <w:p w:rsidR="00DF0276" w:rsidRDefault="00DF0276" w:rsidP="00317DF8">
      <w:r>
        <w:t xml:space="preserve">Figure 1: Share of dollar in holdings of foreign exchange reserves </w:t>
      </w:r>
    </w:p>
    <w:p w:rsidR="00DF0276" w:rsidRDefault="00E96D54" w:rsidP="00317DF8">
      <w:r>
        <w:rPr>
          <w:noProof/>
        </w:rPr>
        <w:drawing>
          <wp:inline distT="0" distB="0" distL="0" distR="0">
            <wp:extent cx="4181475" cy="22669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4181475" cy="2266950"/>
                    </a:xfrm>
                    <a:prstGeom prst="rect">
                      <a:avLst/>
                    </a:prstGeom>
                    <a:noFill/>
                    <a:ln w="9525">
                      <a:noFill/>
                      <a:miter lim="800000"/>
                      <a:headEnd/>
                      <a:tailEnd/>
                    </a:ln>
                  </pic:spPr>
                </pic:pic>
              </a:graphicData>
            </a:graphic>
          </wp:inline>
        </w:drawing>
      </w:r>
    </w:p>
    <w:p w:rsidR="00DF0276" w:rsidRDefault="00DF0276" w:rsidP="00317DF8">
      <w:r>
        <w:t>Figure 2: Share of dollar in holdings of reserves (with residual allocated)</w:t>
      </w:r>
    </w:p>
    <w:p w:rsidR="00DF0276" w:rsidRDefault="00E96D54" w:rsidP="00317DF8">
      <w:pPr>
        <w:spacing w:after="200" w:line="276" w:lineRule="auto"/>
      </w:pPr>
      <w:r>
        <w:rPr>
          <w:noProof/>
        </w:rPr>
        <w:drawing>
          <wp:inline distT="0" distB="0" distL="0" distR="0">
            <wp:extent cx="4181475" cy="25050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4181475" cy="2505075"/>
                    </a:xfrm>
                    <a:prstGeom prst="rect">
                      <a:avLst/>
                    </a:prstGeom>
                    <a:noFill/>
                    <a:ln w="9525">
                      <a:noFill/>
                      <a:miter lim="800000"/>
                      <a:headEnd/>
                      <a:tailEnd/>
                    </a:ln>
                  </pic:spPr>
                </pic:pic>
              </a:graphicData>
            </a:graphic>
          </wp:inline>
        </w:drawing>
      </w:r>
    </w:p>
    <w:p w:rsidR="00DF0276" w:rsidRPr="00913710" w:rsidRDefault="00DF0276" w:rsidP="00317DF8">
      <w:r w:rsidRPr="007F016A">
        <w:rPr>
          <w:sz w:val="18"/>
          <w:szCs w:val="18"/>
        </w:rPr>
        <w:t>Explanation</w:t>
      </w:r>
      <w:r>
        <w:rPr>
          <w:sz w:val="18"/>
          <w:szCs w:val="18"/>
        </w:rPr>
        <w:t xml:space="preserve"> (courtesy of Menzie Chinn)</w:t>
      </w:r>
      <w:r w:rsidRPr="007F016A">
        <w:rPr>
          <w:sz w:val="18"/>
          <w:szCs w:val="18"/>
        </w:rPr>
        <w:t>:</w:t>
      </w:r>
    </w:p>
    <w:p w:rsidR="00DF0276" w:rsidRPr="0069646A" w:rsidRDefault="00DF0276" w:rsidP="00FC3283">
      <w:pPr>
        <w:tabs>
          <w:tab w:val="left" w:pos="0"/>
        </w:tabs>
        <w:suppressAutoHyphens/>
        <w:rPr>
          <w:sz w:val="20"/>
          <w:szCs w:val="20"/>
        </w:rPr>
      </w:pPr>
      <w:r w:rsidRPr="009F578A">
        <w:rPr>
          <w:sz w:val="20"/>
          <w:szCs w:val="20"/>
        </w:rPr>
        <w:t xml:space="preserve">Reserve currency holdings. Official reserve holdings of member central banks, at end of year. The data used is spliced version of updated 2003 data obtained July 1, 2004 (for 1980 onward) to an unpublished data set for 1965-2001. The later US dollar series is based on COFER data beginning at end-1995. Note the 2009 entry is for 2009Q3. In Figure 2, while 60% of unallocated reserves are categorized as dollar reserves.  Sources: IMF Annual Reports, Table I.2, IMF unpublished data, and Currency Composition of Official Foreign Exchange Reserves (COFER) data, December 30, 2009 version. </w:t>
      </w:r>
      <w:hyperlink r:id="rId20" w:history="1">
        <w:r w:rsidRPr="007F016A">
          <w:rPr>
            <w:rStyle w:val="Hyperlink"/>
            <w:sz w:val="18"/>
            <w:szCs w:val="18"/>
          </w:rPr>
          <w:t>http://www.imf.org/external/np/sta/cofer/eng/index.htm</w:t>
        </w:r>
      </w:hyperlink>
      <w:r w:rsidRPr="007F016A">
        <w:t xml:space="preserve"> . </w:t>
      </w:r>
      <w:r>
        <w:br/>
      </w:r>
    </w:p>
    <w:sectPr w:rsidR="00DF0276" w:rsidRPr="0069646A" w:rsidSect="00F96F11">
      <w:footerReference w:type="even" r:id="rId21"/>
      <w:footerReference w:type="default" r:id="rId22"/>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995" w:rsidRDefault="006A5995">
      <w:r>
        <w:separator/>
      </w:r>
    </w:p>
  </w:endnote>
  <w:endnote w:type="continuationSeparator" w:id="0">
    <w:p w:rsidR="006A5995" w:rsidRDefault="006A5995">
      <w:r>
        <w:continuationSeparator/>
      </w:r>
    </w:p>
  </w:endnote>
  <w:endnote w:type="continuationNotice" w:id="1">
    <w:p w:rsidR="006A5995" w:rsidRDefault="006A599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GKDAHF+TimesNewRoman">
    <w:altName w:val="Times New Roman"/>
    <w:panose1 w:val="00000000000000000000"/>
    <w:charset w:val="00"/>
    <w:family w:val="roman"/>
    <w:notTrueType/>
    <w:pitch w:val="default"/>
    <w:sig w:usb0="00000003" w:usb1="00000000" w:usb2="00000000" w:usb3="00000000" w:csb0="00000001" w:csb1="00000000"/>
  </w:font>
  <w:font w:name="GKDFLN+TimesNewRoman,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276" w:rsidRDefault="004B3C51" w:rsidP="00FC25FE">
    <w:pPr>
      <w:pStyle w:val="Footer"/>
      <w:framePr w:wrap="around" w:vAnchor="text" w:hAnchor="margin" w:xAlign="right" w:y="1"/>
      <w:rPr>
        <w:rStyle w:val="PageNumber"/>
      </w:rPr>
    </w:pPr>
    <w:r>
      <w:rPr>
        <w:rStyle w:val="PageNumber"/>
      </w:rPr>
      <w:fldChar w:fldCharType="begin"/>
    </w:r>
    <w:r w:rsidR="00DF0276">
      <w:rPr>
        <w:rStyle w:val="PageNumber"/>
      </w:rPr>
      <w:instrText xml:space="preserve">PAGE  </w:instrText>
    </w:r>
    <w:r>
      <w:rPr>
        <w:rStyle w:val="PageNumber"/>
      </w:rPr>
      <w:fldChar w:fldCharType="end"/>
    </w:r>
  </w:p>
  <w:p w:rsidR="00DF0276" w:rsidRDefault="00DF0276" w:rsidP="00F96F1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276" w:rsidRDefault="004B3C51" w:rsidP="00FC25FE">
    <w:pPr>
      <w:pStyle w:val="Footer"/>
      <w:framePr w:wrap="around" w:vAnchor="text" w:hAnchor="margin" w:xAlign="right" w:y="1"/>
      <w:rPr>
        <w:rStyle w:val="PageNumber"/>
      </w:rPr>
    </w:pPr>
    <w:r>
      <w:rPr>
        <w:rStyle w:val="PageNumber"/>
      </w:rPr>
      <w:fldChar w:fldCharType="begin"/>
    </w:r>
    <w:r w:rsidR="00DF0276">
      <w:rPr>
        <w:rStyle w:val="PageNumber"/>
      </w:rPr>
      <w:instrText xml:space="preserve">PAGE  </w:instrText>
    </w:r>
    <w:r>
      <w:rPr>
        <w:rStyle w:val="PageNumber"/>
      </w:rPr>
      <w:fldChar w:fldCharType="separate"/>
    </w:r>
    <w:r w:rsidR="007143D2">
      <w:rPr>
        <w:rStyle w:val="PageNumber"/>
        <w:noProof/>
      </w:rPr>
      <w:t>18</w:t>
    </w:r>
    <w:r>
      <w:rPr>
        <w:rStyle w:val="PageNumber"/>
      </w:rPr>
      <w:fldChar w:fldCharType="end"/>
    </w:r>
  </w:p>
  <w:p w:rsidR="00DF0276" w:rsidRDefault="00DF0276" w:rsidP="00F96F1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995" w:rsidRDefault="006A5995">
      <w:r>
        <w:separator/>
      </w:r>
    </w:p>
  </w:footnote>
  <w:footnote w:type="continuationSeparator" w:id="0">
    <w:p w:rsidR="006A5995" w:rsidRDefault="006A5995">
      <w:r>
        <w:continuationSeparator/>
      </w:r>
    </w:p>
  </w:footnote>
  <w:footnote w:type="continuationNotice" w:id="1">
    <w:p w:rsidR="006A5995" w:rsidRDefault="006A5995"/>
  </w:footnote>
  <w:footnote w:id="2">
    <w:p w:rsidR="00DF0276" w:rsidRDefault="00DF0276">
      <w:pPr>
        <w:pStyle w:val="FootnoteText"/>
      </w:pPr>
      <w:r w:rsidRPr="00F444CB">
        <w:rPr>
          <w:rStyle w:val="FootnoteReference"/>
          <w:sz w:val="22"/>
          <w:szCs w:val="22"/>
        </w:rPr>
        <w:footnoteRef/>
      </w:r>
      <w:r w:rsidRPr="00F444CB">
        <w:rPr>
          <w:sz w:val="22"/>
          <w:szCs w:val="22"/>
        </w:rPr>
        <w:t xml:space="preserve"> The appendix draws </w:t>
      </w:r>
      <w:r>
        <w:rPr>
          <w:sz w:val="22"/>
          <w:szCs w:val="22"/>
        </w:rPr>
        <w:t xml:space="preserve">heavily </w:t>
      </w:r>
      <w:r w:rsidRPr="00F444CB">
        <w:rPr>
          <w:sz w:val="22"/>
          <w:szCs w:val="22"/>
        </w:rPr>
        <w:t>on Frankel (1992), Eichengreen and Frankel (1996), Chinn and Frankel (2007, 2008).</w:t>
      </w:r>
      <w:r>
        <w:rPr>
          <w:sz w:val="22"/>
          <w:szCs w:val="22"/>
        </w:rPr>
        <w:t xml:space="preserve">  Those papers in turn drew on </w:t>
      </w:r>
      <w:r w:rsidRPr="00F444CB">
        <w:rPr>
          <w:sz w:val="22"/>
          <w:szCs w:val="22"/>
        </w:rPr>
        <w:t>Aliber (1966), Bergsten (1975), Black (1985, 1989), Cohen (1971), Kenen (1983), Swoboda (1969) and other references cited within.  More recent overviews of the subject are offered by Genberg (2011)</w:t>
      </w:r>
      <w:r>
        <w:rPr>
          <w:sz w:val="22"/>
          <w:szCs w:val="22"/>
        </w:rPr>
        <w:t xml:space="preserve"> and Kenen (2011).</w:t>
      </w:r>
    </w:p>
  </w:footnote>
  <w:footnote w:id="3">
    <w:p w:rsidR="00DF0276" w:rsidRDefault="00DF0276" w:rsidP="00392325">
      <w:r w:rsidRPr="00F444CB">
        <w:rPr>
          <w:rStyle w:val="FootnoteReference"/>
          <w:sz w:val="22"/>
          <w:szCs w:val="22"/>
        </w:rPr>
        <w:footnoteRef/>
      </w:r>
      <w:r>
        <w:rPr>
          <w:sz w:val="22"/>
          <w:szCs w:val="22"/>
        </w:rPr>
        <w:t xml:space="preserve"> Broz (1997, 1999); Schenk (2010a).</w:t>
      </w:r>
    </w:p>
  </w:footnote>
  <w:footnote w:id="4">
    <w:p w:rsidR="00DF0276" w:rsidRDefault="00DF0276" w:rsidP="00117143">
      <w:r w:rsidRPr="00F444CB">
        <w:rPr>
          <w:rStyle w:val="FootnoteReference"/>
          <w:sz w:val="22"/>
          <w:szCs w:val="22"/>
        </w:rPr>
        <w:footnoteRef/>
      </w:r>
      <w:r w:rsidRPr="00F444CB">
        <w:rPr>
          <w:sz w:val="22"/>
          <w:szCs w:val="22"/>
        </w:rPr>
        <w:t xml:space="preserve"> The source, which has been cited by many, is Lindert, 1969, p.16-22.  [In 1899, known pound reserves were 43 % of total official reserve holdings, francs 11%, and marks 10%. In 1913 sterling accounted for 38 % of total holdings, francs and marks 24 % and 13% .]</w:t>
      </w:r>
    </w:p>
  </w:footnote>
  <w:footnote w:id="5">
    <w:p w:rsidR="00DF0276" w:rsidRDefault="00DF0276">
      <w:pPr>
        <w:pStyle w:val="FootnoteText"/>
      </w:pPr>
      <w:r w:rsidRPr="00F444CB">
        <w:rPr>
          <w:rStyle w:val="FootnoteReference"/>
          <w:sz w:val="22"/>
          <w:szCs w:val="22"/>
        </w:rPr>
        <w:footnoteRef/>
      </w:r>
      <w:r w:rsidRPr="00F444CB">
        <w:rPr>
          <w:sz w:val="22"/>
          <w:szCs w:val="22"/>
        </w:rPr>
        <w:t xml:space="preserve"> </w:t>
      </w:r>
      <w:r w:rsidRPr="00F444CB">
        <w:rPr>
          <w:rFonts w:eastAsia="MS Mincho"/>
          <w:color w:val="000000"/>
          <w:sz w:val="22"/>
          <w:szCs w:val="22"/>
          <w:lang w:eastAsia="ja-JP"/>
        </w:rPr>
        <w:t>In 1990 International Gheary-Kamis dollars.</w:t>
      </w:r>
    </w:p>
  </w:footnote>
  <w:footnote w:id="6">
    <w:p w:rsidR="00DF0276" w:rsidRDefault="00DF0276">
      <w:pPr>
        <w:pStyle w:val="FootnoteText"/>
      </w:pPr>
      <w:r w:rsidRPr="00F444CB">
        <w:rPr>
          <w:rStyle w:val="FootnoteReference"/>
          <w:sz w:val="22"/>
          <w:szCs w:val="22"/>
        </w:rPr>
        <w:footnoteRef/>
      </w:r>
      <w:r w:rsidRPr="00F444CB">
        <w:rPr>
          <w:sz w:val="22"/>
          <w:szCs w:val="22"/>
        </w:rPr>
        <w:t xml:space="preserve"> Among those who have told this interesting story are Broz (1997, 1999), Eichengreen (2011, 22-26), </w:t>
      </w:r>
      <w:r>
        <w:rPr>
          <w:sz w:val="22"/>
          <w:szCs w:val="22"/>
        </w:rPr>
        <w:t xml:space="preserve">Eichengreen and Flandreau (2010), and </w:t>
      </w:r>
      <w:r w:rsidRPr="00F444CB">
        <w:rPr>
          <w:sz w:val="22"/>
          <w:szCs w:val="22"/>
        </w:rPr>
        <w:t>Karmin (2008, 110-116).</w:t>
      </w:r>
    </w:p>
  </w:footnote>
  <w:footnote w:id="7">
    <w:p w:rsidR="00DF0276" w:rsidRDefault="00DF0276" w:rsidP="00120FD9">
      <w:r w:rsidRPr="00F444CB">
        <w:rPr>
          <w:rStyle w:val="FootnoteReference"/>
          <w:sz w:val="22"/>
          <w:szCs w:val="22"/>
        </w:rPr>
        <w:footnoteRef/>
      </w:r>
      <w:r w:rsidRPr="00F444CB">
        <w:rPr>
          <w:sz w:val="22"/>
          <w:szCs w:val="22"/>
        </w:rPr>
        <w:t xml:space="preserve"> Ahamed (2009, p.176) “…it did not bode well that the new ‘conductor of the orchestra,’ the Federal Reserve, was a deeply divided organization that did not fully realize the role that had been thrust upon it and, but for Strong, would have been in the hands of a motley crew…”</w:t>
      </w:r>
    </w:p>
  </w:footnote>
  <w:footnote w:id="8">
    <w:p w:rsidR="00DF0276" w:rsidRDefault="00DF0276">
      <w:pPr>
        <w:pStyle w:val="FootnoteText"/>
      </w:pPr>
      <w:r w:rsidRPr="00F444CB">
        <w:rPr>
          <w:rStyle w:val="FootnoteReference"/>
          <w:sz w:val="22"/>
          <w:szCs w:val="22"/>
        </w:rPr>
        <w:footnoteRef/>
      </w:r>
      <w:r w:rsidRPr="00F444CB">
        <w:rPr>
          <w:sz w:val="22"/>
          <w:szCs w:val="22"/>
        </w:rPr>
        <w:t xml:space="preserve"> And in so doing competed with Montagu Norman, head of the Bank of England. Eichengreen (2011, 30-32).</w:t>
      </w:r>
    </w:p>
  </w:footnote>
  <w:footnote w:id="9">
    <w:p w:rsidR="00DF0276" w:rsidRDefault="00DF0276">
      <w:pPr>
        <w:pStyle w:val="FootnoteText"/>
      </w:pPr>
      <w:r w:rsidRPr="00F444CB">
        <w:rPr>
          <w:rStyle w:val="FootnoteReference"/>
          <w:sz w:val="22"/>
          <w:szCs w:val="22"/>
        </w:rPr>
        <w:footnoteRef/>
      </w:r>
      <w:r w:rsidRPr="00F444CB">
        <w:rPr>
          <w:sz w:val="22"/>
          <w:szCs w:val="22"/>
          <w:lang w:val="de-DE"/>
        </w:rPr>
        <w:t xml:space="preserve"> Eichengreen (2011, pp</w:t>
      </w:r>
      <w:r>
        <w:rPr>
          <w:sz w:val="22"/>
          <w:szCs w:val="22"/>
          <w:lang w:val="de-DE"/>
        </w:rPr>
        <w:t xml:space="preserve"> </w:t>
      </w:r>
      <w:r w:rsidRPr="00F444CB">
        <w:rPr>
          <w:sz w:val="22"/>
          <w:szCs w:val="22"/>
          <w:lang w:val="de-DE"/>
        </w:rPr>
        <w:t>24-27)</w:t>
      </w:r>
      <w:r>
        <w:rPr>
          <w:sz w:val="22"/>
          <w:szCs w:val="22"/>
          <w:lang w:val="de-DE"/>
        </w:rPr>
        <w:t>.</w:t>
      </w:r>
    </w:p>
  </w:footnote>
  <w:footnote w:id="10">
    <w:p w:rsidR="00DF0276" w:rsidRDefault="00DF0276" w:rsidP="00C1560C">
      <w:pPr>
        <w:suppressAutoHyphens/>
        <w:jc w:val="both"/>
      </w:pPr>
      <w:r w:rsidRPr="00F444CB">
        <w:rPr>
          <w:rStyle w:val="FootnoteReference"/>
          <w:sz w:val="22"/>
          <w:szCs w:val="22"/>
        </w:rPr>
        <w:footnoteRef/>
      </w:r>
      <w:r w:rsidRPr="00F444CB">
        <w:rPr>
          <w:sz w:val="22"/>
          <w:szCs w:val="22"/>
        </w:rPr>
        <w:t xml:space="preserve"> </w:t>
      </w:r>
      <w:r w:rsidRPr="00F444CB">
        <w:rPr>
          <w:spacing w:val="-3"/>
          <w:sz w:val="22"/>
          <w:szCs w:val="22"/>
        </w:rPr>
        <w:t xml:space="preserve">Krugman (1984) showed how there can be multiple equilibria in use of an international currency, developing some informal ideas of earlier authors such as Kindleberger (1981), McKinnon (1979), and Swoboda (1969).  Matsuyama, Kiyotaki and Matsui (1993) went to the next level of abstraction analyzing this problem with the theory of random matching games. Rey (2001) also </w:t>
      </w:r>
      <w:r w:rsidRPr="00F444CB">
        <w:rPr>
          <w:iCs/>
          <w:color w:val="000000"/>
          <w:sz w:val="22"/>
          <w:szCs w:val="22"/>
        </w:rPr>
        <w:t>shows the possibility of multiple equilibria in the internationalization of currencies as determined by network externalities and the pattern of international trade</w:t>
      </w:r>
      <w:r w:rsidRPr="00F444CB">
        <w:rPr>
          <w:spacing w:val="-3"/>
          <w:sz w:val="22"/>
          <w:szCs w:val="22"/>
        </w:rPr>
        <w:t>.</w:t>
      </w:r>
    </w:p>
  </w:footnote>
  <w:footnote w:id="11">
    <w:p w:rsidR="00DF0276" w:rsidRDefault="00DF0276" w:rsidP="00C1560C">
      <w:pPr>
        <w:pStyle w:val="FootnoteText"/>
      </w:pPr>
      <w:r w:rsidRPr="00F444CB">
        <w:rPr>
          <w:rStyle w:val="FootnoteReference"/>
          <w:sz w:val="22"/>
          <w:szCs w:val="22"/>
        </w:rPr>
        <w:footnoteRef/>
      </w:r>
      <w:r w:rsidRPr="00F444CB">
        <w:rPr>
          <w:sz w:val="22"/>
          <w:szCs w:val="22"/>
        </w:rPr>
        <w:t xml:space="preserve"> </w:t>
      </w:r>
      <w:r w:rsidRPr="00F444CB">
        <w:rPr>
          <w:spacing w:val="-3"/>
          <w:sz w:val="22"/>
          <w:szCs w:val="22"/>
        </w:rPr>
        <w:t>Aliber (1966, p.19-20).</w:t>
      </w:r>
    </w:p>
  </w:footnote>
  <w:footnote w:id="12">
    <w:p w:rsidR="00DF0276" w:rsidRDefault="00DF0276" w:rsidP="00C1560C">
      <w:pPr>
        <w:pStyle w:val="FootnoteText"/>
      </w:pPr>
      <w:r w:rsidRPr="00F444CB">
        <w:rPr>
          <w:rStyle w:val="FootnoteReference"/>
          <w:sz w:val="22"/>
          <w:szCs w:val="22"/>
        </w:rPr>
        <w:footnoteRef/>
      </w:r>
      <w:r w:rsidRPr="00F444CB">
        <w:rPr>
          <w:sz w:val="22"/>
          <w:szCs w:val="22"/>
        </w:rPr>
        <w:t xml:space="preserve"> Triffin (1960) and Schenk </w:t>
      </w:r>
      <w:r>
        <w:rPr>
          <w:sz w:val="22"/>
          <w:szCs w:val="22"/>
        </w:rPr>
        <w:t>(</w:t>
      </w:r>
      <w:r w:rsidRPr="00F444CB">
        <w:rPr>
          <w:sz w:val="22"/>
          <w:szCs w:val="22"/>
        </w:rPr>
        <w:t>2010b</w:t>
      </w:r>
      <w:r>
        <w:rPr>
          <w:sz w:val="22"/>
          <w:szCs w:val="22"/>
        </w:rPr>
        <w:t>).</w:t>
      </w:r>
    </w:p>
  </w:footnote>
  <w:footnote w:id="13">
    <w:p w:rsidR="00DF0276" w:rsidRDefault="00DF0276" w:rsidP="00C1560C">
      <w:pPr>
        <w:pStyle w:val="FootnoteText"/>
      </w:pPr>
      <w:r w:rsidRPr="00F444CB">
        <w:rPr>
          <w:rStyle w:val="FootnoteReference"/>
          <w:sz w:val="22"/>
          <w:szCs w:val="22"/>
        </w:rPr>
        <w:footnoteRef/>
      </w:r>
      <w:r w:rsidRPr="00F444CB">
        <w:rPr>
          <w:sz w:val="22"/>
          <w:szCs w:val="22"/>
        </w:rPr>
        <w:t xml:space="preserve"> In 1915.  </w:t>
      </w:r>
      <w:r w:rsidRPr="00F444CB">
        <w:rPr>
          <w:spacing w:val="-3"/>
          <w:sz w:val="22"/>
          <w:szCs w:val="22"/>
          <w:lang w:val="de-DE"/>
        </w:rPr>
        <w:t>E.g., Nurkse (1944), Bergsten ( 1975, p.53), and Eichengreen (1992; 2011, p.26-27). Britain famously tried to re-peg to gold in 1925, despite a prescient warning from Keynes. It was forced to give up in 1931</w:t>
      </w:r>
      <w:r>
        <w:rPr>
          <w:spacing w:val="-3"/>
          <w:sz w:val="22"/>
          <w:szCs w:val="22"/>
          <w:lang w:val="de-DE"/>
        </w:rPr>
        <w:t xml:space="preserve">, </w:t>
      </w:r>
      <w:r w:rsidRPr="00F444CB">
        <w:rPr>
          <w:spacing w:val="-3"/>
          <w:sz w:val="22"/>
          <w:szCs w:val="22"/>
          <w:lang w:val="de-DE"/>
        </w:rPr>
        <w:t>whereupon the dollar share of global reserves reached its interwar peak.</w:t>
      </w:r>
    </w:p>
  </w:footnote>
  <w:footnote w:id="14">
    <w:p w:rsidR="00DF0276" w:rsidRDefault="00DF0276" w:rsidP="00C1560C">
      <w:pPr>
        <w:pStyle w:val="FootnoteText"/>
      </w:pPr>
      <w:r w:rsidRPr="00F444CB">
        <w:rPr>
          <w:rStyle w:val="FootnoteReference"/>
          <w:sz w:val="22"/>
          <w:szCs w:val="22"/>
        </w:rPr>
        <w:footnoteRef/>
      </w:r>
      <w:r w:rsidRPr="00F444CB">
        <w:rPr>
          <w:sz w:val="22"/>
          <w:szCs w:val="22"/>
        </w:rPr>
        <w:t xml:space="preserve"> Subramanian (2011a) adopts the argument that the lag was “considerably less than the 60-plus years conventionally believed and closer to 5 or 10 years (from 1919 to the mid-to-late 1920s).”</w:t>
      </w:r>
    </w:p>
  </w:footnote>
  <w:footnote w:id="15">
    <w:p w:rsidR="00DF0276" w:rsidRDefault="00DF0276" w:rsidP="00C1560C">
      <w:pPr>
        <w:pStyle w:val="FootnoteText"/>
      </w:pPr>
      <w:r w:rsidRPr="00F444CB">
        <w:rPr>
          <w:rStyle w:val="FootnoteReference"/>
          <w:sz w:val="22"/>
          <w:szCs w:val="22"/>
        </w:rPr>
        <w:footnoteRef/>
      </w:r>
      <w:r>
        <w:rPr>
          <w:sz w:val="22"/>
          <w:szCs w:val="22"/>
        </w:rPr>
        <w:t xml:space="preserve"> Eichengreen (2011, </w:t>
      </w:r>
      <w:r w:rsidRPr="00F444CB">
        <w:rPr>
          <w:sz w:val="22"/>
          <w:szCs w:val="22"/>
        </w:rPr>
        <w:t>p.33)</w:t>
      </w:r>
      <w:r>
        <w:rPr>
          <w:sz w:val="22"/>
          <w:szCs w:val="22"/>
        </w:rPr>
        <w:t>;</w:t>
      </w:r>
      <w:r w:rsidRPr="00F444CB">
        <w:rPr>
          <w:sz w:val="22"/>
          <w:szCs w:val="22"/>
        </w:rPr>
        <w:t xml:space="preserve"> Subramanian (2011a, b).</w:t>
      </w:r>
    </w:p>
  </w:footnote>
  <w:footnote w:id="16">
    <w:p w:rsidR="00DF0276" w:rsidRDefault="00DF0276">
      <w:pPr>
        <w:pStyle w:val="FootnoteText"/>
      </w:pPr>
      <w:r w:rsidRPr="00F444CB">
        <w:rPr>
          <w:rStyle w:val="FootnoteReference"/>
          <w:sz w:val="22"/>
          <w:szCs w:val="22"/>
        </w:rPr>
        <w:footnoteRef/>
      </w:r>
      <w:r w:rsidRPr="00F444CB">
        <w:rPr>
          <w:sz w:val="22"/>
          <w:szCs w:val="22"/>
        </w:rPr>
        <w:t xml:space="preserve"> Kindleberger (1950).</w:t>
      </w:r>
    </w:p>
  </w:footnote>
  <w:footnote w:id="17">
    <w:p w:rsidR="00DF0276" w:rsidRDefault="00DF0276" w:rsidP="0000752F">
      <w:pPr>
        <w:pStyle w:val="FootnoteText"/>
      </w:pPr>
      <w:r w:rsidRPr="00F444CB">
        <w:rPr>
          <w:rStyle w:val="FootnoteReference"/>
          <w:sz w:val="22"/>
          <w:szCs w:val="22"/>
        </w:rPr>
        <w:footnoteRef/>
      </w:r>
      <w:r w:rsidRPr="00F444CB">
        <w:rPr>
          <w:sz w:val="22"/>
          <w:szCs w:val="22"/>
        </w:rPr>
        <w:t xml:space="preserve"> </w:t>
      </w:r>
      <w:r w:rsidRPr="00F444CB">
        <w:rPr>
          <w:spacing w:val="-3"/>
          <w:sz w:val="22"/>
          <w:szCs w:val="22"/>
        </w:rPr>
        <w:t>McKinnon (1979, p.5).</w:t>
      </w:r>
    </w:p>
  </w:footnote>
  <w:footnote w:id="18">
    <w:p w:rsidR="00DF0276" w:rsidRDefault="00DF0276">
      <w:pPr>
        <w:pStyle w:val="FootnoteText"/>
      </w:pPr>
      <w:r w:rsidRPr="00F444CB">
        <w:rPr>
          <w:rStyle w:val="FootnoteReference"/>
          <w:sz w:val="22"/>
          <w:szCs w:val="22"/>
        </w:rPr>
        <w:footnoteRef/>
      </w:r>
      <w:r w:rsidRPr="00F444CB">
        <w:rPr>
          <w:sz w:val="22"/>
          <w:szCs w:val="22"/>
        </w:rPr>
        <w:t xml:space="preserve"> McCauley (2011, p.3): “US policy promoted the dollar offshore market as a side</w:t>
      </w:r>
      <w:bookmarkStart w:id="0" w:name="_GoBack"/>
      <w:bookmarkEnd w:id="0"/>
      <w:r>
        <w:rPr>
          <w:sz w:val="22"/>
          <w:szCs w:val="22"/>
        </w:rPr>
        <w:t>-</w:t>
      </w:r>
      <w:r w:rsidRPr="00F444CB">
        <w:rPr>
          <w:sz w:val="22"/>
          <w:szCs w:val="22"/>
        </w:rPr>
        <w:t xml:space="preserve">effect of a misguided defence of the dollar’s gold link.”    </w:t>
      </w:r>
    </w:p>
  </w:footnote>
  <w:footnote w:id="19">
    <w:p w:rsidR="00DF0276" w:rsidRDefault="00DF0276">
      <w:pPr>
        <w:pStyle w:val="FootnoteText"/>
      </w:pPr>
      <w:r w:rsidRPr="00F444CB">
        <w:rPr>
          <w:rStyle w:val="FootnoteReference"/>
          <w:sz w:val="22"/>
          <w:szCs w:val="22"/>
        </w:rPr>
        <w:footnoteRef/>
      </w:r>
      <w:r w:rsidRPr="00F444CB">
        <w:rPr>
          <w:sz w:val="22"/>
          <w:szCs w:val="22"/>
        </w:rPr>
        <w:t xml:space="preserve"> The French had been complaining since the 1960s of the dollar’s “exorbitant privilege.”  Providing an alternative to the dollar was part of the motivation when French Pr</w:t>
      </w:r>
      <w:r>
        <w:rPr>
          <w:sz w:val="22"/>
          <w:szCs w:val="22"/>
        </w:rPr>
        <w:t xml:space="preserve">esident Valerie Giscard d’Estaing </w:t>
      </w:r>
      <w:r w:rsidRPr="00F444CB">
        <w:rPr>
          <w:sz w:val="22"/>
          <w:szCs w:val="22"/>
        </w:rPr>
        <w:t xml:space="preserve">and German Chancellor Helmut Kohl sought European monetary cooperation and </w:t>
      </w:r>
      <w:r>
        <w:rPr>
          <w:sz w:val="22"/>
          <w:szCs w:val="22"/>
        </w:rPr>
        <w:t xml:space="preserve">in 1979 </w:t>
      </w:r>
      <w:r w:rsidRPr="00F444CB">
        <w:rPr>
          <w:sz w:val="22"/>
          <w:szCs w:val="22"/>
        </w:rPr>
        <w:t>produced the short-lived ecu.</w:t>
      </w:r>
    </w:p>
  </w:footnote>
  <w:footnote w:id="20">
    <w:p w:rsidR="00DF0276" w:rsidRDefault="00DF0276" w:rsidP="00941A63">
      <w:r w:rsidRPr="00F444CB">
        <w:rPr>
          <w:rStyle w:val="FootnoteReference"/>
          <w:sz w:val="22"/>
          <w:szCs w:val="22"/>
        </w:rPr>
        <w:footnoteRef/>
      </w:r>
      <w:r w:rsidRPr="00F444CB">
        <w:rPr>
          <w:sz w:val="22"/>
          <w:szCs w:val="22"/>
        </w:rPr>
        <w:t xml:space="preserve"> Eichengreen (2011, p.67) uses an episode from 1979 to illustrate t</w:t>
      </w:r>
      <w:r w:rsidRPr="00F444CB">
        <w:rPr>
          <w:rFonts w:eastAsia="MS Mincho"/>
          <w:sz w:val="22"/>
          <w:szCs w:val="22"/>
          <w:lang w:eastAsia="ja-JP"/>
        </w:rPr>
        <w:t>he Germans’ active discouragement of international use of the DM:   Iran was considering converting its dollar reserves into deutschmarks, but the Bundesbank warned Tehran to desist.</w:t>
      </w:r>
      <w:r>
        <w:rPr>
          <w:rFonts w:eastAsia="MS Mincho"/>
          <w:lang w:eastAsia="ja-JP"/>
        </w:rPr>
        <w:t xml:space="preserve">   </w:t>
      </w:r>
    </w:p>
  </w:footnote>
  <w:footnote w:id="21">
    <w:p w:rsidR="00DF0276" w:rsidRDefault="00DF0276" w:rsidP="00993722">
      <w:r w:rsidRPr="00B42068">
        <w:rPr>
          <w:rStyle w:val="FootnoteReference"/>
          <w:sz w:val="22"/>
          <w:szCs w:val="22"/>
        </w:rPr>
        <w:footnoteRef/>
      </w:r>
      <w:r w:rsidRPr="00B42068">
        <w:rPr>
          <w:sz w:val="22"/>
          <w:szCs w:val="22"/>
        </w:rPr>
        <w:t xml:space="preserve"> Tavlas (1993).</w:t>
      </w:r>
    </w:p>
  </w:footnote>
  <w:footnote w:id="22">
    <w:p w:rsidR="00DF0276" w:rsidRDefault="00DF0276">
      <w:pPr>
        <w:pStyle w:val="FootnoteText"/>
      </w:pPr>
      <w:r w:rsidRPr="002D6971">
        <w:rPr>
          <w:rStyle w:val="FootnoteReference"/>
          <w:sz w:val="22"/>
          <w:szCs w:val="22"/>
        </w:rPr>
        <w:footnoteRef/>
      </w:r>
      <w:r w:rsidRPr="002D6971">
        <w:rPr>
          <w:sz w:val="22"/>
          <w:szCs w:val="22"/>
        </w:rPr>
        <w:t xml:space="preserve"> </w:t>
      </w:r>
      <w:r>
        <w:rPr>
          <w:sz w:val="22"/>
          <w:szCs w:val="22"/>
        </w:rPr>
        <w:t>For example, t</w:t>
      </w:r>
      <w:r w:rsidRPr="002D6971">
        <w:rPr>
          <w:sz w:val="22"/>
          <w:szCs w:val="22"/>
        </w:rPr>
        <w:t>he decision to create 500 euro notes was a rare instance of a currency’s guardians deliberately seeking international seignorage, at the expense of others and even at the expense of law enforcement. Rogoff (1998).</w:t>
      </w:r>
    </w:p>
  </w:footnote>
  <w:footnote w:id="23">
    <w:p w:rsidR="00DF0276" w:rsidRDefault="00DF0276">
      <w:pPr>
        <w:pStyle w:val="FootnoteText"/>
      </w:pPr>
      <w:r w:rsidRPr="00B42068">
        <w:rPr>
          <w:rStyle w:val="FootnoteReference"/>
          <w:sz w:val="22"/>
          <w:szCs w:val="22"/>
        </w:rPr>
        <w:footnoteRef/>
      </w:r>
      <w:r>
        <w:rPr>
          <w:sz w:val="22"/>
          <w:szCs w:val="22"/>
          <w:lang w:val="de-DE"/>
        </w:rPr>
        <w:t xml:space="preserve"> Takagi (2007).</w:t>
      </w:r>
    </w:p>
  </w:footnote>
  <w:footnote w:id="24">
    <w:p w:rsidR="00DF0276" w:rsidRDefault="00DF0276">
      <w:pPr>
        <w:pStyle w:val="FootnoteText"/>
      </w:pPr>
      <w:r w:rsidRPr="00F444CB">
        <w:rPr>
          <w:rStyle w:val="FootnoteReference"/>
          <w:sz w:val="22"/>
          <w:szCs w:val="22"/>
        </w:rPr>
        <w:footnoteRef/>
      </w:r>
      <w:r w:rsidRPr="00F444CB">
        <w:rPr>
          <w:sz w:val="22"/>
          <w:szCs w:val="22"/>
        </w:rPr>
        <w:t xml:space="preserve"> Frankel (1984), Takagi (2011), and other references cited therein.</w:t>
      </w:r>
    </w:p>
  </w:footnote>
  <w:footnote w:id="25">
    <w:p w:rsidR="00DF0276" w:rsidRDefault="00DF0276">
      <w:pPr>
        <w:pStyle w:val="FootnoteText"/>
      </w:pPr>
      <w:r w:rsidRPr="009A746B">
        <w:rPr>
          <w:rStyle w:val="FootnoteReference"/>
          <w:sz w:val="22"/>
          <w:szCs w:val="22"/>
        </w:rPr>
        <w:footnoteRef/>
      </w:r>
      <w:r w:rsidRPr="009A746B">
        <w:rPr>
          <w:sz w:val="22"/>
          <w:szCs w:val="22"/>
          <w:lang w:val="sv-SE"/>
        </w:rPr>
        <w:t xml:space="preserve"> Frankel (1984); Takagi (2011, p.1, 3-4).</w:t>
      </w:r>
    </w:p>
  </w:footnote>
  <w:footnote w:id="26">
    <w:p w:rsidR="00DF0276" w:rsidRDefault="00DF0276">
      <w:pPr>
        <w:pStyle w:val="FootnoteText"/>
      </w:pPr>
      <w:r w:rsidRPr="009A746B">
        <w:rPr>
          <w:rStyle w:val="FootnoteReference"/>
          <w:sz w:val="22"/>
          <w:szCs w:val="22"/>
        </w:rPr>
        <w:footnoteRef/>
      </w:r>
      <w:r w:rsidRPr="009A746B">
        <w:rPr>
          <w:sz w:val="22"/>
          <w:szCs w:val="22"/>
        </w:rPr>
        <w:t xml:space="preserve"> Funabashi (1988)</w:t>
      </w:r>
      <w:r>
        <w:rPr>
          <w:sz w:val="22"/>
          <w:szCs w:val="22"/>
        </w:rPr>
        <w:t>; Dominguez and Frankel (1993)</w:t>
      </w:r>
      <w:r w:rsidRPr="009A746B">
        <w:rPr>
          <w:sz w:val="22"/>
          <w:szCs w:val="22"/>
        </w:rPr>
        <w:t>.</w:t>
      </w:r>
    </w:p>
  </w:footnote>
  <w:footnote w:id="27">
    <w:p w:rsidR="00DF0276" w:rsidRDefault="00DF0276">
      <w:pPr>
        <w:pStyle w:val="FootnoteText"/>
      </w:pPr>
      <w:r>
        <w:rPr>
          <w:rStyle w:val="FootnoteReference"/>
          <w:sz w:val="22"/>
          <w:szCs w:val="22"/>
        </w:rPr>
        <w:footnoteRef/>
      </w:r>
      <w:r w:rsidRPr="0028473D">
        <w:rPr>
          <w:sz w:val="22"/>
          <w:szCs w:val="22"/>
        </w:rPr>
        <w:t xml:space="preserve">  </w:t>
      </w:r>
      <w:r>
        <w:rPr>
          <w:sz w:val="22"/>
          <w:szCs w:val="22"/>
        </w:rPr>
        <w:t>In 1987 and 1988 t</w:t>
      </w:r>
      <w:r w:rsidRPr="0028473D">
        <w:rPr>
          <w:sz w:val="22"/>
          <w:szCs w:val="22"/>
        </w:rPr>
        <w:t>he Ministry of Finance used administrative guidance to encourage Japan’s institutional investors t</w:t>
      </w:r>
      <w:r>
        <w:rPr>
          <w:sz w:val="22"/>
          <w:szCs w:val="22"/>
        </w:rPr>
        <w:t>o</w:t>
      </w:r>
      <w:r w:rsidRPr="0028473D">
        <w:rPr>
          <w:sz w:val="22"/>
          <w:szCs w:val="22"/>
        </w:rPr>
        <w:t xml:space="preserve"> hold more dollars than they would have freely chosen to do.  Dominguez and Frankel (</w:t>
      </w:r>
      <w:r>
        <w:rPr>
          <w:sz w:val="22"/>
          <w:szCs w:val="22"/>
        </w:rPr>
        <w:t>1993,</w:t>
      </w:r>
      <w:r w:rsidRPr="0028473D">
        <w:rPr>
          <w:sz w:val="22"/>
          <w:szCs w:val="22"/>
        </w:rPr>
        <w:t xml:space="preserve"> p. 19).  </w:t>
      </w:r>
    </w:p>
  </w:footnote>
  <w:footnote w:id="28">
    <w:p w:rsidR="00DF0276" w:rsidRDefault="00DF0276">
      <w:pPr>
        <w:pStyle w:val="FootnoteText"/>
      </w:pPr>
      <w:r w:rsidRPr="009A746B">
        <w:rPr>
          <w:rStyle w:val="FootnoteReference"/>
          <w:sz w:val="22"/>
          <w:szCs w:val="22"/>
        </w:rPr>
        <w:footnoteRef/>
      </w:r>
      <w:r w:rsidRPr="009A746B">
        <w:rPr>
          <w:sz w:val="22"/>
          <w:szCs w:val="22"/>
        </w:rPr>
        <w:t xml:space="preserve"> Ironically, the Japanese conspiracy theory around the time of the crash was that the United States had been to blame for the easy monetary policy of 1987-89 by persuading the Japanese authorities to buy up large quantities of dollars.  It seems unlikely that Japan’s crash in the 1990s was attributable both to US pressure </w:t>
      </w:r>
      <w:r>
        <w:rPr>
          <w:sz w:val="22"/>
          <w:szCs w:val="22"/>
        </w:rPr>
        <w:t xml:space="preserve">on Japan </w:t>
      </w:r>
      <w:r w:rsidRPr="009A746B">
        <w:rPr>
          <w:sz w:val="22"/>
          <w:szCs w:val="22"/>
        </w:rPr>
        <w:t xml:space="preserve">to push the dollar </w:t>
      </w:r>
      <w:r w:rsidRPr="009A746B">
        <w:rPr>
          <w:i/>
          <w:sz w:val="22"/>
          <w:szCs w:val="22"/>
        </w:rPr>
        <w:t>down</w:t>
      </w:r>
      <w:r w:rsidRPr="009A746B">
        <w:rPr>
          <w:sz w:val="22"/>
          <w:szCs w:val="22"/>
        </w:rPr>
        <w:t xml:space="preserve"> in 1984-86 and US pressure </w:t>
      </w:r>
      <w:r>
        <w:rPr>
          <w:sz w:val="22"/>
          <w:szCs w:val="22"/>
        </w:rPr>
        <w:t xml:space="preserve">on Japan </w:t>
      </w:r>
      <w:r w:rsidRPr="009A746B">
        <w:rPr>
          <w:sz w:val="22"/>
          <w:szCs w:val="22"/>
        </w:rPr>
        <w:t xml:space="preserve">to keep the dollar </w:t>
      </w:r>
      <w:r w:rsidRPr="009A746B">
        <w:rPr>
          <w:i/>
          <w:sz w:val="22"/>
          <w:szCs w:val="22"/>
        </w:rPr>
        <w:t>up</w:t>
      </w:r>
      <w:r w:rsidRPr="009A746B">
        <w:rPr>
          <w:sz w:val="22"/>
          <w:szCs w:val="22"/>
        </w:rPr>
        <w:t xml:space="preserve"> in 1987-89!</w:t>
      </w:r>
      <w:r>
        <w:rPr>
          <w:sz w:val="24"/>
          <w:szCs w:val="24"/>
        </w:rPr>
        <w:t xml:space="preserve">    </w:t>
      </w:r>
    </w:p>
  </w:footnote>
  <w:footnote w:id="29">
    <w:p w:rsidR="00DF0276" w:rsidRDefault="00DF0276" w:rsidP="0075489B">
      <w:r w:rsidRPr="00F444CB">
        <w:rPr>
          <w:rStyle w:val="FootnoteReference"/>
          <w:sz w:val="22"/>
          <w:szCs w:val="22"/>
        </w:rPr>
        <w:footnoteRef/>
      </w:r>
      <w:r w:rsidRPr="00F444CB">
        <w:rPr>
          <w:sz w:val="22"/>
          <w:szCs w:val="22"/>
          <w:lang w:val="sv-SE"/>
        </w:rPr>
        <w:t xml:space="preserve"> Tavlas and Ozeki (1992).</w:t>
      </w:r>
    </w:p>
  </w:footnote>
  <w:footnote w:id="30">
    <w:p w:rsidR="00DF0276" w:rsidRDefault="00DF0276">
      <w:pPr>
        <w:pStyle w:val="FootnoteText"/>
      </w:pPr>
      <w:r w:rsidRPr="00F444CB">
        <w:rPr>
          <w:rStyle w:val="FootnoteReference"/>
          <w:sz w:val="22"/>
          <w:szCs w:val="22"/>
        </w:rPr>
        <w:footnoteRef/>
      </w:r>
      <w:r w:rsidRPr="00F444CB">
        <w:rPr>
          <w:sz w:val="22"/>
          <w:szCs w:val="22"/>
          <w:lang w:val="sv-SE"/>
        </w:rPr>
        <w:t xml:space="preserve"> Frankel (1995).  </w:t>
      </w:r>
    </w:p>
  </w:footnote>
  <w:footnote w:id="31">
    <w:p w:rsidR="00DF0276" w:rsidRDefault="00DF0276">
      <w:pPr>
        <w:pStyle w:val="FootnoteText"/>
      </w:pPr>
      <w:r w:rsidRPr="00F444CB">
        <w:rPr>
          <w:rStyle w:val="FootnoteReference"/>
          <w:sz w:val="22"/>
          <w:szCs w:val="22"/>
        </w:rPr>
        <w:footnoteRef/>
      </w:r>
      <w:r>
        <w:rPr>
          <w:sz w:val="22"/>
          <w:szCs w:val="22"/>
          <w:lang w:val="sv-SE"/>
        </w:rPr>
        <w:t xml:space="preserve"> Kennedy (1989);</w:t>
      </w:r>
      <w:r w:rsidRPr="00F444CB">
        <w:rPr>
          <w:sz w:val="22"/>
          <w:szCs w:val="22"/>
          <w:lang w:val="sv-SE"/>
        </w:rPr>
        <w:t xml:space="preserve">  </w:t>
      </w:r>
      <w:r w:rsidRPr="00F444CB">
        <w:rPr>
          <w:sz w:val="22"/>
          <w:szCs w:val="22"/>
        </w:rPr>
        <w:t>Fingleton (1995).</w:t>
      </w:r>
    </w:p>
  </w:footnote>
  <w:footnote w:id="32">
    <w:p w:rsidR="00DF0276" w:rsidRDefault="00DF0276">
      <w:pPr>
        <w:pStyle w:val="FootnoteText"/>
      </w:pPr>
      <w:r w:rsidRPr="00F444CB">
        <w:rPr>
          <w:rStyle w:val="FootnoteReference"/>
          <w:sz w:val="22"/>
          <w:szCs w:val="22"/>
        </w:rPr>
        <w:footnoteRef/>
      </w:r>
      <w:r w:rsidRPr="00F444CB">
        <w:rPr>
          <w:sz w:val="22"/>
          <w:szCs w:val="22"/>
        </w:rPr>
        <w:t xml:space="preserve"> Hale (1995)</w:t>
      </w:r>
      <w:r>
        <w:rPr>
          <w:sz w:val="22"/>
          <w:szCs w:val="22"/>
        </w:rPr>
        <w:t>;</w:t>
      </w:r>
      <w:r w:rsidRPr="00F444CB">
        <w:rPr>
          <w:sz w:val="22"/>
          <w:szCs w:val="22"/>
        </w:rPr>
        <w:t xml:space="preserve"> Kindleberger (1995).</w:t>
      </w:r>
    </w:p>
  </w:footnote>
  <w:footnote w:id="33">
    <w:p w:rsidR="00DF0276" w:rsidRDefault="00DF0276">
      <w:pPr>
        <w:pStyle w:val="FootnoteText"/>
      </w:pPr>
      <w:r w:rsidRPr="00F444CB">
        <w:rPr>
          <w:rStyle w:val="FootnoteReference"/>
          <w:sz w:val="22"/>
          <w:szCs w:val="22"/>
        </w:rPr>
        <w:footnoteRef/>
      </w:r>
      <w:r w:rsidRPr="00F444CB">
        <w:rPr>
          <w:sz w:val="22"/>
          <w:szCs w:val="22"/>
        </w:rPr>
        <w:t xml:space="preserve"> Takagi (2011, p.1)</w:t>
      </w:r>
      <w:r>
        <w:rPr>
          <w:sz w:val="22"/>
          <w:szCs w:val="22"/>
        </w:rPr>
        <w:t>;</w:t>
      </w:r>
      <w:r w:rsidRPr="00F444CB">
        <w:rPr>
          <w:sz w:val="22"/>
          <w:szCs w:val="22"/>
        </w:rPr>
        <w:t xml:space="preserve"> MoF (1999).  </w:t>
      </w:r>
    </w:p>
  </w:footnote>
  <w:footnote w:id="34">
    <w:p w:rsidR="00DF0276" w:rsidRDefault="00DF0276" w:rsidP="00183DED">
      <w:pPr>
        <w:pStyle w:val="FootnoteText"/>
      </w:pPr>
      <w:r w:rsidRPr="00F444CB">
        <w:rPr>
          <w:rStyle w:val="FootnoteReference"/>
          <w:sz w:val="22"/>
          <w:szCs w:val="22"/>
        </w:rPr>
        <w:footnoteRef/>
      </w:r>
      <w:r w:rsidRPr="00F444CB">
        <w:rPr>
          <w:sz w:val="22"/>
          <w:szCs w:val="22"/>
        </w:rPr>
        <w:t xml:space="preserve"> </w:t>
      </w:r>
    </w:p>
  </w:footnote>
  <w:footnote w:id="35">
    <w:p w:rsidR="00DF0276" w:rsidRDefault="00DF0276">
      <w:pPr>
        <w:pStyle w:val="FootnoteText"/>
      </w:pPr>
      <w:r w:rsidRPr="00F444CB">
        <w:rPr>
          <w:rStyle w:val="FootnoteReference"/>
          <w:sz w:val="22"/>
          <w:szCs w:val="22"/>
        </w:rPr>
        <w:footnoteRef/>
      </w:r>
      <w:r w:rsidRPr="00F444CB">
        <w:rPr>
          <w:sz w:val="22"/>
          <w:szCs w:val="22"/>
        </w:rPr>
        <w:t xml:space="preserve"> Ministry of Finance (1999),  Takagi (2011, p.5-6) .</w:t>
      </w:r>
    </w:p>
  </w:footnote>
  <w:footnote w:id="36">
    <w:p w:rsidR="00DF0276" w:rsidRDefault="00DF0276" w:rsidP="00C55560">
      <w:pPr>
        <w:pStyle w:val="FootnoteText"/>
      </w:pPr>
      <w:r w:rsidRPr="00F444CB">
        <w:rPr>
          <w:rStyle w:val="FootnoteReference"/>
          <w:sz w:val="22"/>
          <w:szCs w:val="22"/>
        </w:rPr>
        <w:footnoteRef/>
      </w:r>
      <w:r w:rsidRPr="00F444CB">
        <w:rPr>
          <w:sz w:val="22"/>
          <w:szCs w:val="22"/>
        </w:rPr>
        <w:t xml:space="preserve"> Dooley, Lizondo and Mathieson (1989) and Eichengreen and Mathieson (2000) were able, for this purpose, to gain access to country-by-country data on reserve holdings, which are otherwise extremely confidential.</w:t>
      </w:r>
    </w:p>
  </w:footnote>
  <w:footnote w:id="37">
    <w:p w:rsidR="00DF0276" w:rsidRDefault="00DF0276" w:rsidP="00F45703">
      <w:pPr>
        <w:pStyle w:val="FootnoteText"/>
      </w:pPr>
      <w:r w:rsidRPr="00F444CB">
        <w:rPr>
          <w:rStyle w:val="FootnoteReference"/>
          <w:sz w:val="22"/>
          <w:szCs w:val="22"/>
        </w:rPr>
        <w:footnoteRef/>
      </w:r>
      <w:r w:rsidRPr="00F444CB">
        <w:rPr>
          <w:sz w:val="22"/>
          <w:szCs w:val="22"/>
        </w:rPr>
        <w:t xml:space="preserve"> </w:t>
      </w:r>
      <w:r w:rsidRPr="0028473D">
        <w:rPr>
          <w:sz w:val="22"/>
          <w:szCs w:val="22"/>
        </w:rPr>
        <w:t>Other specifications are included in the Appendix.</w:t>
      </w:r>
      <w:r w:rsidRPr="00F444CB">
        <w:rPr>
          <w:sz w:val="22"/>
          <w:szCs w:val="22"/>
        </w:rPr>
        <w:t xml:space="preserve"> </w:t>
      </w:r>
      <w:r>
        <w:rPr>
          <w:sz w:val="22"/>
          <w:szCs w:val="22"/>
        </w:rPr>
        <w:t xml:space="preserve"> </w:t>
      </w:r>
      <w:r w:rsidRPr="00F444CB">
        <w:rPr>
          <w:sz w:val="22"/>
          <w:szCs w:val="22"/>
        </w:rPr>
        <w:t>Turnover becomes statistically significant if we also include a dummy variable for the leader, that is, for US holdings</w:t>
      </w:r>
      <w:r>
        <w:rPr>
          <w:sz w:val="22"/>
          <w:szCs w:val="22"/>
        </w:rPr>
        <w:t xml:space="preserve">, </w:t>
      </w:r>
      <w:r w:rsidRPr="00F444CB">
        <w:rPr>
          <w:sz w:val="22"/>
          <w:szCs w:val="22"/>
        </w:rPr>
        <w:t>or if the yen is excluded from the sample. Surprisingly, we did not find a significant role for net international asset position.</w:t>
      </w:r>
    </w:p>
  </w:footnote>
  <w:footnote w:id="38">
    <w:p w:rsidR="00DF0276" w:rsidRDefault="00DF0276" w:rsidP="006370E5">
      <w:pPr>
        <w:suppressAutoHyphens/>
        <w:spacing w:line="240" w:lineRule="atLeast"/>
        <w:jc w:val="both"/>
      </w:pPr>
      <w:r w:rsidRPr="006370E5">
        <w:rPr>
          <w:rStyle w:val="FootnoteReference"/>
          <w:sz w:val="22"/>
          <w:szCs w:val="22"/>
        </w:rPr>
        <w:footnoteRef/>
      </w:r>
      <w:r w:rsidRPr="006370E5">
        <w:rPr>
          <w:sz w:val="22"/>
          <w:szCs w:val="22"/>
        </w:rPr>
        <w:t xml:space="preserve"> The literature is exploding as </w:t>
      </w:r>
      <w:r>
        <w:rPr>
          <w:sz w:val="22"/>
          <w:szCs w:val="22"/>
        </w:rPr>
        <w:t xml:space="preserve">rapidly as the use of the RMB. </w:t>
      </w:r>
      <w:r w:rsidRPr="006370E5">
        <w:rPr>
          <w:sz w:val="22"/>
          <w:szCs w:val="22"/>
        </w:rPr>
        <w:t xml:space="preserve"> It includes </w:t>
      </w:r>
      <w:r w:rsidRPr="006370E5">
        <w:rPr>
          <w:spacing w:val="-3"/>
          <w:sz w:val="22"/>
          <w:szCs w:val="22"/>
        </w:rPr>
        <w:t>Chen</w:t>
      </w:r>
      <w:r>
        <w:rPr>
          <w:spacing w:val="-3"/>
          <w:sz w:val="22"/>
          <w:szCs w:val="22"/>
        </w:rPr>
        <w:t xml:space="preserve">, </w:t>
      </w:r>
      <w:r w:rsidRPr="006370E5">
        <w:rPr>
          <w:spacing w:val="-3"/>
          <w:sz w:val="22"/>
          <w:szCs w:val="22"/>
        </w:rPr>
        <w:t xml:space="preserve">Wang and Yang  (2005), </w:t>
      </w:r>
      <w:r>
        <w:rPr>
          <w:sz w:val="22"/>
          <w:szCs w:val="22"/>
        </w:rPr>
        <w:t xml:space="preserve">Li and </w:t>
      </w:r>
      <w:r w:rsidRPr="006370E5">
        <w:rPr>
          <w:sz w:val="22"/>
          <w:szCs w:val="22"/>
        </w:rPr>
        <w:t>Liu (2007), Chen, Peng and Shu (2009),</w:t>
      </w:r>
      <w:r w:rsidRPr="00A13D39">
        <w:rPr>
          <w:sz w:val="20"/>
          <w:szCs w:val="20"/>
        </w:rPr>
        <w:t xml:space="preserve"> </w:t>
      </w:r>
      <w:r w:rsidRPr="00A13D39">
        <w:rPr>
          <w:sz w:val="22"/>
          <w:szCs w:val="22"/>
        </w:rPr>
        <w:t>Dobson and Masson (2009),</w:t>
      </w:r>
      <w:r w:rsidRPr="006370E5">
        <w:rPr>
          <w:sz w:val="22"/>
          <w:szCs w:val="22"/>
        </w:rPr>
        <w:t xml:space="preserve"> Cheung, Ma and McCaul</w:t>
      </w:r>
      <w:r>
        <w:rPr>
          <w:sz w:val="22"/>
          <w:szCs w:val="22"/>
        </w:rPr>
        <w:t>e</w:t>
      </w:r>
      <w:r w:rsidRPr="006370E5">
        <w:rPr>
          <w:sz w:val="22"/>
          <w:szCs w:val="22"/>
        </w:rPr>
        <w:t xml:space="preserve">y (2010), </w:t>
      </w:r>
      <w:r w:rsidRPr="006370E5">
        <w:rPr>
          <w:bCs/>
          <w:sz w:val="22"/>
          <w:szCs w:val="22"/>
        </w:rPr>
        <w:t xml:space="preserve">Ito (2010), </w:t>
      </w:r>
      <w:r w:rsidRPr="006370E5">
        <w:rPr>
          <w:spacing w:val="-3"/>
          <w:sz w:val="22"/>
          <w:szCs w:val="22"/>
        </w:rPr>
        <w:t xml:space="preserve">Park and Song, (2010), Lee (2010), Kawai and Takagi (2011),  </w:t>
      </w:r>
      <w:r w:rsidRPr="006370E5">
        <w:rPr>
          <w:bCs/>
          <w:sz w:val="22"/>
          <w:szCs w:val="22"/>
        </w:rPr>
        <w:t xml:space="preserve">and </w:t>
      </w:r>
      <w:r w:rsidRPr="006370E5">
        <w:rPr>
          <w:sz w:val="22"/>
          <w:szCs w:val="22"/>
        </w:rPr>
        <w:t>McCauley (2011).</w:t>
      </w:r>
    </w:p>
  </w:footnote>
  <w:footnote w:id="39">
    <w:p w:rsidR="00DF0276" w:rsidRDefault="00DF0276" w:rsidP="00B2138E">
      <w:r w:rsidRPr="00B2138E">
        <w:rPr>
          <w:rStyle w:val="FootnoteReference"/>
          <w:sz w:val="22"/>
          <w:szCs w:val="22"/>
        </w:rPr>
        <w:footnoteRef/>
      </w:r>
      <w:r w:rsidRPr="00B2138E">
        <w:rPr>
          <w:sz w:val="22"/>
          <w:szCs w:val="22"/>
        </w:rPr>
        <w:t xml:space="preserve"> The Chinese economy passed Japan</w:t>
      </w:r>
      <w:r>
        <w:rPr>
          <w:sz w:val="22"/>
          <w:szCs w:val="22"/>
        </w:rPr>
        <w:t>’s</w:t>
      </w:r>
      <w:r w:rsidRPr="00B2138E">
        <w:rPr>
          <w:sz w:val="22"/>
          <w:szCs w:val="22"/>
        </w:rPr>
        <w:t xml:space="preserve"> in 2010, to attain the world’s #2 ranking.</w:t>
      </w:r>
    </w:p>
  </w:footnote>
  <w:footnote w:id="40">
    <w:p w:rsidR="00DF0276" w:rsidRPr="00B2138E" w:rsidRDefault="00DF0276" w:rsidP="002131A7">
      <w:pPr>
        <w:rPr>
          <w:sz w:val="22"/>
          <w:szCs w:val="22"/>
        </w:rPr>
      </w:pPr>
      <w:r w:rsidRPr="00B2138E">
        <w:rPr>
          <w:rStyle w:val="FootnoteReference"/>
          <w:sz w:val="22"/>
          <w:szCs w:val="22"/>
        </w:rPr>
        <w:footnoteRef/>
      </w:r>
      <w:r w:rsidRPr="00B2138E">
        <w:rPr>
          <w:sz w:val="22"/>
          <w:szCs w:val="22"/>
        </w:rPr>
        <w:t xml:space="preserve"> Indeed expectations of appreciation are the reason for the strong portfolio capital inflows since 2004.  Prasad and Wei (2007).</w:t>
      </w:r>
    </w:p>
    <w:p w:rsidR="00DF0276" w:rsidRDefault="00DF0276" w:rsidP="002131A7"/>
  </w:footnote>
  <w:footnote w:id="41">
    <w:p w:rsidR="00DF0276" w:rsidRDefault="00DF0276" w:rsidP="00492700">
      <w:r w:rsidRPr="00492700">
        <w:rPr>
          <w:rStyle w:val="FootnoteReference"/>
          <w:sz w:val="22"/>
          <w:szCs w:val="22"/>
        </w:rPr>
        <w:footnoteRef/>
      </w:r>
      <w:r w:rsidRPr="00492700">
        <w:rPr>
          <w:sz w:val="22"/>
          <w:szCs w:val="22"/>
        </w:rPr>
        <w:t xml:space="preserve"> The question whether China should allow the re</w:t>
      </w:r>
      <w:r>
        <w:rPr>
          <w:sz w:val="22"/>
          <w:szCs w:val="22"/>
        </w:rPr>
        <w:t>n</w:t>
      </w:r>
      <w:r w:rsidRPr="00492700">
        <w:rPr>
          <w:sz w:val="22"/>
          <w:szCs w:val="22"/>
        </w:rPr>
        <w:t>minbi to appreciate is of course highly controversial.  For a recent statement of the author’s views: Frankel (2010).</w:t>
      </w:r>
    </w:p>
  </w:footnote>
  <w:footnote w:id="42">
    <w:p w:rsidR="00DF0276" w:rsidRDefault="00DF0276">
      <w:pPr>
        <w:pStyle w:val="FootnoteText"/>
      </w:pPr>
      <w:r>
        <w:rPr>
          <w:rStyle w:val="FootnoteReference"/>
        </w:rPr>
        <w:footnoteRef/>
      </w:r>
      <w:r>
        <w:t xml:space="preserve"> </w:t>
      </w:r>
      <w:r w:rsidRPr="00F444CB">
        <w:rPr>
          <w:sz w:val="22"/>
          <w:szCs w:val="22"/>
        </w:rPr>
        <w:t xml:space="preserve">The appendix draws </w:t>
      </w:r>
      <w:r>
        <w:rPr>
          <w:sz w:val="22"/>
          <w:szCs w:val="22"/>
        </w:rPr>
        <w:t xml:space="preserve">heavily </w:t>
      </w:r>
      <w:r w:rsidRPr="00F444CB">
        <w:rPr>
          <w:sz w:val="22"/>
          <w:szCs w:val="22"/>
        </w:rPr>
        <w:t>on Frankel (1992</w:t>
      </w:r>
      <w:r>
        <w:rPr>
          <w:sz w:val="22"/>
          <w:szCs w:val="22"/>
        </w:rPr>
        <w:t>, 1995</w:t>
      </w:r>
      <w:r w:rsidRPr="00F444CB">
        <w:rPr>
          <w:sz w:val="22"/>
          <w:szCs w:val="22"/>
        </w:rPr>
        <w:t xml:space="preserve">), Eichengreen and Frankel (1996), </w:t>
      </w:r>
      <w:r>
        <w:rPr>
          <w:sz w:val="22"/>
          <w:szCs w:val="22"/>
        </w:rPr>
        <w:t xml:space="preserve">and </w:t>
      </w:r>
      <w:r w:rsidRPr="00F444CB">
        <w:rPr>
          <w:sz w:val="22"/>
          <w:szCs w:val="22"/>
        </w:rPr>
        <w:t>Chinn and Frankel (2007, 2008).</w:t>
      </w:r>
      <w:r>
        <w:rPr>
          <w:sz w:val="22"/>
          <w:szCs w:val="22"/>
        </w:rPr>
        <w:t xml:space="preserve">  </w:t>
      </w:r>
    </w:p>
  </w:footnote>
  <w:footnote w:id="43">
    <w:p w:rsidR="00DF0276" w:rsidRDefault="00DF0276" w:rsidP="00317DF8">
      <w:pPr>
        <w:pStyle w:val="FootnoteText"/>
      </w:pPr>
      <w:r w:rsidRPr="00E41A7C">
        <w:rPr>
          <w:rStyle w:val="FootnoteReference"/>
          <w:sz w:val="22"/>
          <w:szCs w:val="22"/>
        </w:rPr>
        <w:footnoteRef/>
      </w:r>
      <w:r w:rsidRPr="00E41A7C">
        <w:rPr>
          <w:sz w:val="22"/>
          <w:szCs w:val="22"/>
        </w:rPr>
        <w:t xml:space="preserve"> Cheung, Ma and McCauley (2010) argue that internationalization of the RMB would carry for China the advantage of sharing some of the foreign exchange risk that China runs with the rest of the world, essentially that it would reduce currency mismatch, in this case excessive exposure to dollars on the asset side.</w:t>
      </w:r>
    </w:p>
  </w:footnote>
  <w:footnote w:id="44">
    <w:p w:rsidR="00DF0276" w:rsidRDefault="00DF0276" w:rsidP="00317DF8">
      <w:pPr>
        <w:pStyle w:val="FootnoteText"/>
      </w:pPr>
      <w:r w:rsidRPr="00CF2985">
        <w:rPr>
          <w:rStyle w:val="FootnoteReference"/>
          <w:sz w:val="22"/>
          <w:szCs w:val="22"/>
        </w:rPr>
        <w:footnoteRef/>
      </w:r>
      <w:r w:rsidRPr="00CF2985">
        <w:rPr>
          <w:sz w:val="22"/>
          <w:szCs w:val="22"/>
        </w:rPr>
        <w:t xml:space="preserve"> </w:t>
      </w:r>
      <w:r>
        <w:rPr>
          <w:color w:val="000000"/>
          <w:sz w:val="22"/>
          <w:szCs w:val="22"/>
        </w:rPr>
        <w:t xml:space="preserve">And </w:t>
      </w:r>
      <w:r w:rsidRPr="00CF2985">
        <w:rPr>
          <w:color w:val="000000"/>
          <w:sz w:val="22"/>
          <w:szCs w:val="22"/>
        </w:rPr>
        <w:t>sources cited by Subramanian (2011a, p.5).</w:t>
      </w:r>
    </w:p>
  </w:footnote>
  <w:footnote w:id="45">
    <w:p w:rsidR="00DF0276" w:rsidRDefault="00DF0276" w:rsidP="00317DF8">
      <w:pPr>
        <w:pStyle w:val="FootnoteText"/>
      </w:pPr>
      <w:r>
        <w:rPr>
          <w:rStyle w:val="FootnoteReference"/>
          <w:sz w:val="22"/>
          <w:szCs w:val="22"/>
        </w:rPr>
        <w:footnoteRef/>
      </w:r>
      <w:r>
        <w:rPr>
          <w:sz w:val="22"/>
          <w:szCs w:val="22"/>
        </w:rPr>
        <w:t xml:space="preserve">   As Eichengreen (2005) points out, counteracting the arguments about network externalities and tipping, particularly in determining the reserve currency function, is an argument in favor or multiple simultaneous international currencies: competition for the affections of investors.    </w:t>
      </w:r>
    </w:p>
  </w:footnote>
  <w:footnote w:id="46">
    <w:p w:rsidR="00DF0276" w:rsidRDefault="00DF0276" w:rsidP="00317DF8">
      <w:pPr>
        <w:tabs>
          <w:tab w:val="left" w:pos="0"/>
        </w:tabs>
        <w:suppressAutoHyphens/>
        <w:jc w:val="both"/>
        <w:rPr>
          <w:sz w:val="22"/>
          <w:szCs w:val="22"/>
        </w:rPr>
      </w:pPr>
      <w:r>
        <w:rPr>
          <w:rStyle w:val="FootnoteReference"/>
        </w:rPr>
        <w:footnoteRef/>
      </w:r>
      <w:r>
        <w:t xml:space="preserve">  Among the relevant references are </w:t>
      </w:r>
      <w:r>
        <w:rPr>
          <w:spacing w:val="-3"/>
          <w:sz w:val="22"/>
          <w:szCs w:val="22"/>
        </w:rPr>
        <w:t xml:space="preserve">Aliber (1966), </w:t>
      </w:r>
      <w:r>
        <w:rPr>
          <w:sz w:val="22"/>
          <w:szCs w:val="22"/>
        </w:rPr>
        <w:t>Alogoskoufis and Portes (1992),</w:t>
      </w:r>
      <w:r>
        <w:rPr>
          <w:spacing w:val="-3"/>
          <w:sz w:val="22"/>
          <w:szCs w:val="22"/>
        </w:rPr>
        <w:t xml:space="preserve"> Bergsten (1975), Black (1989), Eichengreen and Frankel (1996)</w:t>
      </w:r>
      <w:r>
        <w:rPr>
          <w:sz w:val="22"/>
          <w:szCs w:val="22"/>
        </w:rPr>
        <w:t xml:space="preserve">, Eichengreen and Mathieson (2000), Frankel (1992, 1995), </w:t>
      </w:r>
      <w:r>
        <w:rPr>
          <w:spacing w:val="-3"/>
          <w:sz w:val="22"/>
          <w:szCs w:val="22"/>
        </w:rPr>
        <w:t xml:space="preserve">Kenen(1983), Krugman (1984), Kindleberger (1981), Matsuyama, Kiyotaki and Matsui (1993),McKinnon (1969, 1979), </w:t>
      </w:r>
      <w:r>
        <w:rPr>
          <w:sz w:val="22"/>
          <w:szCs w:val="22"/>
        </w:rPr>
        <w:t>Portes and Rey (1998)</w:t>
      </w:r>
      <w:r>
        <w:rPr>
          <w:spacing w:val="-3"/>
          <w:sz w:val="22"/>
          <w:szCs w:val="22"/>
        </w:rPr>
        <w:t xml:space="preserve">, Rey (2001), Swoboda (1969), Tavlas (1993),  and Tavlas and Ozeki (1992).  </w:t>
      </w:r>
    </w:p>
    <w:p w:rsidR="00DF0276" w:rsidRDefault="00DF0276" w:rsidP="00317DF8">
      <w:pPr>
        <w:tabs>
          <w:tab w:val="left" w:pos="0"/>
        </w:tabs>
        <w:suppressAutoHyphens/>
        <w:jc w:val="both"/>
      </w:pPr>
    </w:p>
  </w:footnote>
  <w:footnote w:id="47">
    <w:p w:rsidR="00DF0276" w:rsidRDefault="00DF0276" w:rsidP="00317DF8">
      <w:pPr>
        <w:pStyle w:val="FootnoteText"/>
      </w:pPr>
      <w:r>
        <w:rPr>
          <w:rStyle w:val="FootnoteReference"/>
          <w:sz w:val="22"/>
        </w:rPr>
        <w:footnoteRef/>
      </w:r>
      <w:r>
        <w:rPr>
          <w:sz w:val="22"/>
        </w:rPr>
        <w:t xml:space="preserve"> </w:t>
      </w:r>
      <w:r>
        <w:rPr>
          <w:spacing w:val="-3"/>
          <w:sz w:val="22"/>
        </w:rPr>
        <w:t>E.g., Tavlas and Ozeki (1991).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938CC"/>
    <w:multiLevelType w:val="hybridMultilevel"/>
    <w:tmpl w:val="47840BEE"/>
    <w:lvl w:ilvl="0" w:tplc="1070116A">
      <w:start w:val="1"/>
      <w:numFmt w:val="bullet"/>
      <w:lvlText w:val="•"/>
      <w:lvlJc w:val="left"/>
      <w:pPr>
        <w:tabs>
          <w:tab w:val="num" w:pos="720"/>
        </w:tabs>
        <w:ind w:left="720" w:hanging="360"/>
      </w:pPr>
      <w:rPr>
        <w:rFonts w:ascii="Times New Roman" w:hAnsi="Times New Roman" w:hint="default"/>
      </w:rPr>
    </w:lvl>
    <w:lvl w:ilvl="1" w:tplc="5BA894F2">
      <w:start w:val="3380"/>
      <w:numFmt w:val="bullet"/>
      <w:lvlText w:val="–"/>
      <w:lvlJc w:val="left"/>
      <w:pPr>
        <w:tabs>
          <w:tab w:val="num" w:pos="1440"/>
        </w:tabs>
        <w:ind w:left="1440" w:hanging="360"/>
      </w:pPr>
      <w:rPr>
        <w:rFonts w:ascii="Times New Roman" w:hAnsi="Times New Roman" w:hint="default"/>
      </w:rPr>
    </w:lvl>
    <w:lvl w:ilvl="2" w:tplc="7CFE7B7E">
      <w:start w:val="3380"/>
      <w:numFmt w:val="bullet"/>
      <w:lvlText w:val="•"/>
      <w:lvlJc w:val="left"/>
      <w:pPr>
        <w:tabs>
          <w:tab w:val="num" w:pos="2160"/>
        </w:tabs>
        <w:ind w:left="2160" w:hanging="360"/>
      </w:pPr>
      <w:rPr>
        <w:rFonts w:ascii="Times New Roman" w:hAnsi="Times New Roman" w:hint="default"/>
      </w:rPr>
    </w:lvl>
    <w:lvl w:ilvl="3" w:tplc="0EF63908" w:tentative="1">
      <w:start w:val="1"/>
      <w:numFmt w:val="bullet"/>
      <w:lvlText w:val="•"/>
      <w:lvlJc w:val="left"/>
      <w:pPr>
        <w:tabs>
          <w:tab w:val="num" w:pos="2880"/>
        </w:tabs>
        <w:ind w:left="2880" w:hanging="360"/>
      </w:pPr>
      <w:rPr>
        <w:rFonts w:ascii="Times New Roman" w:hAnsi="Times New Roman" w:hint="default"/>
      </w:rPr>
    </w:lvl>
    <w:lvl w:ilvl="4" w:tplc="57D87C98">
      <w:start w:val="3380"/>
      <w:numFmt w:val="bullet"/>
      <w:lvlText w:val="»"/>
      <w:lvlJc w:val="left"/>
      <w:pPr>
        <w:tabs>
          <w:tab w:val="num" w:pos="3600"/>
        </w:tabs>
        <w:ind w:left="3600" w:hanging="360"/>
      </w:pPr>
      <w:rPr>
        <w:rFonts w:ascii="Times New Roman" w:hAnsi="Times New Roman" w:hint="default"/>
      </w:rPr>
    </w:lvl>
    <w:lvl w:ilvl="5" w:tplc="6FDE34CA" w:tentative="1">
      <w:start w:val="1"/>
      <w:numFmt w:val="bullet"/>
      <w:lvlText w:val="•"/>
      <w:lvlJc w:val="left"/>
      <w:pPr>
        <w:tabs>
          <w:tab w:val="num" w:pos="4320"/>
        </w:tabs>
        <w:ind w:left="4320" w:hanging="360"/>
      </w:pPr>
      <w:rPr>
        <w:rFonts w:ascii="Times New Roman" w:hAnsi="Times New Roman" w:hint="default"/>
      </w:rPr>
    </w:lvl>
    <w:lvl w:ilvl="6" w:tplc="8FD8C0EE" w:tentative="1">
      <w:start w:val="1"/>
      <w:numFmt w:val="bullet"/>
      <w:lvlText w:val="•"/>
      <w:lvlJc w:val="left"/>
      <w:pPr>
        <w:tabs>
          <w:tab w:val="num" w:pos="5040"/>
        </w:tabs>
        <w:ind w:left="5040" w:hanging="360"/>
      </w:pPr>
      <w:rPr>
        <w:rFonts w:ascii="Times New Roman" w:hAnsi="Times New Roman" w:hint="default"/>
      </w:rPr>
    </w:lvl>
    <w:lvl w:ilvl="7" w:tplc="E67C9EC0" w:tentative="1">
      <w:start w:val="1"/>
      <w:numFmt w:val="bullet"/>
      <w:lvlText w:val="•"/>
      <w:lvlJc w:val="left"/>
      <w:pPr>
        <w:tabs>
          <w:tab w:val="num" w:pos="5760"/>
        </w:tabs>
        <w:ind w:left="5760" w:hanging="360"/>
      </w:pPr>
      <w:rPr>
        <w:rFonts w:ascii="Times New Roman" w:hAnsi="Times New Roman" w:hint="default"/>
      </w:rPr>
    </w:lvl>
    <w:lvl w:ilvl="8" w:tplc="92DEF746" w:tentative="1">
      <w:start w:val="1"/>
      <w:numFmt w:val="bullet"/>
      <w:lvlText w:val="•"/>
      <w:lvlJc w:val="left"/>
      <w:pPr>
        <w:tabs>
          <w:tab w:val="num" w:pos="6480"/>
        </w:tabs>
        <w:ind w:left="6480" w:hanging="360"/>
      </w:pPr>
      <w:rPr>
        <w:rFonts w:ascii="Times New Roman" w:hAnsi="Times New Roman" w:hint="default"/>
      </w:rPr>
    </w:lvl>
  </w:abstractNum>
  <w:abstractNum w:abstractNumId="1">
    <w:nsid w:val="174C7661"/>
    <w:multiLevelType w:val="hybridMultilevel"/>
    <w:tmpl w:val="4D1C7B40"/>
    <w:lvl w:ilvl="0" w:tplc="C07C0966">
      <w:start w:val="1"/>
      <w:numFmt w:val="bullet"/>
      <w:lvlText w:val="•"/>
      <w:lvlJc w:val="left"/>
      <w:pPr>
        <w:tabs>
          <w:tab w:val="num" w:pos="720"/>
        </w:tabs>
        <w:ind w:left="720" w:hanging="360"/>
      </w:pPr>
      <w:rPr>
        <w:rFonts w:ascii="Times New Roman" w:hAnsi="Times New Roman" w:hint="default"/>
      </w:rPr>
    </w:lvl>
    <w:lvl w:ilvl="1" w:tplc="E9F2663C" w:tentative="1">
      <w:start w:val="1"/>
      <w:numFmt w:val="bullet"/>
      <w:lvlText w:val="•"/>
      <w:lvlJc w:val="left"/>
      <w:pPr>
        <w:tabs>
          <w:tab w:val="num" w:pos="1440"/>
        </w:tabs>
        <w:ind w:left="1440" w:hanging="360"/>
      </w:pPr>
      <w:rPr>
        <w:rFonts w:ascii="Times New Roman" w:hAnsi="Times New Roman" w:hint="default"/>
      </w:rPr>
    </w:lvl>
    <w:lvl w:ilvl="2" w:tplc="A1829136" w:tentative="1">
      <w:start w:val="1"/>
      <w:numFmt w:val="bullet"/>
      <w:lvlText w:val="•"/>
      <w:lvlJc w:val="left"/>
      <w:pPr>
        <w:tabs>
          <w:tab w:val="num" w:pos="2160"/>
        </w:tabs>
        <w:ind w:left="2160" w:hanging="360"/>
      </w:pPr>
      <w:rPr>
        <w:rFonts w:ascii="Times New Roman" w:hAnsi="Times New Roman" w:hint="default"/>
      </w:rPr>
    </w:lvl>
    <w:lvl w:ilvl="3" w:tplc="5388FD32" w:tentative="1">
      <w:start w:val="1"/>
      <w:numFmt w:val="bullet"/>
      <w:lvlText w:val="•"/>
      <w:lvlJc w:val="left"/>
      <w:pPr>
        <w:tabs>
          <w:tab w:val="num" w:pos="2880"/>
        </w:tabs>
        <w:ind w:left="2880" w:hanging="360"/>
      </w:pPr>
      <w:rPr>
        <w:rFonts w:ascii="Times New Roman" w:hAnsi="Times New Roman" w:hint="default"/>
      </w:rPr>
    </w:lvl>
    <w:lvl w:ilvl="4" w:tplc="03E60176" w:tentative="1">
      <w:start w:val="1"/>
      <w:numFmt w:val="bullet"/>
      <w:lvlText w:val="•"/>
      <w:lvlJc w:val="left"/>
      <w:pPr>
        <w:tabs>
          <w:tab w:val="num" w:pos="3600"/>
        </w:tabs>
        <w:ind w:left="3600" w:hanging="360"/>
      </w:pPr>
      <w:rPr>
        <w:rFonts w:ascii="Times New Roman" w:hAnsi="Times New Roman" w:hint="default"/>
      </w:rPr>
    </w:lvl>
    <w:lvl w:ilvl="5" w:tplc="82C67AA8" w:tentative="1">
      <w:start w:val="1"/>
      <w:numFmt w:val="bullet"/>
      <w:lvlText w:val="•"/>
      <w:lvlJc w:val="left"/>
      <w:pPr>
        <w:tabs>
          <w:tab w:val="num" w:pos="4320"/>
        </w:tabs>
        <w:ind w:left="4320" w:hanging="360"/>
      </w:pPr>
      <w:rPr>
        <w:rFonts w:ascii="Times New Roman" w:hAnsi="Times New Roman" w:hint="default"/>
      </w:rPr>
    </w:lvl>
    <w:lvl w:ilvl="6" w:tplc="E0B291A0" w:tentative="1">
      <w:start w:val="1"/>
      <w:numFmt w:val="bullet"/>
      <w:lvlText w:val="•"/>
      <w:lvlJc w:val="left"/>
      <w:pPr>
        <w:tabs>
          <w:tab w:val="num" w:pos="5040"/>
        </w:tabs>
        <w:ind w:left="5040" w:hanging="360"/>
      </w:pPr>
      <w:rPr>
        <w:rFonts w:ascii="Times New Roman" w:hAnsi="Times New Roman" w:hint="default"/>
      </w:rPr>
    </w:lvl>
    <w:lvl w:ilvl="7" w:tplc="55341908" w:tentative="1">
      <w:start w:val="1"/>
      <w:numFmt w:val="bullet"/>
      <w:lvlText w:val="•"/>
      <w:lvlJc w:val="left"/>
      <w:pPr>
        <w:tabs>
          <w:tab w:val="num" w:pos="5760"/>
        </w:tabs>
        <w:ind w:left="5760" w:hanging="360"/>
      </w:pPr>
      <w:rPr>
        <w:rFonts w:ascii="Times New Roman" w:hAnsi="Times New Roman" w:hint="default"/>
      </w:rPr>
    </w:lvl>
    <w:lvl w:ilvl="8" w:tplc="B8AAC3CA" w:tentative="1">
      <w:start w:val="1"/>
      <w:numFmt w:val="bullet"/>
      <w:lvlText w:val="•"/>
      <w:lvlJc w:val="left"/>
      <w:pPr>
        <w:tabs>
          <w:tab w:val="num" w:pos="6480"/>
        </w:tabs>
        <w:ind w:left="6480" w:hanging="360"/>
      </w:pPr>
      <w:rPr>
        <w:rFonts w:ascii="Times New Roman" w:hAnsi="Times New Roman" w:hint="default"/>
      </w:rPr>
    </w:lvl>
  </w:abstractNum>
  <w:abstractNum w:abstractNumId="2">
    <w:nsid w:val="185654F6"/>
    <w:multiLevelType w:val="hybridMultilevel"/>
    <w:tmpl w:val="2C46DCE0"/>
    <w:lvl w:ilvl="0" w:tplc="51BC19B2">
      <w:start w:val="1945"/>
      <w:numFmt w:val="decimal"/>
      <w:lvlText w:val="%1"/>
      <w:lvlJc w:val="left"/>
      <w:pPr>
        <w:tabs>
          <w:tab w:val="num" w:pos="600"/>
        </w:tabs>
        <w:ind w:left="600" w:hanging="60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18478CE"/>
    <w:multiLevelType w:val="hybridMultilevel"/>
    <w:tmpl w:val="A4D63FC8"/>
    <w:lvl w:ilvl="0" w:tplc="4A24C32A">
      <w:start w:val="1"/>
      <w:numFmt w:val="bullet"/>
      <w:lvlText w:val="•"/>
      <w:lvlJc w:val="left"/>
      <w:pPr>
        <w:tabs>
          <w:tab w:val="num" w:pos="720"/>
        </w:tabs>
        <w:ind w:left="720" w:hanging="360"/>
      </w:pPr>
      <w:rPr>
        <w:rFonts w:ascii="Times New Roman" w:hAnsi="Times New Roman" w:hint="default"/>
      </w:rPr>
    </w:lvl>
    <w:lvl w:ilvl="1" w:tplc="D756AA82">
      <w:start w:val="3380"/>
      <w:numFmt w:val="bullet"/>
      <w:lvlText w:val="–"/>
      <w:lvlJc w:val="left"/>
      <w:pPr>
        <w:tabs>
          <w:tab w:val="num" w:pos="1440"/>
        </w:tabs>
        <w:ind w:left="1440" w:hanging="360"/>
      </w:pPr>
      <w:rPr>
        <w:rFonts w:ascii="Times New Roman" w:hAnsi="Times New Roman" w:hint="default"/>
      </w:rPr>
    </w:lvl>
    <w:lvl w:ilvl="2" w:tplc="D1822996" w:tentative="1">
      <w:start w:val="1"/>
      <w:numFmt w:val="bullet"/>
      <w:lvlText w:val="•"/>
      <w:lvlJc w:val="left"/>
      <w:pPr>
        <w:tabs>
          <w:tab w:val="num" w:pos="2160"/>
        </w:tabs>
        <w:ind w:left="2160" w:hanging="360"/>
      </w:pPr>
      <w:rPr>
        <w:rFonts w:ascii="Times New Roman" w:hAnsi="Times New Roman" w:hint="default"/>
      </w:rPr>
    </w:lvl>
    <w:lvl w:ilvl="3" w:tplc="EA7C16EC" w:tentative="1">
      <w:start w:val="1"/>
      <w:numFmt w:val="bullet"/>
      <w:lvlText w:val="•"/>
      <w:lvlJc w:val="left"/>
      <w:pPr>
        <w:tabs>
          <w:tab w:val="num" w:pos="2880"/>
        </w:tabs>
        <w:ind w:left="2880" w:hanging="360"/>
      </w:pPr>
      <w:rPr>
        <w:rFonts w:ascii="Times New Roman" w:hAnsi="Times New Roman" w:hint="default"/>
      </w:rPr>
    </w:lvl>
    <w:lvl w:ilvl="4" w:tplc="BB1EEF96">
      <w:start w:val="3380"/>
      <w:numFmt w:val="bullet"/>
      <w:lvlText w:val="»"/>
      <w:lvlJc w:val="left"/>
      <w:pPr>
        <w:tabs>
          <w:tab w:val="num" w:pos="3600"/>
        </w:tabs>
        <w:ind w:left="3600" w:hanging="360"/>
      </w:pPr>
      <w:rPr>
        <w:rFonts w:ascii="Times New Roman" w:hAnsi="Times New Roman" w:hint="default"/>
      </w:rPr>
    </w:lvl>
    <w:lvl w:ilvl="5" w:tplc="0A1880BC" w:tentative="1">
      <w:start w:val="1"/>
      <w:numFmt w:val="bullet"/>
      <w:lvlText w:val="•"/>
      <w:lvlJc w:val="left"/>
      <w:pPr>
        <w:tabs>
          <w:tab w:val="num" w:pos="4320"/>
        </w:tabs>
        <w:ind w:left="4320" w:hanging="360"/>
      </w:pPr>
      <w:rPr>
        <w:rFonts w:ascii="Times New Roman" w:hAnsi="Times New Roman" w:hint="default"/>
      </w:rPr>
    </w:lvl>
    <w:lvl w:ilvl="6" w:tplc="43CEAAC6" w:tentative="1">
      <w:start w:val="1"/>
      <w:numFmt w:val="bullet"/>
      <w:lvlText w:val="•"/>
      <w:lvlJc w:val="left"/>
      <w:pPr>
        <w:tabs>
          <w:tab w:val="num" w:pos="5040"/>
        </w:tabs>
        <w:ind w:left="5040" w:hanging="360"/>
      </w:pPr>
      <w:rPr>
        <w:rFonts w:ascii="Times New Roman" w:hAnsi="Times New Roman" w:hint="default"/>
      </w:rPr>
    </w:lvl>
    <w:lvl w:ilvl="7" w:tplc="0CBA779A" w:tentative="1">
      <w:start w:val="1"/>
      <w:numFmt w:val="bullet"/>
      <w:lvlText w:val="•"/>
      <w:lvlJc w:val="left"/>
      <w:pPr>
        <w:tabs>
          <w:tab w:val="num" w:pos="5760"/>
        </w:tabs>
        <w:ind w:left="5760" w:hanging="360"/>
      </w:pPr>
      <w:rPr>
        <w:rFonts w:ascii="Times New Roman" w:hAnsi="Times New Roman" w:hint="default"/>
      </w:rPr>
    </w:lvl>
    <w:lvl w:ilvl="8" w:tplc="D4EAC0EA" w:tentative="1">
      <w:start w:val="1"/>
      <w:numFmt w:val="bullet"/>
      <w:lvlText w:val="•"/>
      <w:lvlJc w:val="left"/>
      <w:pPr>
        <w:tabs>
          <w:tab w:val="num" w:pos="6480"/>
        </w:tabs>
        <w:ind w:left="6480" w:hanging="360"/>
      </w:pPr>
      <w:rPr>
        <w:rFonts w:ascii="Times New Roman" w:hAnsi="Times New Roman" w:hint="default"/>
      </w:rPr>
    </w:lvl>
  </w:abstractNum>
  <w:abstractNum w:abstractNumId="4">
    <w:nsid w:val="257A0504"/>
    <w:multiLevelType w:val="multilevel"/>
    <w:tmpl w:val="0E7A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A70001"/>
    <w:multiLevelType w:val="hybridMultilevel"/>
    <w:tmpl w:val="C45C99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8B925FD"/>
    <w:multiLevelType w:val="hybridMultilevel"/>
    <w:tmpl w:val="33FCB51A"/>
    <w:lvl w:ilvl="0" w:tplc="2780D05C">
      <w:start w:val="1"/>
      <w:numFmt w:val="bullet"/>
      <w:lvlText w:val="•"/>
      <w:lvlJc w:val="left"/>
      <w:pPr>
        <w:tabs>
          <w:tab w:val="num" w:pos="720"/>
        </w:tabs>
        <w:ind w:left="720" w:hanging="360"/>
      </w:pPr>
      <w:rPr>
        <w:rFonts w:ascii="Times New Roman" w:hAnsi="Times New Roman" w:hint="default"/>
      </w:rPr>
    </w:lvl>
    <w:lvl w:ilvl="1" w:tplc="CF5804A0">
      <w:start w:val="3227"/>
      <w:numFmt w:val="bullet"/>
      <w:lvlText w:val="–"/>
      <w:lvlJc w:val="left"/>
      <w:pPr>
        <w:tabs>
          <w:tab w:val="num" w:pos="1440"/>
        </w:tabs>
        <w:ind w:left="1440" w:hanging="360"/>
      </w:pPr>
      <w:rPr>
        <w:rFonts w:ascii="Times New Roman" w:hAnsi="Times New Roman" w:hint="default"/>
      </w:rPr>
    </w:lvl>
    <w:lvl w:ilvl="2" w:tplc="B0B236DC">
      <w:start w:val="3227"/>
      <w:numFmt w:val="bullet"/>
      <w:lvlText w:val="•"/>
      <w:lvlJc w:val="left"/>
      <w:pPr>
        <w:tabs>
          <w:tab w:val="num" w:pos="2160"/>
        </w:tabs>
        <w:ind w:left="2160" w:hanging="360"/>
      </w:pPr>
      <w:rPr>
        <w:rFonts w:ascii="Times New Roman" w:hAnsi="Times New Roman" w:hint="default"/>
      </w:rPr>
    </w:lvl>
    <w:lvl w:ilvl="3" w:tplc="1C64A6C0" w:tentative="1">
      <w:start w:val="1"/>
      <w:numFmt w:val="bullet"/>
      <w:lvlText w:val="•"/>
      <w:lvlJc w:val="left"/>
      <w:pPr>
        <w:tabs>
          <w:tab w:val="num" w:pos="2880"/>
        </w:tabs>
        <w:ind w:left="2880" w:hanging="360"/>
      </w:pPr>
      <w:rPr>
        <w:rFonts w:ascii="Times New Roman" w:hAnsi="Times New Roman" w:hint="default"/>
      </w:rPr>
    </w:lvl>
    <w:lvl w:ilvl="4" w:tplc="B6F2E458" w:tentative="1">
      <w:start w:val="1"/>
      <w:numFmt w:val="bullet"/>
      <w:lvlText w:val="•"/>
      <w:lvlJc w:val="left"/>
      <w:pPr>
        <w:tabs>
          <w:tab w:val="num" w:pos="3600"/>
        </w:tabs>
        <w:ind w:left="3600" w:hanging="360"/>
      </w:pPr>
      <w:rPr>
        <w:rFonts w:ascii="Times New Roman" w:hAnsi="Times New Roman" w:hint="default"/>
      </w:rPr>
    </w:lvl>
    <w:lvl w:ilvl="5" w:tplc="B498AE98" w:tentative="1">
      <w:start w:val="1"/>
      <w:numFmt w:val="bullet"/>
      <w:lvlText w:val="•"/>
      <w:lvlJc w:val="left"/>
      <w:pPr>
        <w:tabs>
          <w:tab w:val="num" w:pos="4320"/>
        </w:tabs>
        <w:ind w:left="4320" w:hanging="360"/>
      </w:pPr>
      <w:rPr>
        <w:rFonts w:ascii="Times New Roman" w:hAnsi="Times New Roman" w:hint="default"/>
      </w:rPr>
    </w:lvl>
    <w:lvl w:ilvl="6" w:tplc="9A229ED6" w:tentative="1">
      <w:start w:val="1"/>
      <w:numFmt w:val="bullet"/>
      <w:lvlText w:val="•"/>
      <w:lvlJc w:val="left"/>
      <w:pPr>
        <w:tabs>
          <w:tab w:val="num" w:pos="5040"/>
        </w:tabs>
        <w:ind w:left="5040" w:hanging="360"/>
      </w:pPr>
      <w:rPr>
        <w:rFonts w:ascii="Times New Roman" w:hAnsi="Times New Roman" w:hint="default"/>
      </w:rPr>
    </w:lvl>
    <w:lvl w:ilvl="7" w:tplc="E8A0C816" w:tentative="1">
      <w:start w:val="1"/>
      <w:numFmt w:val="bullet"/>
      <w:lvlText w:val="•"/>
      <w:lvlJc w:val="left"/>
      <w:pPr>
        <w:tabs>
          <w:tab w:val="num" w:pos="5760"/>
        </w:tabs>
        <w:ind w:left="5760" w:hanging="360"/>
      </w:pPr>
      <w:rPr>
        <w:rFonts w:ascii="Times New Roman" w:hAnsi="Times New Roman" w:hint="default"/>
      </w:rPr>
    </w:lvl>
    <w:lvl w:ilvl="8" w:tplc="A1328290" w:tentative="1">
      <w:start w:val="1"/>
      <w:numFmt w:val="bullet"/>
      <w:lvlText w:val="•"/>
      <w:lvlJc w:val="left"/>
      <w:pPr>
        <w:tabs>
          <w:tab w:val="num" w:pos="6480"/>
        </w:tabs>
        <w:ind w:left="6480" w:hanging="360"/>
      </w:pPr>
      <w:rPr>
        <w:rFonts w:ascii="Times New Roman" w:hAnsi="Times New Roman" w:hint="default"/>
      </w:rPr>
    </w:lvl>
  </w:abstractNum>
  <w:abstractNum w:abstractNumId="7">
    <w:nsid w:val="500A5C09"/>
    <w:multiLevelType w:val="hybridMultilevel"/>
    <w:tmpl w:val="1C7056BE"/>
    <w:lvl w:ilvl="0" w:tplc="3DFE89C4">
      <w:start w:val="1"/>
      <w:numFmt w:val="bullet"/>
      <w:lvlText w:val="•"/>
      <w:lvlJc w:val="left"/>
      <w:pPr>
        <w:tabs>
          <w:tab w:val="num" w:pos="720"/>
        </w:tabs>
        <w:ind w:left="720" w:hanging="360"/>
      </w:pPr>
      <w:rPr>
        <w:rFonts w:ascii="Times New Roman" w:hAnsi="Times New Roman" w:hint="default"/>
      </w:rPr>
    </w:lvl>
    <w:lvl w:ilvl="1" w:tplc="9CC84A64">
      <w:start w:val="3380"/>
      <w:numFmt w:val="bullet"/>
      <w:lvlText w:val="–"/>
      <w:lvlJc w:val="left"/>
      <w:pPr>
        <w:tabs>
          <w:tab w:val="num" w:pos="1440"/>
        </w:tabs>
        <w:ind w:left="1440" w:hanging="360"/>
      </w:pPr>
      <w:rPr>
        <w:rFonts w:ascii="Times New Roman" w:hAnsi="Times New Roman" w:hint="default"/>
      </w:rPr>
    </w:lvl>
    <w:lvl w:ilvl="2" w:tplc="5FCC7EA2" w:tentative="1">
      <w:start w:val="1"/>
      <w:numFmt w:val="bullet"/>
      <w:lvlText w:val="•"/>
      <w:lvlJc w:val="left"/>
      <w:pPr>
        <w:tabs>
          <w:tab w:val="num" w:pos="2160"/>
        </w:tabs>
        <w:ind w:left="2160" w:hanging="360"/>
      </w:pPr>
      <w:rPr>
        <w:rFonts w:ascii="Times New Roman" w:hAnsi="Times New Roman" w:hint="default"/>
      </w:rPr>
    </w:lvl>
    <w:lvl w:ilvl="3" w:tplc="8852255A">
      <w:start w:val="3380"/>
      <w:numFmt w:val="bullet"/>
      <w:lvlText w:val="–"/>
      <w:lvlJc w:val="left"/>
      <w:pPr>
        <w:tabs>
          <w:tab w:val="num" w:pos="2880"/>
        </w:tabs>
        <w:ind w:left="2880" w:hanging="360"/>
      </w:pPr>
      <w:rPr>
        <w:rFonts w:ascii="Times New Roman" w:hAnsi="Times New Roman" w:hint="default"/>
      </w:rPr>
    </w:lvl>
    <w:lvl w:ilvl="4" w:tplc="6FF68C64" w:tentative="1">
      <w:start w:val="1"/>
      <w:numFmt w:val="bullet"/>
      <w:lvlText w:val="•"/>
      <w:lvlJc w:val="left"/>
      <w:pPr>
        <w:tabs>
          <w:tab w:val="num" w:pos="3600"/>
        </w:tabs>
        <w:ind w:left="3600" w:hanging="360"/>
      </w:pPr>
      <w:rPr>
        <w:rFonts w:ascii="Times New Roman" w:hAnsi="Times New Roman" w:hint="default"/>
      </w:rPr>
    </w:lvl>
    <w:lvl w:ilvl="5" w:tplc="40C8CE8E" w:tentative="1">
      <w:start w:val="1"/>
      <w:numFmt w:val="bullet"/>
      <w:lvlText w:val="•"/>
      <w:lvlJc w:val="left"/>
      <w:pPr>
        <w:tabs>
          <w:tab w:val="num" w:pos="4320"/>
        </w:tabs>
        <w:ind w:left="4320" w:hanging="360"/>
      </w:pPr>
      <w:rPr>
        <w:rFonts w:ascii="Times New Roman" w:hAnsi="Times New Roman" w:hint="default"/>
      </w:rPr>
    </w:lvl>
    <w:lvl w:ilvl="6" w:tplc="DD3ABF2E" w:tentative="1">
      <w:start w:val="1"/>
      <w:numFmt w:val="bullet"/>
      <w:lvlText w:val="•"/>
      <w:lvlJc w:val="left"/>
      <w:pPr>
        <w:tabs>
          <w:tab w:val="num" w:pos="5040"/>
        </w:tabs>
        <w:ind w:left="5040" w:hanging="360"/>
      </w:pPr>
      <w:rPr>
        <w:rFonts w:ascii="Times New Roman" w:hAnsi="Times New Roman" w:hint="default"/>
      </w:rPr>
    </w:lvl>
    <w:lvl w:ilvl="7" w:tplc="E72877C8" w:tentative="1">
      <w:start w:val="1"/>
      <w:numFmt w:val="bullet"/>
      <w:lvlText w:val="•"/>
      <w:lvlJc w:val="left"/>
      <w:pPr>
        <w:tabs>
          <w:tab w:val="num" w:pos="5760"/>
        </w:tabs>
        <w:ind w:left="5760" w:hanging="360"/>
      </w:pPr>
      <w:rPr>
        <w:rFonts w:ascii="Times New Roman" w:hAnsi="Times New Roman" w:hint="default"/>
      </w:rPr>
    </w:lvl>
    <w:lvl w:ilvl="8" w:tplc="BB005F06"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4"/>
  </w:num>
  <w:num w:numId="3">
    <w:abstractNumId w:val="0"/>
  </w:num>
  <w:num w:numId="4">
    <w:abstractNumId w:val="5"/>
  </w:num>
  <w:num w:numId="5">
    <w:abstractNumId w:val="3"/>
  </w:num>
  <w:num w:numId="6">
    <w:abstractNumId w:val="7"/>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 w:id="1"/>
  </w:footnotePr>
  <w:endnotePr>
    <w:endnote w:id="-1"/>
    <w:endnote w:id="0"/>
    <w:endnote w:id="1"/>
  </w:endnotePr>
  <w:compat/>
  <w:rsids>
    <w:rsidRoot w:val="009A58F5"/>
    <w:rsid w:val="00004E8E"/>
    <w:rsid w:val="0000752F"/>
    <w:rsid w:val="0001128A"/>
    <w:rsid w:val="00011950"/>
    <w:rsid w:val="000151C5"/>
    <w:rsid w:val="0002399C"/>
    <w:rsid w:val="00030D81"/>
    <w:rsid w:val="00040654"/>
    <w:rsid w:val="00041914"/>
    <w:rsid w:val="00045927"/>
    <w:rsid w:val="0005284E"/>
    <w:rsid w:val="00055205"/>
    <w:rsid w:val="0006515B"/>
    <w:rsid w:val="0007102F"/>
    <w:rsid w:val="0007541C"/>
    <w:rsid w:val="00080D48"/>
    <w:rsid w:val="000847CE"/>
    <w:rsid w:val="000B275E"/>
    <w:rsid w:val="000B66EF"/>
    <w:rsid w:val="000B7132"/>
    <w:rsid w:val="000C5390"/>
    <w:rsid w:val="000D6BA3"/>
    <w:rsid w:val="000E2479"/>
    <w:rsid w:val="001001E1"/>
    <w:rsid w:val="00101053"/>
    <w:rsid w:val="00102BBD"/>
    <w:rsid w:val="001051EA"/>
    <w:rsid w:val="00107312"/>
    <w:rsid w:val="001102D6"/>
    <w:rsid w:val="001118E1"/>
    <w:rsid w:val="00112712"/>
    <w:rsid w:val="00117143"/>
    <w:rsid w:val="00120FD9"/>
    <w:rsid w:val="00125AB8"/>
    <w:rsid w:val="0013247C"/>
    <w:rsid w:val="001418F3"/>
    <w:rsid w:val="00143C8D"/>
    <w:rsid w:val="001460F9"/>
    <w:rsid w:val="00155A24"/>
    <w:rsid w:val="0016447D"/>
    <w:rsid w:val="001769E2"/>
    <w:rsid w:val="00177667"/>
    <w:rsid w:val="00183DED"/>
    <w:rsid w:val="001A0BD6"/>
    <w:rsid w:val="001A3E5D"/>
    <w:rsid w:val="001B0E91"/>
    <w:rsid w:val="001B4AAC"/>
    <w:rsid w:val="001C6BE7"/>
    <w:rsid w:val="001D494D"/>
    <w:rsid w:val="001F0154"/>
    <w:rsid w:val="001F20EC"/>
    <w:rsid w:val="00202B9C"/>
    <w:rsid w:val="00204239"/>
    <w:rsid w:val="002058F5"/>
    <w:rsid w:val="002131A7"/>
    <w:rsid w:val="00223F93"/>
    <w:rsid w:val="00224B1D"/>
    <w:rsid w:val="00227496"/>
    <w:rsid w:val="00250860"/>
    <w:rsid w:val="0025632D"/>
    <w:rsid w:val="00271D3B"/>
    <w:rsid w:val="0028473D"/>
    <w:rsid w:val="00291140"/>
    <w:rsid w:val="00292F24"/>
    <w:rsid w:val="00296229"/>
    <w:rsid w:val="002C5BC7"/>
    <w:rsid w:val="002C662D"/>
    <w:rsid w:val="002D6971"/>
    <w:rsid w:val="002E686E"/>
    <w:rsid w:val="002E6DD9"/>
    <w:rsid w:val="002F4832"/>
    <w:rsid w:val="00302DBE"/>
    <w:rsid w:val="00317DF8"/>
    <w:rsid w:val="0032211D"/>
    <w:rsid w:val="00322A1F"/>
    <w:rsid w:val="00322D33"/>
    <w:rsid w:val="0032567C"/>
    <w:rsid w:val="00337112"/>
    <w:rsid w:val="00346AE2"/>
    <w:rsid w:val="00372816"/>
    <w:rsid w:val="00373D40"/>
    <w:rsid w:val="0038345D"/>
    <w:rsid w:val="00392325"/>
    <w:rsid w:val="003B418F"/>
    <w:rsid w:val="003B4ED8"/>
    <w:rsid w:val="003B6779"/>
    <w:rsid w:val="003E084A"/>
    <w:rsid w:val="003E4288"/>
    <w:rsid w:val="003E4B9C"/>
    <w:rsid w:val="003E739A"/>
    <w:rsid w:val="003F14DE"/>
    <w:rsid w:val="00400A54"/>
    <w:rsid w:val="00403A65"/>
    <w:rsid w:val="00416513"/>
    <w:rsid w:val="00430323"/>
    <w:rsid w:val="0043160A"/>
    <w:rsid w:val="00437224"/>
    <w:rsid w:val="00443248"/>
    <w:rsid w:val="00457CD5"/>
    <w:rsid w:val="00465F4D"/>
    <w:rsid w:val="004852EE"/>
    <w:rsid w:val="00485453"/>
    <w:rsid w:val="0048562E"/>
    <w:rsid w:val="00490AC1"/>
    <w:rsid w:val="00492700"/>
    <w:rsid w:val="00494E94"/>
    <w:rsid w:val="004A1BD7"/>
    <w:rsid w:val="004A20B7"/>
    <w:rsid w:val="004B3C51"/>
    <w:rsid w:val="004B6041"/>
    <w:rsid w:val="004D0C41"/>
    <w:rsid w:val="004D483B"/>
    <w:rsid w:val="004D52E4"/>
    <w:rsid w:val="004E0A12"/>
    <w:rsid w:val="0050302E"/>
    <w:rsid w:val="00525A6C"/>
    <w:rsid w:val="00532BA0"/>
    <w:rsid w:val="005338C4"/>
    <w:rsid w:val="0053445F"/>
    <w:rsid w:val="00561A4D"/>
    <w:rsid w:val="00573E0D"/>
    <w:rsid w:val="00574277"/>
    <w:rsid w:val="005900C8"/>
    <w:rsid w:val="005905B1"/>
    <w:rsid w:val="005A21AD"/>
    <w:rsid w:val="005A58FB"/>
    <w:rsid w:val="005B00E0"/>
    <w:rsid w:val="005B4A05"/>
    <w:rsid w:val="005B5482"/>
    <w:rsid w:val="005B6CE7"/>
    <w:rsid w:val="005B74FB"/>
    <w:rsid w:val="005C1DAA"/>
    <w:rsid w:val="005C6689"/>
    <w:rsid w:val="005D4BCF"/>
    <w:rsid w:val="005E36C2"/>
    <w:rsid w:val="005F2ECD"/>
    <w:rsid w:val="00604B20"/>
    <w:rsid w:val="006110C4"/>
    <w:rsid w:val="0061230E"/>
    <w:rsid w:val="00615754"/>
    <w:rsid w:val="00615D75"/>
    <w:rsid w:val="00622D05"/>
    <w:rsid w:val="00624A0A"/>
    <w:rsid w:val="00625FA1"/>
    <w:rsid w:val="00630910"/>
    <w:rsid w:val="00632569"/>
    <w:rsid w:val="006370E5"/>
    <w:rsid w:val="0065025C"/>
    <w:rsid w:val="006576E9"/>
    <w:rsid w:val="00657B60"/>
    <w:rsid w:val="0067586C"/>
    <w:rsid w:val="00684805"/>
    <w:rsid w:val="00685928"/>
    <w:rsid w:val="006929B0"/>
    <w:rsid w:val="00695ACD"/>
    <w:rsid w:val="0069646A"/>
    <w:rsid w:val="00696D55"/>
    <w:rsid w:val="006A5995"/>
    <w:rsid w:val="006A760D"/>
    <w:rsid w:val="006B0249"/>
    <w:rsid w:val="006C07D2"/>
    <w:rsid w:val="006C1546"/>
    <w:rsid w:val="006C32B4"/>
    <w:rsid w:val="006D3C74"/>
    <w:rsid w:val="006D75B7"/>
    <w:rsid w:val="00706AE8"/>
    <w:rsid w:val="00707D60"/>
    <w:rsid w:val="007143D2"/>
    <w:rsid w:val="00715A10"/>
    <w:rsid w:val="00721203"/>
    <w:rsid w:val="00724EE5"/>
    <w:rsid w:val="007273E1"/>
    <w:rsid w:val="00735DCF"/>
    <w:rsid w:val="0075058F"/>
    <w:rsid w:val="0075489B"/>
    <w:rsid w:val="00764AF5"/>
    <w:rsid w:val="0077468F"/>
    <w:rsid w:val="00774DA5"/>
    <w:rsid w:val="00776FFD"/>
    <w:rsid w:val="007960CC"/>
    <w:rsid w:val="007A5988"/>
    <w:rsid w:val="007A7D01"/>
    <w:rsid w:val="007C7019"/>
    <w:rsid w:val="007D637E"/>
    <w:rsid w:val="007E0EE8"/>
    <w:rsid w:val="007E29A9"/>
    <w:rsid w:val="007F016A"/>
    <w:rsid w:val="007F3CC9"/>
    <w:rsid w:val="007F64D0"/>
    <w:rsid w:val="008071E8"/>
    <w:rsid w:val="00811922"/>
    <w:rsid w:val="00812954"/>
    <w:rsid w:val="008239DC"/>
    <w:rsid w:val="00843566"/>
    <w:rsid w:val="008473C6"/>
    <w:rsid w:val="008720B8"/>
    <w:rsid w:val="0088374D"/>
    <w:rsid w:val="00883AA6"/>
    <w:rsid w:val="00884890"/>
    <w:rsid w:val="0089359D"/>
    <w:rsid w:val="008969B2"/>
    <w:rsid w:val="008A0E5C"/>
    <w:rsid w:val="008B0449"/>
    <w:rsid w:val="008D07E4"/>
    <w:rsid w:val="008E06F1"/>
    <w:rsid w:val="008E5EE2"/>
    <w:rsid w:val="008E6413"/>
    <w:rsid w:val="008E7F5B"/>
    <w:rsid w:val="008F6709"/>
    <w:rsid w:val="00913710"/>
    <w:rsid w:val="009154DD"/>
    <w:rsid w:val="00915F5F"/>
    <w:rsid w:val="00936235"/>
    <w:rsid w:val="00941230"/>
    <w:rsid w:val="00941A63"/>
    <w:rsid w:val="009579C2"/>
    <w:rsid w:val="00960C69"/>
    <w:rsid w:val="00962EBF"/>
    <w:rsid w:val="00972B9C"/>
    <w:rsid w:val="00985292"/>
    <w:rsid w:val="00985541"/>
    <w:rsid w:val="00993722"/>
    <w:rsid w:val="00997B26"/>
    <w:rsid w:val="009A2BC3"/>
    <w:rsid w:val="009A58F5"/>
    <w:rsid w:val="009A6D71"/>
    <w:rsid w:val="009A746B"/>
    <w:rsid w:val="009C1E9F"/>
    <w:rsid w:val="009C4083"/>
    <w:rsid w:val="009D63D3"/>
    <w:rsid w:val="009E11BC"/>
    <w:rsid w:val="009E733A"/>
    <w:rsid w:val="009F4804"/>
    <w:rsid w:val="009F578A"/>
    <w:rsid w:val="00A06DC0"/>
    <w:rsid w:val="00A0788E"/>
    <w:rsid w:val="00A13D39"/>
    <w:rsid w:val="00A1616F"/>
    <w:rsid w:val="00A22C92"/>
    <w:rsid w:val="00A33640"/>
    <w:rsid w:val="00A34962"/>
    <w:rsid w:val="00A70D7A"/>
    <w:rsid w:val="00A7336F"/>
    <w:rsid w:val="00A87153"/>
    <w:rsid w:val="00A90A96"/>
    <w:rsid w:val="00A96C0A"/>
    <w:rsid w:val="00AB36B8"/>
    <w:rsid w:val="00AB6794"/>
    <w:rsid w:val="00AC35B1"/>
    <w:rsid w:val="00AC39CD"/>
    <w:rsid w:val="00AD4559"/>
    <w:rsid w:val="00AE084E"/>
    <w:rsid w:val="00AF39B0"/>
    <w:rsid w:val="00B07FEA"/>
    <w:rsid w:val="00B1034B"/>
    <w:rsid w:val="00B14EDD"/>
    <w:rsid w:val="00B212C9"/>
    <w:rsid w:val="00B2138E"/>
    <w:rsid w:val="00B24C70"/>
    <w:rsid w:val="00B25FAD"/>
    <w:rsid w:val="00B376DF"/>
    <w:rsid w:val="00B42068"/>
    <w:rsid w:val="00B4683B"/>
    <w:rsid w:val="00B5693C"/>
    <w:rsid w:val="00B57BF9"/>
    <w:rsid w:val="00B841B7"/>
    <w:rsid w:val="00B953C9"/>
    <w:rsid w:val="00B97941"/>
    <w:rsid w:val="00BB755C"/>
    <w:rsid w:val="00BF5806"/>
    <w:rsid w:val="00C15305"/>
    <w:rsid w:val="00C1560C"/>
    <w:rsid w:val="00C21A6E"/>
    <w:rsid w:val="00C55560"/>
    <w:rsid w:val="00C63C30"/>
    <w:rsid w:val="00C87D1D"/>
    <w:rsid w:val="00C96AB8"/>
    <w:rsid w:val="00CA38F5"/>
    <w:rsid w:val="00CC2CCC"/>
    <w:rsid w:val="00CF2985"/>
    <w:rsid w:val="00D04BA8"/>
    <w:rsid w:val="00D12D09"/>
    <w:rsid w:val="00D21405"/>
    <w:rsid w:val="00D2277D"/>
    <w:rsid w:val="00D24AD5"/>
    <w:rsid w:val="00D46881"/>
    <w:rsid w:val="00D51313"/>
    <w:rsid w:val="00D653B8"/>
    <w:rsid w:val="00D66027"/>
    <w:rsid w:val="00D66E96"/>
    <w:rsid w:val="00D71870"/>
    <w:rsid w:val="00D86F87"/>
    <w:rsid w:val="00D8772A"/>
    <w:rsid w:val="00D92370"/>
    <w:rsid w:val="00D9670B"/>
    <w:rsid w:val="00D973CF"/>
    <w:rsid w:val="00D978BB"/>
    <w:rsid w:val="00DA43C4"/>
    <w:rsid w:val="00DC3510"/>
    <w:rsid w:val="00DC64AC"/>
    <w:rsid w:val="00DE2C82"/>
    <w:rsid w:val="00DF0276"/>
    <w:rsid w:val="00E0086C"/>
    <w:rsid w:val="00E01D35"/>
    <w:rsid w:val="00E044B7"/>
    <w:rsid w:val="00E04647"/>
    <w:rsid w:val="00E04E82"/>
    <w:rsid w:val="00E37A5E"/>
    <w:rsid w:val="00E41A7C"/>
    <w:rsid w:val="00E554EF"/>
    <w:rsid w:val="00E672E1"/>
    <w:rsid w:val="00E67F9E"/>
    <w:rsid w:val="00E85AD0"/>
    <w:rsid w:val="00E96BE4"/>
    <w:rsid w:val="00E96D54"/>
    <w:rsid w:val="00EA3B6B"/>
    <w:rsid w:val="00EA3C13"/>
    <w:rsid w:val="00EA5F76"/>
    <w:rsid w:val="00EB1E0E"/>
    <w:rsid w:val="00EC59F5"/>
    <w:rsid w:val="00EC5ED2"/>
    <w:rsid w:val="00EC79EE"/>
    <w:rsid w:val="00ED4F84"/>
    <w:rsid w:val="00EE4B60"/>
    <w:rsid w:val="00EE61B0"/>
    <w:rsid w:val="00EF03A8"/>
    <w:rsid w:val="00EF072E"/>
    <w:rsid w:val="00F03DCD"/>
    <w:rsid w:val="00F0597C"/>
    <w:rsid w:val="00F05ABF"/>
    <w:rsid w:val="00F102D3"/>
    <w:rsid w:val="00F14A99"/>
    <w:rsid w:val="00F20694"/>
    <w:rsid w:val="00F34D70"/>
    <w:rsid w:val="00F444CB"/>
    <w:rsid w:val="00F45703"/>
    <w:rsid w:val="00F467A3"/>
    <w:rsid w:val="00F5556A"/>
    <w:rsid w:val="00F56EFC"/>
    <w:rsid w:val="00F60EFF"/>
    <w:rsid w:val="00F6268A"/>
    <w:rsid w:val="00F712CF"/>
    <w:rsid w:val="00F730F0"/>
    <w:rsid w:val="00F740A4"/>
    <w:rsid w:val="00F82EF3"/>
    <w:rsid w:val="00F85C73"/>
    <w:rsid w:val="00F92AED"/>
    <w:rsid w:val="00F92CD6"/>
    <w:rsid w:val="00F96F11"/>
    <w:rsid w:val="00FA79E4"/>
    <w:rsid w:val="00FB703B"/>
    <w:rsid w:val="00FC0197"/>
    <w:rsid w:val="00FC02E9"/>
    <w:rsid w:val="00FC1BD3"/>
    <w:rsid w:val="00FC25FE"/>
    <w:rsid w:val="00FC3283"/>
    <w:rsid w:val="00FC4174"/>
    <w:rsid w:val="00FC4DD1"/>
    <w:rsid w:val="00FC67D6"/>
    <w:rsid w:val="00FE7698"/>
    <w:rsid w:val="00FF3FB5"/>
    <w:rsid w:val="00FF4F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910"/>
    <w:rPr>
      <w:sz w:val="24"/>
      <w:szCs w:val="24"/>
    </w:rPr>
  </w:style>
  <w:style w:type="paragraph" w:styleId="Heading1">
    <w:name w:val="heading 1"/>
    <w:basedOn w:val="Normal"/>
    <w:link w:val="Heading1Char"/>
    <w:uiPriority w:val="99"/>
    <w:qFormat/>
    <w:rsid w:val="00045927"/>
    <w:pPr>
      <w:outlineLvl w:val="0"/>
    </w:pPr>
    <w:rPr>
      <w:b/>
      <w:bCs/>
      <w:color w:val="5D5D5D"/>
      <w:kern w:val="36"/>
      <w:sz w:val="48"/>
      <w:szCs w:val="48"/>
    </w:rPr>
  </w:style>
  <w:style w:type="paragraph" w:styleId="Heading2">
    <w:name w:val="heading 2"/>
    <w:basedOn w:val="Normal"/>
    <w:next w:val="Normal"/>
    <w:link w:val="Heading2Char"/>
    <w:uiPriority w:val="99"/>
    <w:qFormat/>
    <w:rsid w:val="002131A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6D5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96D55"/>
    <w:rPr>
      <w:rFonts w:ascii="Cambria" w:hAnsi="Cambria" w:cs="Times New Roman"/>
      <w:b/>
      <w:bCs/>
      <w:i/>
      <w:iCs/>
      <w:sz w:val="28"/>
      <w:szCs w:val="28"/>
    </w:rPr>
  </w:style>
  <w:style w:type="paragraph" w:styleId="FootnoteText">
    <w:name w:val="footnote text"/>
    <w:basedOn w:val="Normal"/>
    <w:link w:val="FootnoteTextChar"/>
    <w:uiPriority w:val="99"/>
    <w:semiHidden/>
    <w:rsid w:val="00F14A99"/>
    <w:rPr>
      <w:sz w:val="20"/>
      <w:szCs w:val="20"/>
    </w:rPr>
  </w:style>
  <w:style w:type="character" w:customStyle="1" w:styleId="FootnoteTextChar">
    <w:name w:val="Footnote Text Char"/>
    <w:basedOn w:val="DefaultParagraphFont"/>
    <w:link w:val="FootnoteText"/>
    <w:uiPriority w:val="99"/>
    <w:semiHidden/>
    <w:locked/>
    <w:rsid w:val="00696D55"/>
    <w:rPr>
      <w:rFonts w:cs="Times New Roman"/>
      <w:sz w:val="20"/>
      <w:szCs w:val="20"/>
    </w:rPr>
  </w:style>
  <w:style w:type="character" w:styleId="FootnoteReference">
    <w:name w:val="footnote reference"/>
    <w:basedOn w:val="DefaultParagraphFont"/>
    <w:uiPriority w:val="99"/>
    <w:semiHidden/>
    <w:rsid w:val="00F14A99"/>
    <w:rPr>
      <w:rFonts w:cs="Times New Roman"/>
      <w:vertAlign w:val="superscript"/>
    </w:rPr>
  </w:style>
  <w:style w:type="character" w:styleId="Hyperlink">
    <w:name w:val="Hyperlink"/>
    <w:basedOn w:val="DefaultParagraphFont"/>
    <w:uiPriority w:val="99"/>
    <w:rsid w:val="00F03DCD"/>
    <w:rPr>
      <w:rFonts w:cs="Times New Roman"/>
      <w:color w:val="0000FF"/>
      <w:u w:val="single"/>
    </w:rPr>
  </w:style>
  <w:style w:type="paragraph" w:customStyle="1" w:styleId="Default">
    <w:name w:val="Default"/>
    <w:uiPriority w:val="99"/>
    <w:rsid w:val="001A3E5D"/>
    <w:pPr>
      <w:autoSpaceDE w:val="0"/>
      <w:autoSpaceDN w:val="0"/>
      <w:adjustRightInd w:val="0"/>
    </w:pPr>
    <w:rPr>
      <w:rFonts w:ascii="Arial" w:hAnsi="Arial" w:cs="Arial"/>
      <w:color w:val="000000"/>
      <w:sz w:val="24"/>
      <w:szCs w:val="24"/>
    </w:rPr>
  </w:style>
  <w:style w:type="paragraph" w:customStyle="1" w:styleId="PubliTitle">
    <w:name w:val="PubliTitle"/>
    <w:basedOn w:val="Default"/>
    <w:next w:val="Default"/>
    <w:uiPriority w:val="99"/>
    <w:rsid w:val="001A3E5D"/>
    <w:rPr>
      <w:rFonts w:cs="Times New Roman"/>
      <w:color w:val="auto"/>
    </w:rPr>
  </w:style>
  <w:style w:type="paragraph" w:styleId="BodyText3">
    <w:name w:val="Body Text 3"/>
    <w:basedOn w:val="Normal"/>
    <w:link w:val="BodyText3Char"/>
    <w:uiPriority w:val="99"/>
    <w:rsid w:val="00883AA6"/>
    <w:pPr>
      <w:suppressAutoHyphens/>
      <w:spacing w:line="240" w:lineRule="atLeast"/>
      <w:jc w:val="both"/>
    </w:pPr>
    <w:rPr>
      <w:spacing w:val="-3"/>
      <w:sz w:val="20"/>
      <w:lang w:eastAsia="zh-CN"/>
    </w:rPr>
  </w:style>
  <w:style w:type="character" w:customStyle="1" w:styleId="BodyText3Char">
    <w:name w:val="Body Text 3 Char"/>
    <w:basedOn w:val="DefaultParagraphFont"/>
    <w:link w:val="BodyText3"/>
    <w:uiPriority w:val="99"/>
    <w:semiHidden/>
    <w:locked/>
    <w:rsid w:val="00696D55"/>
    <w:rPr>
      <w:rFonts w:cs="Times New Roman"/>
      <w:sz w:val="16"/>
      <w:szCs w:val="16"/>
    </w:rPr>
  </w:style>
  <w:style w:type="paragraph" w:styleId="BodyText">
    <w:name w:val="Body Text"/>
    <w:basedOn w:val="Normal"/>
    <w:link w:val="BodyTextChar"/>
    <w:uiPriority w:val="99"/>
    <w:rsid w:val="00883AA6"/>
    <w:pPr>
      <w:spacing w:after="120"/>
    </w:pPr>
  </w:style>
  <w:style w:type="character" w:customStyle="1" w:styleId="BodyTextChar">
    <w:name w:val="Body Text Char"/>
    <w:basedOn w:val="DefaultParagraphFont"/>
    <w:link w:val="BodyText"/>
    <w:uiPriority w:val="99"/>
    <w:semiHidden/>
    <w:locked/>
    <w:rsid w:val="00696D55"/>
    <w:rPr>
      <w:rFonts w:cs="Times New Roman"/>
      <w:sz w:val="24"/>
      <w:szCs w:val="24"/>
    </w:rPr>
  </w:style>
  <w:style w:type="paragraph" w:styleId="EndnoteText">
    <w:name w:val="endnote text"/>
    <w:basedOn w:val="Normal"/>
    <w:link w:val="EndnoteTextChar"/>
    <w:uiPriority w:val="99"/>
    <w:semiHidden/>
    <w:rsid w:val="00695ACD"/>
    <w:rPr>
      <w:sz w:val="20"/>
      <w:szCs w:val="20"/>
      <w:lang w:eastAsia="zh-CN"/>
    </w:rPr>
  </w:style>
  <w:style w:type="character" w:customStyle="1" w:styleId="EndnoteTextChar">
    <w:name w:val="Endnote Text Char"/>
    <w:basedOn w:val="DefaultParagraphFont"/>
    <w:link w:val="EndnoteText"/>
    <w:uiPriority w:val="99"/>
    <w:semiHidden/>
    <w:locked/>
    <w:rsid w:val="00696D55"/>
    <w:rPr>
      <w:rFonts w:cs="Times New Roman"/>
      <w:sz w:val="20"/>
      <w:szCs w:val="20"/>
    </w:rPr>
  </w:style>
  <w:style w:type="character" w:styleId="EndnoteReference">
    <w:name w:val="endnote reference"/>
    <w:basedOn w:val="DefaultParagraphFont"/>
    <w:uiPriority w:val="99"/>
    <w:semiHidden/>
    <w:rsid w:val="00695ACD"/>
    <w:rPr>
      <w:rFonts w:cs="Times New Roman"/>
      <w:vertAlign w:val="superscript"/>
    </w:rPr>
  </w:style>
  <w:style w:type="paragraph" w:styleId="BalloonText">
    <w:name w:val="Balloon Text"/>
    <w:basedOn w:val="Normal"/>
    <w:link w:val="BalloonTextChar"/>
    <w:uiPriority w:val="99"/>
    <w:semiHidden/>
    <w:rsid w:val="00941A6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6D55"/>
    <w:rPr>
      <w:rFonts w:cs="Times New Roman"/>
      <w:sz w:val="2"/>
    </w:rPr>
  </w:style>
  <w:style w:type="paragraph" w:styleId="NormalWeb">
    <w:name w:val="Normal (Web)"/>
    <w:basedOn w:val="Normal"/>
    <w:uiPriority w:val="99"/>
    <w:rsid w:val="002131A7"/>
    <w:pPr>
      <w:spacing w:before="100" w:beforeAutospacing="1" w:after="100" w:afterAutospacing="1"/>
    </w:pPr>
    <w:rPr>
      <w:color w:val="000000"/>
    </w:rPr>
  </w:style>
  <w:style w:type="paragraph" w:styleId="Caption">
    <w:name w:val="caption"/>
    <w:basedOn w:val="Normal"/>
    <w:next w:val="Normal"/>
    <w:uiPriority w:val="99"/>
    <w:qFormat/>
    <w:rsid w:val="00317DF8"/>
    <w:rPr>
      <w:rFonts w:eastAsia="SimSun"/>
      <w:b/>
      <w:bCs/>
      <w:sz w:val="20"/>
      <w:szCs w:val="20"/>
      <w:lang w:eastAsia="zh-CN"/>
    </w:rPr>
  </w:style>
  <w:style w:type="character" w:styleId="Emphasis">
    <w:name w:val="Emphasis"/>
    <w:basedOn w:val="DefaultParagraphFont"/>
    <w:uiPriority w:val="99"/>
    <w:qFormat/>
    <w:rsid w:val="00A13D39"/>
    <w:rPr>
      <w:rFonts w:cs="Times New Roman"/>
      <w:i/>
      <w:iCs/>
    </w:rPr>
  </w:style>
  <w:style w:type="character" w:styleId="CommentReference">
    <w:name w:val="annotation reference"/>
    <w:basedOn w:val="DefaultParagraphFont"/>
    <w:uiPriority w:val="99"/>
    <w:rsid w:val="00FC1BD3"/>
    <w:rPr>
      <w:rFonts w:cs="Times New Roman"/>
      <w:sz w:val="16"/>
      <w:szCs w:val="16"/>
    </w:rPr>
  </w:style>
  <w:style w:type="paragraph" w:styleId="CommentText">
    <w:name w:val="annotation text"/>
    <w:basedOn w:val="Normal"/>
    <w:link w:val="CommentTextChar"/>
    <w:uiPriority w:val="99"/>
    <w:rsid w:val="00FC1BD3"/>
    <w:rPr>
      <w:sz w:val="20"/>
      <w:szCs w:val="20"/>
    </w:rPr>
  </w:style>
  <w:style w:type="character" w:customStyle="1" w:styleId="CommentTextChar">
    <w:name w:val="Comment Text Char"/>
    <w:basedOn w:val="DefaultParagraphFont"/>
    <w:link w:val="CommentText"/>
    <w:uiPriority w:val="99"/>
    <w:locked/>
    <w:rsid w:val="00FC1BD3"/>
    <w:rPr>
      <w:rFonts w:cs="Times New Roman"/>
    </w:rPr>
  </w:style>
  <w:style w:type="paragraph" w:styleId="CommentSubject">
    <w:name w:val="annotation subject"/>
    <w:basedOn w:val="CommentText"/>
    <w:next w:val="CommentText"/>
    <w:link w:val="CommentSubjectChar"/>
    <w:uiPriority w:val="99"/>
    <w:rsid w:val="00FC1BD3"/>
    <w:rPr>
      <w:b/>
      <w:bCs/>
    </w:rPr>
  </w:style>
  <w:style w:type="character" w:customStyle="1" w:styleId="CommentSubjectChar">
    <w:name w:val="Comment Subject Char"/>
    <w:basedOn w:val="CommentTextChar"/>
    <w:link w:val="CommentSubject"/>
    <w:uiPriority w:val="99"/>
    <w:locked/>
    <w:rsid w:val="00FC1BD3"/>
    <w:rPr>
      <w:b/>
      <w:bCs/>
    </w:rPr>
  </w:style>
  <w:style w:type="paragraph" w:styleId="Footer">
    <w:name w:val="footer"/>
    <w:basedOn w:val="Normal"/>
    <w:link w:val="FooterChar"/>
    <w:uiPriority w:val="99"/>
    <w:rsid w:val="00F96F11"/>
    <w:pPr>
      <w:tabs>
        <w:tab w:val="center" w:pos="4320"/>
        <w:tab w:val="right" w:pos="8640"/>
      </w:tabs>
    </w:pPr>
  </w:style>
  <w:style w:type="character" w:customStyle="1" w:styleId="FooterChar">
    <w:name w:val="Footer Char"/>
    <w:basedOn w:val="DefaultParagraphFont"/>
    <w:link w:val="Footer"/>
    <w:uiPriority w:val="99"/>
    <w:semiHidden/>
    <w:locked/>
    <w:rsid w:val="00696D55"/>
    <w:rPr>
      <w:rFonts w:cs="Times New Roman"/>
      <w:sz w:val="24"/>
      <w:szCs w:val="24"/>
    </w:rPr>
  </w:style>
  <w:style w:type="character" w:styleId="PageNumber">
    <w:name w:val="page number"/>
    <w:basedOn w:val="DefaultParagraphFont"/>
    <w:uiPriority w:val="99"/>
    <w:rsid w:val="00F96F11"/>
    <w:rPr>
      <w:rFonts w:cs="Times New Roman"/>
    </w:rPr>
  </w:style>
  <w:style w:type="paragraph" w:styleId="Header">
    <w:name w:val="header"/>
    <w:basedOn w:val="Normal"/>
    <w:link w:val="HeaderChar"/>
    <w:uiPriority w:val="99"/>
    <w:rsid w:val="00E672E1"/>
    <w:pPr>
      <w:tabs>
        <w:tab w:val="center" w:pos="4320"/>
        <w:tab w:val="right" w:pos="8640"/>
      </w:tabs>
    </w:pPr>
  </w:style>
  <w:style w:type="character" w:customStyle="1" w:styleId="HeaderChar">
    <w:name w:val="Header Char"/>
    <w:basedOn w:val="DefaultParagraphFont"/>
    <w:link w:val="Header"/>
    <w:uiPriority w:val="99"/>
    <w:locked/>
    <w:rsid w:val="00E672E1"/>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436823721">
      <w:marLeft w:val="0"/>
      <w:marRight w:val="0"/>
      <w:marTop w:val="0"/>
      <w:marBottom w:val="0"/>
      <w:divBdr>
        <w:top w:val="none" w:sz="0" w:space="0" w:color="auto"/>
        <w:left w:val="none" w:sz="0" w:space="0" w:color="auto"/>
        <w:bottom w:val="none" w:sz="0" w:space="0" w:color="auto"/>
        <w:right w:val="none" w:sz="0" w:space="0" w:color="auto"/>
      </w:divBdr>
    </w:div>
    <w:div w:id="1436823725">
      <w:marLeft w:val="0"/>
      <w:marRight w:val="0"/>
      <w:marTop w:val="0"/>
      <w:marBottom w:val="0"/>
      <w:divBdr>
        <w:top w:val="none" w:sz="0" w:space="0" w:color="auto"/>
        <w:left w:val="none" w:sz="0" w:space="0" w:color="auto"/>
        <w:bottom w:val="none" w:sz="0" w:space="0" w:color="auto"/>
        <w:right w:val="none" w:sz="0" w:space="0" w:color="auto"/>
      </w:divBdr>
      <w:divsChild>
        <w:div w:id="1436823749">
          <w:marLeft w:val="0"/>
          <w:marRight w:val="0"/>
          <w:marTop w:val="0"/>
          <w:marBottom w:val="0"/>
          <w:divBdr>
            <w:top w:val="none" w:sz="0" w:space="0" w:color="auto"/>
            <w:left w:val="none" w:sz="0" w:space="0" w:color="auto"/>
            <w:bottom w:val="none" w:sz="0" w:space="0" w:color="auto"/>
            <w:right w:val="none" w:sz="0" w:space="0" w:color="auto"/>
          </w:divBdr>
          <w:divsChild>
            <w:div w:id="143682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3732">
      <w:marLeft w:val="0"/>
      <w:marRight w:val="0"/>
      <w:marTop w:val="0"/>
      <w:marBottom w:val="0"/>
      <w:divBdr>
        <w:top w:val="none" w:sz="0" w:space="0" w:color="auto"/>
        <w:left w:val="none" w:sz="0" w:space="0" w:color="auto"/>
        <w:bottom w:val="none" w:sz="0" w:space="0" w:color="auto"/>
        <w:right w:val="none" w:sz="0" w:space="0" w:color="auto"/>
      </w:divBdr>
      <w:divsChild>
        <w:div w:id="1436823728">
          <w:marLeft w:val="0"/>
          <w:marRight w:val="0"/>
          <w:marTop w:val="0"/>
          <w:marBottom w:val="0"/>
          <w:divBdr>
            <w:top w:val="none" w:sz="0" w:space="0" w:color="auto"/>
            <w:left w:val="none" w:sz="0" w:space="0" w:color="auto"/>
            <w:bottom w:val="none" w:sz="0" w:space="0" w:color="auto"/>
            <w:right w:val="none" w:sz="0" w:space="0" w:color="auto"/>
          </w:divBdr>
          <w:divsChild>
            <w:div w:id="1436823754">
              <w:marLeft w:val="0"/>
              <w:marRight w:val="0"/>
              <w:marTop w:val="0"/>
              <w:marBottom w:val="0"/>
              <w:divBdr>
                <w:top w:val="none" w:sz="0" w:space="0" w:color="auto"/>
                <w:left w:val="none" w:sz="0" w:space="0" w:color="auto"/>
                <w:bottom w:val="none" w:sz="0" w:space="0" w:color="auto"/>
                <w:right w:val="none" w:sz="0" w:space="0" w:color="auto"/>
              </w:divBdr>
              <w:divsChild>
                <w:div w:id="1436823759">
                  <w:marLeft w:val="0"/>
                  <w:marRight w:val="0"/>
                  <w:marTop w:val="0"/>
                  <w:marBottom w:val="0"/>
                  <w:divBdr>
                    <w:top w:val="none" w:sz="0" w:space="0" w:color="auto"/>
                    <w:left w:val="none" w:sz="0" w:space="0" w:color="auto"/>
                    <w:bottom w:val="none" w:sz="0" w:space="0" w:color="auto"/>
                    <w:right w:val="none" w:sz="0" w:space="0" w:color="auto"/>
                  </w:divBdr>
                  <w:divsChild>
                    <w:div w:id="1436823730">
                      <w:marLeft w:val="0"/>
                      <w:marRight w:val="0"/>
                      <w:marTop w:val="0"/>
                      <w:marBottom w:val="0"/>
                      <w:divBdr>
                        <w:top w:val="none" w:sz="0" w:space="0" w:color="auto"/>
                        <w:left w:val="none" w:sz="0" w:space="0" w:color="auto"/>
                        <w:bottom w:val="none" w:sz="0" w:space="0" w:color="auto"/>
                        <w:right w:val="none" w:sz="0" w:space="0" w:color="auto"/>
                      </w:divBdr>
                      <w:divsChild>
                        <w:div w:id="1436823760">
                          <w:marLeft w:val="0"/>
                          <w:marRight w:val="0"/>
                          <w:marTop w:val="0"/>
                          <w:marBottom w:val="0"/>
                          <w:divBdr>
                            <w:top w:val="none" w:sz="0" w:space="0" w:color="auto"/>
                            <w:left w:val="none" w:sz="0" w:space="0" w:color="auto"/>
                            <w:bottom w:val="none" w:sz="0" w:space="0" w:color="auto"/>
                            <w:right w:val="none" w:sz="0" w:space="0" w:color="auto"/>
                          </w:divBdr>
                          <w:divsChild>
                            <w:div w:id="1436823718">
                              <w:marLeft w:val="0"/>
                              <w:marRight w:val="0"/>
                              <w:marTop w:val="0"/>
                              <w:marBottom w:val="0"/>
                              <w:divBdr>
                                <w:top w:val="none" w:sz="0" w:space="0" w:color="auto"/>
                                <w:left w:val="none" w:sz="0" w:space="0" w:color="auto"/>
                                <w:bottom w:val="none" w:sz="0" w:space="0" w:color="auto"/>
                                <w:right w:val="none" w:sz="0" w:space="0" w:color="auto"/>
                              </w:divBdr>
                              <w:divsChild>
                                <w:div w:id="143682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823733">
      <w:marLeft w:val="0"/>
      <w:marRight w:val="0"/>
      <w:marTop w:val="0"/>
      <w:marBottom w:val="0"/>
      <w:divBdr>
        <w:top w:val="none" w:sz="0" w:space="0" w:color="auto"/>
        <w:left w:val="none" w:sz="0" w:space="0" w:color="auto"/>
        <w:bottom w:val="none" w:sz="0" w:space="0" w:color="auto"/>
        <w:right w:val="none" w:sz="0" w:space="0" w:color="auto"/>
      </w:divBdr>
    </w:div>
    <w:div w:id="1436823737">
      <w:marLeft w:val="-480"/>
      <w:marRight w:val="0"/>
      <w:marTop w:val="0"/>
      <w:marBottom w:val="0"/>
      <w:divBdr>
        <w:top w:val="none" w:sz="0" w:space="0" w:color="auto"/>
        <w:left w:val="none" w:sz="0" w:space="0" w:color="auto"/>
        <w:bottom w:val="none" w:sz="0" w:space="0" w:color="auto"/>
        <w:right w:val="none" w:sz="0" w:space="0" w:color="auto"/>
      </w:divBdr>
      <w:divsChild>
        <w:div w:id="1436823722">
          <w:marLeft w:val="0"/>
          <w:marRight w:val="0"/>
          <w:marTop w:val="0"/>
          <w:marBottom w:val="0"/>
          <w:divBdr>
            <w:top w:val="none" w:sz="0" w:space="0" w:color="auto"/>
            <w:left w:val="none" w:sz="0" w:space="0" w:color="auto"/>
            <w:bottom w:val="none" w:sz="0" w:space="0" w:color="auto"/>
            <w:right w:val="none" w:sz="0" w:space="0" w:color="auto"/>
          </w:divBdr>
          <w:divsChild>
            <w:div w:id="1436823735">
              <w:marLeft w:val="0"/>
              <w:marRight w:val="0"/>
              <w:marTop w:val="0"/>
              <w:marBottom w:val="0"/>
              <w:divBdr>
                <w:top w:val="none" w:sz="0" w:space="0" w:color="auto"/>
                <w:left w:val="none" w:sz="0" w:space="0" w:color="auto"/>
                <w:bottom w:val="none" w:sz="0" w:space="0" w:color="auto"/>
                <w:right w:val="none" w:sz="0" w:space="0" w:color="auto"/>
              </w:divBdr>
              <w:divsChild>
                <w:div w:id="1436823726">
                  <w:marLeft w:val="0"/>
                  <w:marRight w:val="0"/>
                  <w:marTop w:val="0"/>
                  <w:marBottom w:val="240"/>
                  <w:divBdr>
                    <w:top w:val="none" w:sz="0" w:space="0" w:color="auto"/>
                    <w:left w:val="none" w:sz="0" w:space="0" w:color="auto"/>
                    <w:bottom w:val="none" w:sz="0" w:space="0" w:color="auto"/>
                    <w:right w:val="none" w:sz="0" w:space="0" w:color="auto"/>
                  </w:divBdr>
                  <w:divsChild>
                    <w:div w:id="1436823739">
                      <w:marLeft w:val="0"/>
                      <w:marRight w:val="0"/>
                      <w:marTop w:val="0"/>
                      <w:marBottom w:val="0"/>
                      <w:divBdr>
                        <w:top w:val="none" w:sz="0" w:space="0" w:color="auto"/>
                        <w:left w:val="none" w:sz="0" w:space="0" w:color="auto"/>
                        <w:bottom w:val="none" w:sz="0" w:space="0" w:color="auto"/>
                        <w:right w:val="none" w:sz="0" w:space="0" w:color="auto"/>
                      </w:divBdr>
                      <w:divsChild>
                        <w:div w:id="1436823736">
                          <w:marLeft w:val="0"/>
                          <w:marRight w:val="0"/>
                          <w:marTop w:val="0"/>
                          <w:marBottom w:val="240"/>
                          <w:divBdr>
                            <w:top w:val="none" w:sz="0" w:space="0" w:color="auto"/>
                            <w:left w:val="none" w:sz="0" w:space="0" w:color="auto"/>
                            <w:bottom w:val="none" w:sz="0" w:space="0" w:color="auto"/>
                            <w:right w:val="none" w:sz="0" w:space="0" w:color="auto"/>
                          </w:divBdr>
                          <w:divsChild>
                            <w:div w:id="1436823746">
                              <w:marLeft w:val="0"/>
                              <w:marRight w:val="0"/>
                              <w:marTop w:val="0"/>
                              <w:marBottom w:val="0"/>
                              <w:divBdr>
                                <w:top w:val="none" w:sz="0" w:space="0" w:color="auto"/>
                                <w:left w:val="none" w:sz="0" w:space="0" w:color="auto"/>
                                <w:bottom w:val="none" w:sz="0" w:space="0" w:color="auto"/>
                                <w:right w:val="none" w:sz="0" w:space="0" w:color="auto"/>
                              </w:divBdr>
                              <w:divsChild>
                                <w:div w:id="1436823752">
                                  <w:marLeft w:val="0"/>
                                  <w:marRight w:val="0"/>
                                  <w:marTop w:val="288"/>
                                  <w:marBottom w:val="0"/>
                                  <w:divBdr>
                                    <w:top w:val="single" w:sz="18" w:space="6" w:color="E1E9EB"/>
                                    <w:left w:val="none" w:sz="0" w:space="0" w:color="auto"/>
                                    <w:bottom w:val="none" w:sz="0" w:space="0" w:color="auto"/>
                                    <w:right w:val="none" w:sz="0" w:space="0" w:color="auto"/>
                                  </w:divBdr>
                                  <w:divsChild>
                                    <w:div w:id="1436823753">
                                      <w:marLeft w:val="0"/>
                                      <w:marRight w:val="0"/>
                                      <w:marTop w:val="120"/>
                                      <w:marBottom w:val="0"/>
                                      <w:divBdr>
                                        <w:top w:val="none" w:sz="0" w:space="0" w:color="auto"/>
                                        <w:left w:val="none" w:sz="0" w:space="0" w:color="auto"/>
                                        <w:bottom w:val="none" w:sz="0" w:space="0" w:color="auto"/>
                                        <w:right w:val="none" w:sz="0" w:space="0" w:color="auto"/>
                                      </w:divBdr>
                                      <w:divsChild>
                                        <w:div w:id="14368237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823741">
      <w:marLeft w:val="-480"/>
      <w:marRight w:val="0"/>
      <w:marTop w:val="0"/>
      <w:marBottom w:val="0"/>
      <w:divBdr>
        <w:top w:val="none" w:sz="0" w:space="0" w:color="auto"/>
        <w:left w:val="none" w:sz="0" w:space="0" w:color="auto"/>
        <w:bottom w:val="none" w:sz="0" w:space="0" w:color="auto"/>
        <w:right w:val="none" w:sz="0" w:space="0" w:color="auto"/>
      </w:divBdr>
      <w:divsChild>
        <w:div w:id="1436823729">
          <w:marLeft w:val="0"/>
          <w:marRight w:val="0"/>
          <w:marTop w:val="0"/>
          <w:marBottom w:val="0"/>
          <w:divBdr>
            <w:top w:val="none" w:sz="0" w:space="0" w:color="auto"/>
            <w:left w:val="none" w:sz="0" w:space="0" w:color="auto"/>
            <w:bottom w:val="none" w:sz="0" w:space="0" w:color="auto"/>
            <w:right w:val="none" w:sz="0" w:space="0" w:color="auto"/>
          </w:divBdr>
          <w:divsChild>
            <w:div w:id="1436823731">
              <w:marLeft w:val="0"/>
              <w:marRight w:val="0"/>
              <w:marTop w:val="0"/>
              <w:marBottom w:val="0"/>
              <w:divBdr>
                <w:top w:val="none" w:sz="0" w:space="0" w:color="auto"/>
                <w:left w:val="none" w:sz="0" w:space="0" w:color="auto"/>
                <w:bottom w:val="none" w:sz="0" w:space="0" w:color="auto"/>
                <w:right w:val="none" w:sz="0" w:space="0" w:color="auto"/>
              </w:divBdr>
              <w:divsChild>
                <w:div w:id="1436823750">
                  <w:marLeft w:val="0"/>
                  <w:marRight w:val="0"/>
                  <w:marTop w:val="0"/>
                  <w:marBottom w:val="240"/>
                  <w:divBdr>
                    <w:top w:val="none" w:sz="0" w:space="0" w:color="auto"/>
                    <w:left w:val="none" w:sz="0" w:space="0" w:color="auto"/>
                    <w:bottom w:val="none" w:sz="0" w:space="0" w:color="auto"/>
                    <w:right w:val="none" w:sz="0" w:space="0" w:color="auto"/>
                  </w:divBdr>
                  <w:divsChild>
                    <w:div w:id="1436823724">
                      <w:marLeft w:val="0"/>
                      <w:marRight w:val="0"/>
                      <w:marTop w:val="0"/>
                      <w:marBottom w:val="0"/>
                      <w:divBdr>
                        <w:top w:val="none" w:sz="0" w:space="0" w:color="auto"/>
                        <w:left w:val="none" w:sz="0" w:space="0" w:color="auto"/>
                        <w:bottom w:val="none" w:sz="0" w:space="0" w:color="auto"/>
                        <w:right w:val="none" w:sz="0" w:space="0" w:color="auto"/>
                      </w:divBdr>
                      <w:divsChild>
                        <w:div w:id="1436823743">
                          <w:marLeft w:val="0"/>
                          <w:marRight w:val="0"/>
                          <w:marTop w:val="0"/>
                          <w:marBottom w:val="240"/>
                          <w:divBdr>
                            <w:top w:val="none" w:sz="0" w:space="0" w:color="auto"/>
                            <w:left w:val="none" w:sz="0" w:space="0" w:color="auto"/>
                            <w:bottom w:val="none" w:sz="0" w:space="0" w:color="auto"/>
                            <w:right w:val="none" w:sz="0" w:space="0" w:color="auto"/>
                          </w:divBdr>
                          <w:divsChild>
                            <w:div w:id="1436823751">
                              <w:marLeft w:val="0"/>
                              <w:marRight w:val="0"/>
                              <w:marTop w:val="0"/>
                              <w:marBottom w:val="0"/>
                              <w:divBdr>
                                <w:top w:val="none" w:sz="0" w:space="0" w:color="auto"/>
                                <w:left w:val="none" w:sz="0" w:space="0" w:color="auto"/>
                                <w:bottom w:val="none" w:sz="0" w:space="0" w:color="auto"/>
                                <w:right w:val="none" w:sz="0" w:space="0" w:color="auto"/>
                              </w:divBdr>
                              <w:divsChild>
                                <w:div w:id="1436823756">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436823742">
      <w:marLeft w:val="-480"/>
      <w:marRight w:val="0"/>
      <w:marTop w:val="0"/>
      <w:marBottom w:val="0"/>
      <w:divBdr>
        <w:top w:val="none" w:sz="0" w:space="0" w:color="auto"/>
        <w:left w:val="none" w:sz="0" w:space="0" w:color="auto"/>
        <w:bottom w:val="none" w:sz="0" w:space="0" w:color="auto"/>
        <w:right w:val="none" w:sz="0" w:space="0" w:color="auto"/>
      </w:divBdr>
      <w:divsChild>
        <w:div w:id="1436823757">
          <w:marLeft w:val="0"/>
          <w:marRight w:val="0"/>
          <w:marTop w:val="0"/>
          <w:marBottom w:val="0"/>
          <w:divBdr>
            <w:top w:val="none" w:sz="0" w:space="0" w:color="auto"/>
            <w:left w:val="none" w:sz="0" w:space="0" w:color="auto"/>
            <w:bottom w:val="none" w:sz="0" w:space="0" w:color="auto"/>
            <w:right w:val="none" w:sz="0" w:space="0" w:color="auto"/>
          </w:divBdr>
          <w:divsChild>
            <w:div w:id="1436823734">
              <w:marLeft w:val="0"/>
              <w:marRight w:val="0"/>
              <w:marTop w:val="0"/>
              <w:marBottom w:val="0"/>
              <w:divBdr>
                <w:top w:val="none" w:sz="0" w:space="0" w:color="auto"/>
                <w:left w:val="none" w:sz="0" w:space="0" w:color="auto"/>
                <w:bottom w:val="none" w:sz="0" w:space="0" w:color="auto"/>
                <w:right w:val="none" w:sz="0" w:space="0" w:color="auto"/>
              </w:divBdr>
              <w:divsChild>
                <w:div w:id="1436823720">
                  <w:marLeft w:val="0"/>
                  <w:marRight w:val="0"/>
                  <w:marTop w:val="0"/>
                  <w:marBottom w:val="240"/>
                  <w:divBdr>
                    <w:top w:val="none" w:sz="0" w:space="0" w:color="auto"/>
                    <w:left w:val="none" w:sz="0" w:space="0" w:color="auto"/>
                    <w:bottom w:val="none" w:sz="0" w:space="0" w:color="auto"/>
                    <w:right w:val="none" w:sz="0" w:space="0" w:color="auto"/>
                  </w:divBdr>
                  <w:divsChild>
                    <w:div w:id="1436823755">
                      <w:marLeft w:val="0"/>
                      <w:marRight w:val="0"/>
                      <w:marTop w:val="0"/>
                      <w:marBottom w:val="0"/>
                      <w:divBdr>
                        <w:top w:val="none" w:sz="0" w:space="0" w:color="auto"/>
                        <w:left w:val="none" w:sz="0" w:space="0" w:color="auto"/>
                        <w:bottom w:val="none" w:sz="0" w:space="0" w:color="auto"/>
                        <w:right w:val="none" w:sz="0" w:space="0" w:color="auto"/>
                      </w:divBdr>
                      <w:divsChild>
                        <w:div w:id="1436823727">
                          <w:marLeft w:val="0"/>
                          <w:marRight w:val="0"/>
                          <w:marTop w:val="0"/>
                          <w:marBottom w:val="240"/>
                          <w:divBdr>
                            <w:top w:val="none" w:sz="0" w:space="0" w:color="auto"/>
                            <w:left w:val="none" w:sz="0" w:space="0" w:color="auto"/>
                            <w:bottom w:val="none" w:sz="0" w:space="0" w:color="auto"/>
                            <w:right w:val="none" w:sz="0" w:space="0" w:color="auto"/>
                          </w:divBdr>
                          <w:divsChild>
                            <w:div w:id="1436823740">
                              <w:marLeft w:val="0"/>
                              <w:marRight w:val="0"/>
                              <w:marTop w:val="0"/>
                              <w:marBottom w:val="0"/>
                              <w:divBdr>
                                <w:top w:val="none" w:sz="0" w:space="0" w:color="auto"/>
                                <w:left w:val="none" w:sz="0" w:space="0" w:color="auto"/>
                                <w:bottom w:val="none" w:sz="0" w:space="0" w:color="auto"/>
                                <w:right w:val="none" w:sz="0" w:space="0" w:color="auto"/>
                              </w:divBdr>
                              <w:divsChild>
                                <w:div w:id="1436823747">
                                  <w:marLeft w:val="0"/>
                                  <w:marRight w:val="0"/>
                                  <w:marTop w:val="288"/>
                                  <w:marBottom w:val="0"/>
                                  <w:divBdr>
                                    <w:top w:val="single" w:sz="18" w:space="6" w:color="E1E9EB"/>
                                    <w:left w:val="none" w:sz="0" w:space="0" w:color="auto"/>
                                    <w:bottom w:val="none" w:sz="0" w:space="0" w:color="auto"/>
                                    <w:right w:val="none" w:sz="0" w:space="0" w:color="auto"/>
                                  </w:divBdr>
                                  <w:divsChild>
                                    <w:div w:id="1436823745">
                                      <w:marLeft w:val="0"/>
                                      <w:marRight w:val="0"/>
                                      <w:marTop w:val="120"/>
                                      <w:marBottom w:val="0"/>
                                      <w:divBdr>
                                        <w:top w:val="none" w:sz="0" w:space="0" w:color="auto"/>
                                        <w:left w:val="none" w:sz="0" w:space="0" w:color="auto"/>
                                        <w:bottom w:val="none" w:sz="0" w:space="0" w:color="auto"/>
                                        <w:right w:val="none" w:sz="0" w:space="0" w:color="auto"/>
                                      </w:divBdr>
                                      <w:divsChild>
                                        <w:div w:id="14368237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823758">
      <w:marLeft w:val="0"/>
      <w:marRight w:val="0"/>
      <w:marTop w:val="0"/>
      <w:marBottom w:val="0"/>
      <w:divBdr>
        <w:top w:val="none" w:sz="0" w:space="0" w:color="auto"/>
        <w:left w:val="none" w:sz="0" w:space="0" w:color="auto"/>
        <w:bottom w:val="none" w:sz="0" w:space="0" w:color="auto"/>
        <w:right w:val="none" w:sz="0" w:space="0" w:color="auto"/>
      </w:divBdr>
    </w:div>
    <w:div w:id="1436823761">
      <w:marLeft w:val="0"/>
      <w:marRight w:val="0"/>
      <w:marTop w:val="0"/>
      <w:marBottom w:val="0"/>
      <w:divBdr>
        <w:top w:val="none" w:sz="0" w:space="0" w:color="auto"/>
        <w:left w:val="none" w:sz="0" w:space="0" w:color="auto"/>
        <w:bottom w:val="none" w:sz="0" w:space="0" w:color="auto"/>
        <w:right w:val="none" w:sz="0" w:space="0" w:color="auto"/>
      </w:divBdr>
      <w:divsChild>
        <w:div w:id="1436823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jstor.org/action/showPublication?journalCode=economicpolicy" TargetMode="External"/><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cfr.org/thinktank/cgs/beijingpapers.html" TargetMode="External"/><Relationship Id="rId12" Type="http://schemas.openxmlformats.org/officeDocument/2006/relationships/hyperlink" Target="http://www.jstor.org/stable/1344754" TargetMode="Externa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imf.org/external/np/sta/cofer/eng/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linelibrary.wiley.com/doi/10.1111/aepr.2010.5.issue-2/issueto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yperlink" Target="http://www.voxeu.org/reports/currency_dispute.pdf" TargetMode="Externa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jstor.org/stable/i257846"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29</Pages>
  <Words>10677</Words>
  <Characters>60862</Characters>
  <Application>Microsoft Office Word</Application>
  <DocSecurity>0</DocSecurity>
  <Lines>507</Lines>
  <Paragraphs>142</Paragraphs>
  <ScaleCrop>false</ScaleCrop>
  <Company>Council on Foreign Relations</Company>
  <LinksUpToDate>false</LinksUpToDate>
  <CharactersWithSpaces>71397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pondering the prospects for the renminbi to become an international currency, it may help to look to history</dc:title>
  <dc:creator>Jeff Frankel</dc:creator>
  <cp:lastModifiedBy>itfsa</cp:lastModifiedBy>
  <cp:revision>4</cp:revision>
  <cp:lastPrinted>2011-09-28T13:46:00Z</cp:lastPrinted>
  <dcterms:created xsi:type="dcterms:W3CDTF">2011-10-03T13:30:00Z</dcterms:created>
  <dcterms:modified xsi:type="dcterms:W3CDTF">2012-03-12T17:01:00Z</dcterms:modified>
</cp:coreProperties>
</file>