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77A" w:rsidRPr="0097077A" w:rsidRDefault="00181E07" w:rsidP="0097077A">
      <w:pPr>
        <w:jc w:val="right"/>
        <w:rPr>
          <w:sz w:val="16"/>
          <w:szCs w:val="16"/>
        </w:rPr>
      </w:pPr>
      <w:r>
        <w:rPr>
          <w:sz w:val="20"/>
          <w:szCs w:val="20"/>
        </w:rPr>
        <w:t xml:space="preserve">Exploratory </w:t>
      </w:r>
      <w:proofErr w:type="gramStart"/>
      <w:r>
        <w:rPr>
          <w:sz w:val="20"/>
          <w:szCs w:val="20"/>
        </w:rPr>
        <w:t>draft</w:t>
      </w:r>
      <w:r w:rsidR="00B4609F">
        <w:rPr>
          <w:sz w:val="18"/>
          <w:szCs w:val="18"/>
        </w:rPr>
        <w:t xml:space="preserve">  </w:t>
      </w:r>
      <w:r w:rsidR="009A5FC6" w:rsidRPr="00181E07">
        <w:rPr>
          <w:sz w:val="16"/>
          <w:szCs w:val="16"/>
        </w:rPr>
        <w:t>Oct.5</w:t>
      </w:r>
      <w:proofErr w:type="gramEnd"/>
      <w:r w:rsidR="009502A2" w:rsidRPr="00181E07">
        <w:rPr>
          <w:sz w:val="16"/>
          <w:szCs w:val="16"/>
        </w:rPr>
        <w:t>, 2014</w:t>
      </w:r>
      <w:r w:rsidR="009D7F45" w:rsidRPr="00181E07">
        <w:rPr>
          <w:sz w:val="4"/>
          <w:szCs w:val="4"/>
        </w:rPr>
        <w:t>+</w:t>
      </w:r>
      <w:r w:rsidR="006009C2" w:rsidRPr="00181E07">
        <w:rPr>
          <w:sz w:val="4"/>
          <w:szCs w:val="4"/>
        </w:rPr>
        <w:t xml:space="preserve">&amp; </w:t>
      </w:r>
      <w:r w:rsidR="000B54D5" w:rsidRPr="00181E07">
        <w:rPr>
          <w:sz w:val="16"/>
          <w:szCs w:val="16"/>
        </w:rPr>
        <w:t xml:space="preserve"> </w:t>
      </w:r>
      <w:r w:rsidR="009D7F45" w:rsidRPr="00181E07">
        <w:rPr>
          <w:sz w:val="4"/>
          <w:szCs w:val="4"/>
        </w:rPr>
        <w:t>2rfs11/18</w:t>
      </w:r>
      <w:r w:rsidR="006009C2" w:rsidRPr="00181E07">
        <w:rPr>
          <w:sz w:val="4"/>
          <w:szCs w:val="4"/>
        </w:rPr>
        <w:t xml:space="preserve"> &amp; tble2fn11/22</w:t>
      </w:r>
      <w:r>
        <w:rPr>
          <w:sz w:val="16"/>
          <w:szCs w:val="16"/>
        </w:rPr>
        <w:t>; revised 2/2/2015</w:t>
      </w:r>
    </w:p>
    <w:p w:rsidR="004D2615" w:rsidRPr="00A94A89" w:rsidRDefault="00131134" w:rsidP="00B504CA">
      <w:pPr>
        <w:jc w:val="center"/>
      </w:pPr>
      <w:r w:rsidRPr="0097077A">
        <w:rPr>
          <w:b/>
          <w:sz w:val="28"/>
          <w:szCs w:val="28"/>
        </w:rPr>
        <w:t xml:space="preserve">Does It Matter </w:t>
      </w:r>
      <w:r w:rsidR="008A12A9">
        <w:rPr>
          <w:b/>
          <w:sz w:val="28"/>
          <w:szCs w:val="28"/>
        </w:rPr>
        <w:t>If</w:t>
      </w:r>
      <w:r w:rsidR="00841CFA" w:rsidRPr="0097077A">
        <w:rPr>
          <w:b/>
          <w:sz w:val="28"/>
          <w:szCs w:val="28"/>
        </w:rPr>
        <w:t xml:space="preserve"> Statistical</w:t>
      </w:r>
      <w:r w:rsidR="007C412A" w:rsidRPr="0097077A">
        <w:rPr>
          <w:b/>
          <w:sz w:val="28"/>
          <w:szCs w:val="28"/>
        </w:rPr>
        <w:t xml:space="preserve"> Agencies </w:t>
      </w:r>
      <w:r w:rsidR="00A94A89">
        <w:rPr>
          <w:b/>
          <w:sz w:val="28"/>
          <w:szCs w:val="28"/>
        </w:rPr>
        <w:t>Frame</w:t>
      </w:r>
      <w:r w:rsidR="007C412A" w:rsidRPr="0097077A">
        <w:rPr>
          <w:b/>
          <w:sz w:val="28"/>
          <w:szCs w:val="28"/>
        </w:rPr>
        <w:t xml:space="preserve"> the Month’s </w:t>
      </w:r>
      <w:r w:rsidR="00A94A89">
        <w:rPr>
          <w:b/>
          <w:sz w:val="28"/>
          <w:szCs w:val="28"/>
        </w:rPr>
        <w:t xml:space="preserve">CPI </w:t>
      </w:r>
      <w:r w:rsidR="00B504CA">
        <w:rPr>
          <w:b/>
          <w:sz w:val="28"/>
          <w:szCs w:val="28"/>
        </w:rPr>
        <w:t>Report</w:t>
      </w:r>
      <w:r w:rsidR="00B504CA">
        <w:rPr>
          <w:b/>
          <w:sz w:val="28"/>
          <w:szCs w:val="28"/>
        </w:rPr>
        <w:br/>
      </w:r>
      <w:r w:rsidR="00A94A89">
        <w:rPr>
          <w:b/>
          <w:sz w:val="28"/>
          <w:szCs w:val="28"/>
        </w:rPr>
        <w:t xml:space="preserve">on a 1-Month </w:t>
      </w:r>
      <w:r w:rsidR="00841CFA" w:rsidRPr="0097077A">
        <w:rPr>
          <w:b/>
          <w:sz w:val="28"/>
          <w:szCs w:val="28"/>
        </w:rPr>
        <w:t xml:space="preserve">or 12-month </w:t>
      </w:r>
      <w:r w:rsidR="00A94A89">
        <w:rPr>
          <w:b/>
          <w:sz w:val="28"/>
          <w:szCs w:val="28"/>
        </w:rPr>
        <w:t>Basis?</w:t>
      </w:r>
    </w:p>
    <w:p w:rsidR="004D2615" w:rsidRDefault="00841CFA" w:rsidP="00B504CA">
      <w:pPr>
        <w:jc w:val="center"/>
        <w:rPr>
          <w:sz w:val="24"/>
          <w:szCs w:val="24"/>
          <w:lang w:val="nl-NL"/>
        </w:rPr>
      </w:pPr>
      <w:r w:rsidRPr="004E4370">
        <w:rPr>
          <w:sz w:val="24"/>
          <w:szCs w:val="24"/>
          <w:lang w:val="nl-NL"/>
        </w:rPr>
        <w:t xml:space="preserve">Jeffrey </w:t>
      </w:r>
      <w:r w:rsidR="000E3CA6" w:rsidRPr="004E4370">
        <w:rPr>
          <w:sz w:val="24"/>
          <w:szCs w:val="24"/>
          <w:lang w:val="nl-NL"/>
        </w:rPr>
        <w:t>Frankel (</w:t>
      </w:r>
      <w:r w:rsidR="007C412A" w:rsidRPr="004E4370">
        <w:rPr>
          <w:sz w:val="24"/>
          <w:szCs w:val="24"/>
          <w:lang w:val="nl-NL"/>
        </w:rPr>
        <w:t>Harvard U</w:t>
      </w:r>
      <w:r w:rsidR="0055069D" w:rsidRPr="004E4370">
        <w:rPr>
          <w:sz w:val="24"/>
          <w:szCs w:val="24"/>
          <w:lang w:val="nl-NL"/>
        </w:rPr>
        <w:t>niversity</w:t>
      </w:r>
      <w:r w:rsidR="007C412A" w:rsidRPr="004E4370">
        <w:rPr>
          <w:sz w:val="24"/>
          <w:szCs w:val="24"/>
          <w:lang w:val="nl-NL"/>
        </w:rPr>
        <w:t xml:space="preserve">) </w:t>
      </w:r>
      <w:r w:rsidRPr="004E4370">
        <w:rPr>
          <w:sz w:val="24"/>
          <w:szCs w:val="24"/>
          <w:lang w:val="nl-NL"/>
        </w:rPr>
        <w:t xml:space="preserve">and </w:t>
      </w:r>
      <w:r w:rsidR="000E3CA6" w:rsidRPr="004E4370">
        <w:rPr>
          <w:sz w:val="24"/>
          <w:szCs w:val="24"/>
          <w:lang w:val="nl-NL"/>
        </w:rPr>
        <w:t>Ayako Saiki</w:t>
      </w:r>
      <w:r w:rsidR="007C412A" w:rsidRPr="004E4370">
        <w:rPr>
          <w:sz w:val="24"/>
          <w:szCs w:val="24"/>
          <w:lang w:val="nl-NL"/>
        </w:rPr>
        <w:t xml:space="preserve"> (</w:t>
      </w:r>
      <w:r w:rsidR="006161AB" w:rsidRPr="004E4370">
        <w:rPr>
          <w:sz w:val="24"/>
          <w:szCs w:val="24"/>
          <w:lang w:val="nl-NL"/>
        </w:rPr>
        <w:t>De Nederlandsche Bank</w:t>
      </w:r>
      <w:r w:rsidR="006161AB">
        <w:rPr>
          <w:rStyle w:val="FootnoteReference"/>
          <w:sz w:val="24"/>
          <w:szCs w:val="24"/>
          <w:lang w:val="nl-NL"/>
        </w:rPr>
        <w:footnoteReference w:id="1"/>
      </w:r>
      <w:r w:rsidR="007C412A" w:rsidRPr="004E4370">
        <w:rPr>
          <w:sz w:val="24"/>
          <w:szCs w:val="24"/>
          <w:lang w:val="nl-NL"/>
        </w:rPr>
        <w:t>)</w:t>
      </w:r>
    </w:p>
    <w:p w:rsidR="000828F4" w:rsidRPr="00F41628" w:rsidRDefault="000828F4" w:rsidP="000828F4">
      <w:pPr>
        <w:jc w:val="center"/>
        <w:rPr>
          <w:sz w:val="18"/>
          <w:szCs w:val="18"/>
        </w:rPr>
      </w:pPr>
      <w:r w:rsidRPr="00F41628">
        <w:rPr>
          <w:sz w:val="18"/>
          <w:szCs w:val="18"/>
        </w:rPr>
        <w:t>The authors would like to thank Katharine Abraham and Richard Thaler for useful comments.</w:t>
      </w:r>
    </w:p>
    <w:p w:rsidR="00671F48" w:rsidRPr="002D2C04" w:rsidRDefault="00671F48" w:rsidP="002D2C04">
      <w:pPr>
        <w:spacing w:line="240" w:lineRule="auto"/>
        <w:jc w:val="center"/>
        <w:rPr>
          <w:i/>
          <w:sz w:val="2"/>
          <w:szCs w:val="2"/>
        </w:rPr>
      </w:pPr>
      <w:r w:rsidRPr="00CF043C">
        <w:rPr>
          <w:i/>
          <w:sz w:val="20"/>
          <w:szCs w:val="20"/>
        </w:rPr>
        <w:t>Abstract</w:t>
      </w:r>
      <w:r w:rsidR="002D2C04">
        <w:rPr>
          <w:i/>
          <w:sz w:val="2"/>
          <w:szCs w:val="2"/>
        </w:rPr>
        <w:br/>
      </w:r>
      <w:r w:rsidR="00530BE2" w:rsidRPr="00CF043C">
        <w:rPr>
          <w:sz w:val="20"/>
          <w:szCs w:val="20"/>
        </w:rPr>
        <w:t xml:space="preserve">When the </w:t>
      </w:r>
      <w:r w:rsidR="002B16FD" w:rsidRPr="00CF043C">
        <w:rPr>
          <w:sz w:val="20"/>
          <w:szCs w:val="20"/>
        </w:rPr>
        <w:t xml:space="preserve">US Bureau of Labor Statistics </w:t>
      </w:r>
      <w:r w:rsidR="00530BE2" w:rsidRPr="00CF043C">
        <w:rPr>
          <w:sz w:val="20"/>
          <w:szCs w:val="20"/>
        </w:rPr>
        <w:t xml:space="preserve">releases new </w:t>
      </w:r>
      <w:r w:rsidRPr="00CF043C">
        <w:rPr>
          <w:sz w:val="20"/>
          <w:szCs w:val="20"/>
        </w:rPr>
        <w:t xml:space="preserve">numbers, in theory it should make no difference whether the press release emphasizes the most recent 1-month number (which is what it does) or the 12-month number (as </w:t>
      </w:r>
      <w:r w:rsidR="00D31FAE" w:rsidRPr="00CF043C">
        <w:rPr>
          <w:sz w:val="20"/>
          <w:szCs w:val="20"/>
        </w:rPr>
        <w:t>many</w:t>
      </w:r>
      <w:r w:rsidRPr="00CF043C">
        <w:rPr>
          <w:sz w:val="20"/>
          <w:szCs w:val="20"/>
        </w:rPr>
        <w:t xml:space="preserve"> other countries</w:t>
      </w:r>
      <w:r w:rsidR="001306D0" w:rsidRPr="00CF043C">
        <w:rPr>
          <w:sz w:val="20"/>
          <w:szCs w:val="20"/>
        </w:rPr>
        <w:t>’ statistical agencies</w:t>
      </w:r>
      <w:r w:rsidR="0097077A" w:rsidRPr="00CF043C">
        <w:rPr>
          <w:sz w:val="20"/>
          <w:szCs w:val="20"/>
        </w:rPr>
        <w:t xml:space="preserve"> do).  </w:t>
      </w:r>
      <w:r w:rsidR="00B4609F" w:rsidRPr="00CF043C">
        <w:rPr>
          <w:sz w:val="20"/>
          <w:szCs w:val="20"/>
        </w:rPr>
        <w:t xml:space="preserve">This </w:t>
      </w:r>
      <w:r w:rsidRPr="00CF043C">
        <w:rPr>
          <w:sz w:val="20"/>
          <w:szCs w:val="20"/>
        </w:rPr>
        <w:t xml:space="preserve">paper </w:t>
      </w:r>
      <w:r w:rsidR="00D31FAE" w:rsidRPr="00CF043C">
        <w:rPr>
          <w:sz w:val="20"/>
          <w:szCs w:val="20"/>
        </w:rPr>
        <w:t>offer</w:t>
      </w:r>
      <w:r w:rsidRPr="00CF043C">
        <w:rPr>
          <w:sz w:val="20"/>
          <w:szCs w:val="20"/>
        </w:rPr>
        <w:t>s the hypothesis that it does matter</w:t>
      </w:r>
      <w:r w:rsidR="001C5374" w:rsidRPr="00CF043C">
        <w:rPr>
          <w:sz w:val="20"/>
          <w:szCs w:val="20"/>
        </w:rPr>
        <w:t>.  M</w:t>
      </w:r>
      <w:r w:rsidR="00680EE5" w:rsidRPr="00CF043C">
        <w:rPr>
          <w:sz w:val="20"/>
          <w:szCs w:val="20"/>
        </w:rPr>
        <w:t xml:space="preserve">arkets react </w:t>
      </w:r>
      <w:r w:rsidR="00530BE2" w:rsidRPr="00CF043C">
        <w:rPr>
          <w:sz w:val="20"/>
          <w:szCs w:val="20"/>
        </w:rPr>
        <w:t xml:space="preserve">to CPI </w:t>
      </w:r>
      <w:r w:rsidR="00A94A89" w:rsidRPr="00CF043C">
        <w:rPr>
          <w:sz w:val="20"/>
          <w:szCs w:val="20"/>
        </w:rPr>
        <w:t xml:space="preserve">inflation </w:t>
      </w:r>
      <w:r w:rsidR="00530BE2" w:rsidRPr="00CF043C">
        <w:rPr>
          <w:sz w:val="20"/>
          <w:szCs w:val="20"/>
        </w:rPr>
        <w:t xml:space="preserve">news </w:t>
      </w:r>
      <w:r w:rsidR="00680EE5" w:rsidRPr="00CF043C">
        <w:rPr>
          <w:sz w:val="20"/>
          <w:szCs w:val="20"/>
        </w:rPr>
        <w:t>via</w:t>
      </w:r>
      <w:r w:rsidRPr="00CF043C">
        <w:rPr>
          <w:sz w:val="20"/>
          <w:szCs w:val="20"/>
        </w:rPr>
        <w:t xml:space="preserve"> wh</w:t>
      </w:r>
      <w:r w:rsidR="001306D0" w:rsidRPr="00CF043C">
        <w:rPr>
          <w:sz w:val="20"/>
          <w:szCs w:val="20"/>
        </w:rPr>
        <w:t xml:space="preserve">ichever framing the </w:t>
      </w:r>
      <w:r w:rsidRPr="00CF043C">
        <w:rPr>
          <w:sz w:val="20"/>
          <w:szCs w:val="20"/>
        </w:rPr>
        <w:t>agency chooses.</w:t>
      </w:r>
    </w:p>
    <w:p w:rsidR="00671F48" w:rsidRDefault="00671F48"/>
    <w:p w:rsidR="00765B0F" w:rsidRDefault="00122AEA" w:rsidP="004D2615">
      <w:pPr>
        <w:ind w:firstLine="720"/>
      </w:pPr>
      <w:r>
        <w:t>Official s</w:t>
      </w:r>
      <w:r w:rsidR="004E6A07">
        <w:t>tati</w:t>
      </w:r>
      <w:r w:rsidR="001775D5">
        <w:t xml:space="preserve">stical agencies </w:t>
      </w:r>
      <w:r w:rsidR="004E6A07">
        <w:t>report</w:t>
      </w:r>
      <w:r w:rsidR="001C5374" w:rsidRPr="001C5374">
        <w:t xml:space="preserve"> </w:t>
      </w:r>
      <w:r w:rsidR="001C5374">
        <w:t>GDP numbers every quarter</w:t>
      </w:r>
      <w:r w:rsidR="004E6A07">
        <w:t xml:space="preserve"> </w:t>
      </w:r>
      <w:r w:rsidR="00F81188">
        <w:t xml:space="preserve">and </w:t>
      </w:r>
      <w:r w:rsidR="00BB3C25">
        <w:t>industrial production</w:t>
      </w:r>
      <w:r w:rsidR="00F81188">
        <w:t xml:space="preserve">, </w:t>
      </w:r>
      <w:r w:rsidR="007F6EF5">
        <w:t xml:space="preserve">inflation, and </w:t>
      </w:r>
      <w:r w:rsidR="004E6A07">
        <w:t>various employment measures</w:t>
      </w:r>
      <w:r w:rsidR="001775D5">
        <w:t xml:space="preserve"> </w:t>
      </w:r>
      <w:r w:rsidR="001C5374">
        <w:t>every month</w:t>
      </w:r>
      <w:r w:rsidR="00131134">
        <w:t>.  T</w:t>
      </w:r>
      <w:r w:rsidR="004E6A07">
        <w:t>he complete statistical report that is released</w:t>
      </w:r>
      <w:r w:rsidR="008B2161">
        <w:t xml:space="preserve"> and </w:t>
      </w:r>
      <w:r w:rsidR="00131134">
        <w:t>posted</w:t>
      </w:r>
      <w:r w:rsidR="004E6A07">
        <w:t xml:space="preserve"> </w:t>
      </w:r>
      <w:r w:rsidR="007D6172">
        <w:t xml:space="preserve">on </w:t>
      </w:r>
      <w:r w:rsidR="007F6EF5">
        <w:t>agency</w:t>
      </w:r>
      <w:r w:rsidR="007D6172">
        <w:t xml:space="preserve"> website</w:t>
      </w:r>
      <w:r w:rsidR="007F6EF5">
        <w:t>s</w:t>
      </w:r>
      <w:r w:rsidR="007D6172">
        <w:t xml:space="preserve"> </w:t>
      </w:r>
      <w:r w:rsidR="001E406A">
        <w:t xml:space="preserve">contains a lot of information. </w:t>
      </w:r>
      <w:r w:rsidR="008175E9">
        <w:t xml:space="preserve"> </w:t>
      </w:r>
      <w:r w:rsidR="007F6EF5">
        <w:t>But i</w:t>
      </w:r>
      <w:r w:rsidR="008175E9">
        <w:t>n</w:t>
      </w:r>
      <w:r w:rsidR="004E6A07">
        <w:t xml:space="preserve"> the United States, the </w:t>
      </w:r>
      <w:r w:rsidR="001E406A">
        <w:t xml:space="preserve">agency’s website and the </w:t>
      </w:r>
      <w:r w:rsidR="004E6A07">
        <w:t>headline and</w:t>
      </w:r>
      <w:r w:rsidR="001306D0">
        <w:t>/or</w:t>
      </w:r>
      <w:r w:rsidR="004E6A07">
        <w:t xml:space="preserve"> lead sentence of the agency’s press release cle</w:t>
      </w:r>
      <w:r w:rsidR="00706F97">
        <w:t>arly and consistently emphasize</w:t>
      </w:r>
      <w:r w:rsidR="004E6A07">
        <w:t xml:space="preserve"> the figure for the most recent </w:t>
      </w:r>
      <w:r w:rsidR="00860914">
        <w:t>period</w:t>
      </w:r>
      <w:r w:rsidR="00706F97">
        <w:t xml:space="preserve">: </w:t>
      </w:r>
      <w:r w:rsidR="008B2161">
        <w:t xml:space="preserve">the most recent quarter for the rate of growth in GDP and </w:t>
      </w:r>
      <w:r w:rsidR="00706F97">
        <w:t xml:space="preserve">the most recent month </w:t>
      </w:r>
      <w:r w:rsidR="00860914">
        <w:t xml:space="preserve">for </w:t>
      </w:r>
      <w:r w:rsidR="00624642">
        <w:t xml:space="preserve">the </w:t>
      </w:r>
      <w:r w:rsidR="004E6A07">
        <w:t>CPI</w:t>
      </w:r>
      <w:r w:rsidR="00500EA5">
        <w:t>, Industrial Production,</w:t>
      </w:r>
      <w:r w:rsidR="00624642">
        <w:t xml:space="preserve"> </w:t>
      </w:r>
      <w:r w:rsidR="004E6A07">
        <w:t>or employment</w:t>
      </w:r>
      <w:r w:rsidR="00E85528">
        <w:t xml:space="preserve"> (change from the previous month)</w:t>
      </w:r>
      <w:r w:rsidR="004E6A07">
        <w:t>.</w:t>
      </w:r>
      <w:r w:rsidR="002E680B">
        <w:t xml:space="preserve">   In </w:t>
      </w:r>
      <w:r w:rsidR="00706F97">
        <w:t xml:space="preserve">many </w:t>
      </w:r>
      <w:r w:rsidR="002E680B">
        <w:t>other countries</w:t>
      </w:r>
      <w:r w:rsidR="00BB3513">
        <w:t>,</w:t>
      </w:r>
      <w:r w:rsidR="002E680B">
        <w:t xml:space="preserve"> </w:t>
      </w:r>
      <w:r w:rsidR="00131134">
        <w:t xml:space="preserve">the </w:t>
      </w:r>
      <w:r w:rsidR="001E406A">
        <w:t xml:space="preserve">website and the </w:t>
      </w:r>
      <w:r w:rsidR="00131134">
        <w:t>headline or lead sentence</w:t>
      </w:r>
      <w:r w:rsidR="001E406A">
        <w:t xml:space="preserve"> of the press release emphasize</w:t>
      </w:r>
      <w:r w:rsidR="00131134">
        <w:t xml:space="preserve"> </w:t>
      </w:r>
      <w:r>
        <w:t xml:space="preserve">instead </w:t>
      </w:r>
      <w:r w:rsidR="00131134">
        <w:t xml:space="preserve">the </w:t>
      </w:r>
      <w:r w:rsidR="00B76CF4">
        <w:t>change</w:t>
      </w:r>
      <w:r w:rsidR="00E85528">
        <w:t xml:space="preserve"> </w:t>
      </w:r>
      <w:r w:rsidR="00131134">
        <w:t xml:space="preserve">over the </w:t>
      </w:r>
      <w:r w:rsidR="00E85528">
        <w:t xml:space="preserve">preceding </w:t>
      </w:r>
      <w:r w:rsidR="001E406A">
        <w:t>one-</w:t>
      </w:r>
      <w:r w:rsidR="00131134">
        <w:t>year</w:t>
      </w:r>
      <w:r w:rsidR="001E406A">
        <w:t xml:space="preserve"> interval</w:t>
      </w:r>
      <w:r w:rsidR="00131134">
        <w:t xml:space="preserve"> </w:t>
      </w:r>
      <w:r w:rsidR="002E680B">
        <w:t xml:space="preserve">– such as </w:t>
      </w:r>
      <w:r w:rsidR="001F0EB8">
        <w:t>Canada and m</w:t>
      </w:r>
      <w:r w:rsidR="00706F97">
        <w:t>ost</w:t>
      </w:r>
      <w:r w:rsidR="001F0EB8">
        <w:t xml:space="preserve"> European countries</w:t>
      </w:r>
      <w:r w:rsidR="007D43D3">
        <w:t xml:space="preserve"> </w:t>
      </w:r>
      <w:r w:rsidR="00624642">
        <w:t xml:space="preserve">for </w:t>
      </w:r>
      <w:r w:rsidR="007D43D3">
        <w:t>CPI</w:t>
      </w:r>
      <w:r w:rsidR="00624642">
        <w:t xml:space="preserve"> inflation</w:t>
      </w:r>
      <w:r w:rsidR="007D43D3">
        <w:t xml:space="preserve">, China and Taiwan for </w:t>
      </w:r>
      <w:r w:rsidR="001F0EB8">
        <w:t xml:space="preserve">the </w:t>
      </w:r>
      <w:r w:rsidR="007D43D3">
        <w:t>GDP</w:t>
      </w:r>
      <w:r w:rsidR="00624642">
        <w:t xml:space="preserve"> growth rate</w:t>
      </w:r>
      <w:r w:rsidR="002E680B">
        <w:t>,</w:t>
      </w:r>
      <w:r w:rsidR="00624642">
        <w:t xml:space="preserve"> </w:t>
      </w:r>
      <w:r w:rsidR="00500EA5">
        <w:t xml:space="preserve">Switzerland for </w:t>
      </w:r>
      <w:r w:rsidR="00030255">
        <w:t>i</w:t>
      </w:r>
      <w:r w:rsidR="00500EA5">
        <w:t xml:space="preserve">ndustrial production, </w:t>
      </w:r>
      <w:r w:rsidR="00624642">
        <w:t xml:space="preserve">or Japan and </w:t>
      </w:r>
      <w:r w:rsidR="00131134">
        <w:t>Korea for change in employment.</w:t>
      </w:r>
      <w:r w:rsidR="00337199">
        <w:rPr>
          <w:rStyle w:val="FootnoteReference"/>
        </w:rPr>
        <w:footnoteReference w:id="2"/>
      </w:r>
    </w:p>
    <w:p w:rsidR="00FB6F73" w:rsidRDefault="000E3CA6" w:rsidP="004D2615">
      <w:pPr>
        <w:ind w:firstLine="720"/>
      </w:pPr>
      <w:r>
        <w:t>Economists’ logic</w:t>
      </w:r>
      <w:r w:rsidR="003A5EE4">
        <w:t xml:space="preserve"> would say that it cannot make any difference what the agency choos</w:t>
      </w:r>
      <w:r w:rsidR="0097077A">
        <w:t xml:space="preserve">es to emphasize in the website or </w:t>
      </w:r>
      <w:r w:rsidR="003A5EE4">
        <w:t>press release that it gives to reporters and the public</w:t>
      </w:r>
      <w:r w:rsidR="005821E4">
        <w:t xml:space="preserve">, so long as all </w:t>
      </w:r>
      <w:r w:rsidR="00131134">
        <w:t xml:space="preserve">the information is </w:t>
      </w:r>
      <w:r w:rsidR="005821E4">
        <w:t>made available</w:t>
      </w:r>
      <w:r w:rsidR="00131134">
        <w:t xml:space="preserve"> at the same time</w:t>
      </w:r>
      <w:r w:rsidR="001E406A" w:rsidRPr="001E406A">
        <w:t xml:space="preserve"> </w:t>
      </w:r>
      <w:r w:rsidR="001E406A">
        <w:t>(including the estimate for the most recent period, revised numbers for one or more preceding periods, and the number for the preceding 12-months or 4 quarters)</w:t>
      </w:r>
      <w:r w:rsidR="003A5EE4">
        <w:t>.</w:t>
      </w:r>
      <w:r w:rsidR="005821E4">
        <w:t xml:space="preserve"> </w:t>
      </w:r>
      <w:r w:rsidR="00131134">
        <w:t xml:space="preserve">  A standard criterion for</w:t>
      </w:r>
      <w:r w:rsidR="005821E4">
        <w:t xml:space="preserve"> the efficiency of financial markets is that they process all available government statistics. But the hypothesis explored in this paper is that it does make a difference, that financial markets tend to react </w:t>
      </w:r>
      <w:r w:rsidR="00706F97">
        <w:t xml:space="preserve">relatively more strongly </w:t>
      </w:r>
      <w:r w:rsidR="005821E4">
        <w:t xml:space="preserve">to the most recent number in countries such  as </w:t>
      </w:r>
      <w:r w:rsidR="005821E4">
        <w:lastRenderedPageBreak/>
        <w:t>the  United States and to react relatively more strongly to the 12-month number in countries where that is the one emphasized in the press release.</w:t>
      </w:r>
      <w:r w:rsidR="00046240">
        <w:t xml:space="preserve">  </w:t>
      </w:r>
    </w:p>
    <w:p w:rsidR="00C27846" w:rsidRDefault="00B4609F" w:rsidP="004D2615">
      <w:pPr>
        <w:ind w:firstLine="720"/>
      </w:pPr>
      <w:r>
        <w:t>Macroeconomists s</w:t>
      </w:r>
      <w:r w:rsidR="000231EC">
        <w:t xml:space="preserve">teeped in the literature on </w:t>
      </w:r>
      <w:r>
        <w:t>statistical effects of government adjustments may find the proposed outlook unfamiliar.</w:t>
      </w:r>
      <w:r>
        <w:rPr>
          <w:rStyle w:val="FootnoteReference"/>
        </w:rPr>
        <w:footnoteReference w:id="3"/>
      </w:r>
      <w:r>
        <w:t xml:space="preserve">  </w:t>
      </w:r>
      <w:r w:rsidR="00046240">
        <w:t>The hypothesis will be less surprising to those familiar with the evidence on psychological biases of framing and anchoring.</w:t>
      </w:r>
      <w:r w:rsidR="007F1AE5">
        <w:rPr>
          <w:rStyle w:val="FootnoteReference"/>
        </w:rPr>
        <w:footnoteReference w:id="4"/>
      </w:r>
      <w:r w:rsidR="00046240">
        <w:t xml:space="preserve">  It may also be less surprising to market traders themselves, who do not feel they have the time to read the entire </w:t>
      </w:r>
      <w:r w:rsidR="00A53675">
        <w:t>statistical</w:t>
      </w:r>
      <w:r w:rsidR="00046240">
        <w:t xml:space="preserve"> release before rushing to participate in the market reaction.</w:t>
      </w:r>
      <w:r w:rsidR="001B6EE4">
        <w:t xml:space="preserve">  Given that the United States is the country that seems consistently to emphasize the most recent period in its statistical releases, the hypothesis considered here may also be of interest to those who believe that US financial marke</w:t>
      </w:r>
      <w:r w:rsidR="00F643FD">
        <w:t>ts suffer from “short-termism.”</w:t>
      </w:r>
      <w:r w:rsidR="00896CBF">
        <w:rPr>
          <w:rStyle w:val="FootnoteReference"/>
        </w:rPr>
        <w:footnoteReference w:id="5"/>
      </w:r>
    </w:p>
    <w:p w:rsidR="0097077A" w:rsidRDefault="003C6F4C" w:rsidP="00AF4833">
      <w:pPr>
        <w:ind w:firstLine="720"/>
      </w:pPr>
      <w:r>
        <w:t xml:space="preserve">Others have noted possible evidence of over-reaction to short-term noise, for example the fact that markets react </w:t>
      </w:r>
      <w:r w:rsidR="00C428F2">
        <w:t>strongly to the preliminary estimate of GDP but not to subsequent revisions</w:t>
      </w:r>
      <w:r>
        <w:t>.</w:t>
      </w:r>
      <w:r w:rsidR="00AF4833">
        <w:t xml:space="preserve">  </w:t>
      </w:r>
      <w:r w:rsidR="002D2C04">
        <w:t>W</w:t>
      </w:r>
      <w:r w:rsidR="00AF4833">
        <w:t>ell-targeted tests are hard to construct</w:t>
      </w:r>
      <w:r w:rsidR="002D2C04">
        <w:t>, however</w:t>
      </w:r>
      <w:r w:rsidR="00AF4833">
        <w:t>.</w:t>
      </w:r>
      <w:r w:rsidR="00C428F2">
        <w:rPr>
          <w:rStyle w:val="FootnoteReference"/>
        </w:rPr>
        <w:footnoteReference w:id="6"/>
      </w:r>
      <w:r w:rsidR="005F73C9">
        <w:t xml:space="preserve">  </w:t>
      </w:r>
    </w:p>
    <w:p w:rsidR="0090433A" w:rsidRDefault="007C412A">
      <w:pPr>
        <w:rPr>
          <w:b/>
        </w:rPr>
      </w:pPr>
      <w:r w:rsidRPr="007C412A">
        <w:rPr>
          <w:b/>
        </w:rPr>
        <w:t>Reporting practices in different countries</w:t>
      </w:r>
    </w:p>
    <w:p w:rsidR="000828F4" w:rsidRDefault="008B5AAB" w:rsidP="00CC2106">
      <w:pPr>
        <w:ind w:firstLine="720"/>
      </w:pPr>
      <w:r>
        <w:t>Table 1 shows the CPI reporting practices of different countries, as between most-recent-period versus 12-month</w:t>
      </w:r>
      <w:r w:rsidR="009C04CC">
        <w:t xml:space="preserve"> change</w:t>
      </w:r>
      <w:r>
        <w:t>, and the corresponding reporting tendencies across countries of the important financial wire services</w:t>
      </w:r>
      <w:r w:rsidR="009C04CC">
        <w:t xml:space="preserve"> (Bloomberg and Reuters)</w:t>
      </w:r>
      <w:r w:rsidR="003C6F4C">
        <w:t xml:space="preserve">.   The United States is the </w:t>
      </w:r>
      <w:r>
        <w:t xml:space="preserve">country where the </w:t>
      </w:r>
      <w:r w:rsidR="003C6F4C">
        <w:t xml:space="preserve">news </w:t>
      </w:r>
      <w:r>
        <w:t xml:space="preserve">clearly and consistently </w:t>
      </w:r>
      <w:r w:rsidR="00B4609F">
        <w:t xml:space="preserve">focuses on </w:t>
      </w:r>
      <w:r>
        <w:t>CPI inflation for the most recent month</w:t>
      </w:r>
      <w:r w:rsidR="004C38C9">
        <w:t>.  T</w:t>
      </w:r>
      <w:r w:rsidR="00B4609F">
        <w:t>he statistical agencies in K</w:t>
      </w:r>
      <w:r w:rsidR="00FE4368">
        <w:t>orea also</w:t>
      </w:r>
      <w:r w:rsidR="003C6F4C">
        <w:t xml:space="preserve"> give it </w:t>
      </w:r>
      <w:r w:rsidR="00B4609F">
        <w:t>emphasis</w:t>
      </w:r>
      <w:r>
        <w:t xml:space="preserve">.  Correspondingly, </w:t>
      </w:r>
      <w:r w:rsidR="004C38C9">
        <w:t xml:space="preserve">the news services </w:t>
      </w:r>
      <w:r>
        <w:t>Bloomberg/</w:t>
      </w:r>
      <w:r w:rsidR="00922052">
        <w:t xml:space="preserve">World Process </w:t>
      </w:r>
      <w:r w:rsidR="004C38C9">
        <w:t xml:space="preserve">and Reuters </w:t>
      </w:r>
      <w:r w:rsidR="004C38C9">
        <w:lastRenderedPageBreak/>
        <w:t>tend</w:t>
      </w:r>
      <w:r>
        <w:t xml:space="preserve"> to give greater emphasis to the month’s number</w:t>
      </w:r>
      <w:r w:rsidR="00EF79D7">
        <w:t xml:space="preserve"> from the US</w:t>
      </w:r>
      <w:r>
        <w:t xml:space="preserve">, and somewhat less to the 12-month inflation rate.   </w:t>
      </w:r>
      <w:r w:rsidR="004C38C9">
        <w:t>Most other countries do this</w:t>
      </w:r>
      <w:r w:rsidR="00B4609F">
        <w:t xml:space="preserve"> differently.   </w:t>
      </w:r>
      <w:r>
        <w:t>Canada</w:t>
      </w:r>
      <w:r w:rsidR="004C38C9">
        <w:t xml:space="preserve"> and most European countries </w:t>
      </w:r>
      <w:r w:rsidR="00B4609F">
        <w:t xml:space="preserve">emphasize </w:t>
      </w:r>
      <w:r>
        <w:t xml:space="preserve">CPI </w:t>
      </w:r>
      <w:r w:rsidR="00B4609F">
        <w:t xml:space="preserve">changes </w:t>
      </w:r>
      <w:r>
        <w:t>on a 12-month basis</w:t>
      </w:r>
      <w:r w:rsidR="00B4609F">
        <w:t xml:space="preserve"> in the official statistical reports.  </w:t>
      </w:r>
      <w:r>
        <w:t xml:space="preserve">Bloomberg </w:t>
      </w:r>
      <w:r w:rsidR="00B4609F">
        <w:t>and Reuters follow</w:t>
      </w:r>
      <w:r w:rsidR="00AF4833">
        <w:t xml:space="preserve"> suit</w:t>
      </w:r>
      <w:r w:rsidR="004C38C9">
        <w:t xml:space="preserve"> in most of these countries</w:t>
      </w:r>
      <w:r>
        <w:t>.</w:t>
      </w:r>
    </w:p>
    <w:tbl>
      <w:tblPr>
        <w:tblW w:w="9483" w:type="dxa"/>
        <w:tblInd w:w="93" w:type="dxa"/>
        <w:tblLook w:val="04A0" w:firstRow="1" w:lastRow="0" w:firstColumn="1" w:lastColumn="0" w:noHBand="0" w:noVBand="1"/>
      </w:tblPr>
      <w:tblGrid>
        <w:gridCol w:w="284"/>
        <w:gridCol w:w="1080"/>
        <w:gridCol w:w="3511"/>
        <w:gridCol w:w="1546"/>
        <w:gridCol w:w="1379"/>
        <w:gridCol w:w="1032"/>
        <w:gridCol w:w="326"/>
        <w:gridCol w:w="325"/>
      </w:tblGrid>
      <w:tr w:rsidR="006B184C" w:rsidRPr="006B184C" w:rsidTr="00F41628">
        <w:trPr>
          <w:trHeight w:val="423"/>
        </w:trPr>
        <w:tc>
          <w:tcPr>
            <w:tcW w:w="8832" w:type="dxa"/>
            <w:gridSpan w:val="6"/>
            <w:vMerge w:val="restart"/>
            <w:tcBorders>
              <w:top w:val="nil"/>
              <w:left w:val="nil"/>
              <w:bottom w:val="nil"/>
              <w:right w:val="nil"/>
            </w:tcBorders>
            <w:shd w:val="clear" w:color="000000" w:fill="FFFFFF"/>
            <w:vAlign w:val="center"/>
            <w:hideMark/>
          </w:tcPr>
          <w:p w:rsidR="006B184C" w:rsidRPr="00F41628" w:rsidRDefault="006B184C" w:rsidP="006B184C">
            <w:pPr>
              <w:spacing w:after="0" w:line="240" w:lineRule="auto"/>
              <w:rPr>
                <w:rFonts w:ascii="Cambria" w:eastAsia="Times New Roman" w:hAnsi="Cambria" w:cs="Times New Roman"/>
                <w:b/>
                <w:bCs/>
                <w:color w:val="000000"/>
                <w:sz w:val="24"/>
                <w:szCs w:val="24"/>
                <w:lang w:eastAsia="ja-JP"/>
              </w:rPr>
            </w:pPr>
            <w:r w:rsidRPr="00F41628">
              <w:rPr>
                <w:rFonts w:ascii="Cambria" w:eastAsia="Times New Roman" w:hAnsi="Cambria" w:cs="Times New Roman"/>
                <w:b/>
                <w:bCs/>
                <w:color w:val="000000"/>
                <w:sz w:val="24"/>
                <w:szCs w:val="24"/>
                <w:lang w:eastAsia="ja-JP"/>
              </w:rPr>
              <w:t>Table 1: Reporting patterns for CPI</w:t>
            </w:r>
            <w:r w:rsidRPr="00F41628">
              <w:rPr>
                <w:rFonts w:ascii="Cambria" w:eastAsia="Times New Roman" w:hAnsi="Cambria" w:cs="Times New Roman"/>
                <w:color w:val="000000"/>
                <w:sz w:val="24"/>
                <w:szCs w:val="24"/>
                <w:lang w:eastAsia="ja-JP"/>
              </w:rPr>
              <w:t xml:space="preserve"> </w:t>
            </w:r>
            <w:r w:rsidRPr="00F41628">
              <w:rPr>
                <w:rFonts w:ascii="Cambria" w:eastAsia="Times New Roman" w:hAnsi="Cambria" w:cs="Times New Roman"/>
                <w:b/>
                <w:bCs/>
                <w:color w:val="000000"/>
                <w:sz w:val="24"/>
                <w:szCs w:val="24"/>
                <w:lang w:eastAsia="ja-JP"/>
              </w:rPr>
              <w:t>statistics released by official agencies and financial news services across countries</w:t>
            </w:r>
          </w:p>
        </w:tc>
        <w:tc>
          <w:tcPr>
            <w:tcW w:w="651" w:type="dxa"/>
            <w:gridSpan w:val="2"/>
            <w:tcBorders>
              <w:top w:val="nil"/>
              <w:left w:val="nil"/>
              <w:bottom w:val="nil"/>
              <w:right w:val="nil"/>
            </w:tcBorders>
            <w:shd w:val="clear" w:color="000000" w:fill="FFFFFF"/>
            <w:noWrap/>
            <w:vAlign w:val="bottom"/>
            <w:hideMark/>
          </w:tcPr>
          <w:p w:rsidR="006B184C" w:rsidRPr="006B184C" w:rsidRDefault="006B184C" w:rsidP="006B184C">
            <w:pPr>
              <w:spacing w:after="0" w:line="240" w:lineRule="auto"/>
              <w:rPr>
                <w:rFonts w:ascii="Calibri" w:eastAsia="Times New Roman" w:hAnsi="Calibri" w:cs="Times New Roman"/>
                <w:color w:val="000000"/>
                <w:lang w:eastAsia="ja-JP"/>
              </w:rPr>
            </w:pPr>
            <w:r w:rsidRPr="006B184C">
              <w:rPr>
                <w:rFonts w:ascii="Calibri" w:eastAsia="Times New Roman" w:hAnsi="Calibri" w:cs="Times New Roman"/>
                <w:color w:val="000000"/>
                <w:lang w:eastAsia="ja-JP"/>
              </w:rPr>
              <w:t> </w:t>
            </w:r>
          </w:p>
        </w:tc>
      </w:tr>
      <w:tr w:rsidR="006B184C" w:rsidRPr="006B184C" w:rsidTr="00F41628">
        <w:trPr>
          <w:trHeight w:val="423"/>
        </w:trPr>
        <w:tc>
          <w:tcPr>
            <w:tcW w:w="8832" w:type="dxa"/>
            <w:gridSpan w:val="6"/>
            <w:vMerge/>
            <w:tcBorders>
              <w:top w:val="nil"/>
              <w:left w:val="nil"/>
              <w:bottom w:val="nil"/>
              <w:right w:val="nil"/>
            </w:tcBorders>
            <w:vAlign w:val="center"/>
            <w:hideMark/>
          </w:tcPr>
          <w:p w:rsidR="006B184C" w:rsidRPr="006B184C" w:rsidRDefault="006B184C" w:rsidP="006B184C">
            <w:pPr>
              <w:spacing w:after="0" w:line="240" w:lineRule="auto"/>
              <w:rPr>
                <w:rFonts w:ascii="Cambria" w:eastAsia="Times New Roman" w:hAnsi="Cambria" w:cs="Times New Roman"/>
                <w:b/>
                <w:bCs/>
                <w:color w:val="000000"/>
                <w:sz w:val="28"/>
                <w:szCs w:val="28"/>
                <w:lang w:eastAsia="ja-JP"/>
              </w:rPr>
            </w:pPr>
          </w:p>
        </w:tc>
        <w:tc>
          <w:tcPr>
            <w:tcW w:w="651" w:type="dxa"/>
            <w:gridSpan w:val="2"/>
            <w:tcBorders>
              <w:top w:val="nil"/>
              <w:left w:val="nil"/>
              <w:bottom w:val="nil"/>
              <w:right w:val="nil"/>
            </w:tcBorders>
            <w:shd w:val="clear" w:color="000000" w:fill="FFFFFF"/>
            <w:noWrap/>
            <w:vAlign w:val="bottom"/>
            <w:hideMark/>
          </w:tcPr>
          <w:p w:rsidR="006B184C" w:rsidRPr="006B184C" w:rsidRDefault="006B184C" w:rsidP="006B184C">
            <w:pPr>
              <w:spacing w:after="0" w:line="240" w:lineRule="auto"/>
              <w:rPr>
                <w:rFonts w:ascii="Calibri" w:eastAsia="Times New Roman" w:hAnsi="Calibri" w:cs="Times New Roman"/>
                <w:color w:val="000000"/>
                <w:lang w:eastAsia="ja-JP"/>
              </w:rPr>
            </w:pPr>
            <w:r w:rsidRPr="006B184C">
              <w:rPr>
                <w:rFonts w:ascii="Calibri" w:eastAsia="Times New Roman" w:hAnsi="Calibri" w:cs="Times New Roman"/>
                <w:color w:val="000000"/>
                <w:lang w:eastAsia="ja-JP"/>
              </w:rPr>
              <w:t> </w:t>
            </w:r>
          </w:p>
        </w:tc>
      </w:tr>
      <w:tr w:rsidR="006B184C" w:rsidRPr="006B184C" w:rsidTr="00F41628">
        <w:trPr>
          <w:trHeight w:val="292"/>
        </w:trPr>
        <w:tc>
          <w:tcPr>
            <w:tcW w:w="1364" w:type="dxa"/>
            <w:gridSpan w:val="2"/>
            <w:tcBorders>
              <w:top w:val="nil"/>
              <w:left w:val="nil"/>
              <w:bottom w:val="nil"/>
              <w:right w:val="nil"/>
            </w:tcBorders>
            <w:shd w:val="clear" w:color="000000" w:fill="FFFFFF"/>
            <w:noWrap/>
            <w:vAlign w:val="bottom"/>
            <w:hideMark/>
          </w:tcPr>
          <w:p w:rsidR="006B184C" w:rsidRPr="00F41628" w:rsidRDefault="006B184C" w:rsidP="006B184C">
            <w:pPr>
              <w:spacing w:after="0" w:line="240" w:lineRule="auto"/>
              <w:rPr>
                <w:rFonts w:ascii="Cambria" w:eastAsia="Times New Roman" w:hAnsi="Cambria" w:cs="Times New Roman"/>
                <w:color w:val="000000"/>
                <w:sz w:val="16"/>
                <w:szCs w:val="16"/>
                <w:lang w:eastAsia="ja-JP"/>
              </w:rPr>
            </w:pPr>
          </w:p>
        </w:tc>
        <w:tc>
          <w:tcPr>
            <w:tcW w:w="3511" w:type="dxa"/>
            <w:tcBorders>
              <w:top w:val="nil"/>
              <w:left w:val="nil"/>
              <w:bottom w:val="nil"/>
              <w:right w:val="nil"/>
            </w:tcBorders>
            <w:shd w:val="clear" w:color="000000" w:fill="FFFFFF"/>
            <w:noWrap/>
            <w:vAlign w:val="bottom"/>
            <w:hideMark/>
          </w:tcPr>
          <w:p w:rsidR="006B184C" w:rsidRPr="006B184C" w:rsidRDefault="006B184C" w:rsidP="006B184C">
            <w:pPr>
              <w:spacing w:after="0" w:line="240" w:lineRule="auto"/>
              <w:rPr>
                <w:rFonts w:ascii="Calibri" w:eastAsia="Times New Roman" w:hAnsi="Calibri" w:cs="Times New Roman"/>
                <w:color w:val="000000"/>
                <w:sz w:val="26"/>
                <w:szCs w:val="26"/>
                <w:lang w:eastAsia="ja-JP"/>
              </w:rPr>
            </w:pPr>
            <w:r w:rsidRPr="006B184C">
              <w:rPr>
                <w:rFonts w:ascii="Calibri" w:eastAsia="Times New Roman" w:hAnsi="Calibri" w:cs="Times New Roman"/>
                <w:color w:val="000000"/>
                <w:sz w:val="26"/>
                <w:szCs w:val="26"/>
                <w:lang w:eastAsia="ja-JP"/>
              </w:rPr>
              <w:t> </w:t>
            </w:r>
            <w:r w:rsidR="00CC2106" w:rsidRPr="00AF67AD">
              <w:rPr>
                <w:rFonts w:ascii="Cambria" w:eastAsia="Times New Roman" w:hAnsi="Cambria" w:cs="Times New Roman"/>
                <w:color w:val="000000"/>
                <w:sz w:val="16"/>
                <w:szCs w:val="16"/>
                <w:lang w:eastAsia="ja-JP"/>
              </w:rPr>
              <w:t>Updated Sep 19, 2014</w:t>
            </w:r>
          </w:p>
        </w:tc>
        <w:tc>
          <w:tcPr>
            <w:tcW w:w="1546" w:type="dxa"/>
            <w:tcBorders>
              <w:top w:val="nil"/>
              <w:left w:val="nil"/>
              <w:bottom w:val="nil"/>
              <w:right w:val="nil"/>
            </w:tcBorders>
            <w:shd w:val="clear" w:color="000000" w:fill="FFFFFF"/>
            <w:noWrap/>
            <w:vAlign w:val="bottom"/>
            <w:hideMark/>
          </w:tcPr>
          <w:p w:rsidR="006B184C" w:rsidRPr="006B184C" w:rsidRDefault="006B184C" w:rsidP="006B184C">
            <w:pPr>
              <w:spacing w:after="0" w:line="240" w:lineRule="auto"/>
              <w:rPr>
                <w:rFonts w:ascii="Calibri" w:eastAsia="Times New Roman" w:hAnsi="Calibri" w:cs="Times New Roman"/>
                <w:color w:val="000000"/>
                <w:lang w:eastAsia="ja-JP"/>
              </w:rPr>
            </w:pPr>
            <w:r w:rsidRPr="006B184C">
              <w:rPr>
                <w:rFonts w:ascii="Calibri" w:eastAsia="Times New Roman" w:hAnsi="Calibri" w:cs="Times New Roman"/>
                <w:color w:val="000000"/>
                <w:lang w:eastAsia="ja-JP"/>
              </w:rPr>
              <w:t> </w:t>
            </w:r>
          </w:p>
        </w:tc>
        <w:tc>
          <w:tcPr>
            <w:tcW w:w="1379" w:type="dxa"/>
            <w:tcBorders>
              <w:top w:val="nil"/>
              <w:left w:val="nil"/>
              <w:bottom w:val="nil"/>
              <w:right w:val="nil"/>
            </w:tcBorders>
            <w:shd w:val="clear" w:color="000000" w:fill="FFFFFF"/>
            <w:noWrap/>
            <w:vAlign w:val="bottom"/>
            <w:hideMark/>
          </w:tcPr>
          <w:p w:rsidR="006B184C" w:rsidRPr="006B184C" w:rsidRDefault="006B184C" w:rsidP="006B184C">
            <w:pPr>
              <w:spacing w:after="0" w:line="240" w:lineRule="auto"/>
              <w:rPr>
                <w:rFonts w:ascii="Calibri" w:eastAsia="Times New Roman" w:hAnsi="Calibri" w:cs="Times New Roman"/>
                <w:color w:val="000000"/>
                <w:lang w:eastAsia="ja-JP"/>
              </w:rPr>
            </w:pPr>
            <w:r w:rsidRPr="006B184C">
              <w:rPr>
                <w:rFonts w:ascii="Calibri" w:eastAsia="Times New Roman" w:hAnsi="Calibri" w:cs="Times New Roman"/>
                <w:color w:val="000000"/>
                <w:lang w:eastAsia="ja-JP"/>
              </w:rPr>
              <w:t> </w:t>
            </w:r>
          </w:p>
        </w:tc>
        <w:tc>
          <w:tcPr>
            <w:tcW w:w="1032" w:type="dxa"/>
            <w:tcBorders>
              <w:top w:val="nil"/>
              <w:left w:val="nil"/>
              <w:bottom w:val="nil"/>
              <w:right w:val="nil"/>
            </w:tcBorders>
            <w:shd w:val="clear" w:color="000000" w:fill="FFFFFF"/>
            <w:noWrap/>
            <w:vAlign w:val="bottom"/>
            <w:hideMark/>
          </w:tcPr>
          <w:p w:rsidR="006B184C" w:rsidRPr="006B184C" w:rsidRDefault="006B184C" w:rsidP="006B184C">
            <w:pPr>
              <w:spacing w:after="0" w:line="240" w:lineRule="auto"/>
              <w:rPr>
                <w:rFonts w:ascii="Calibri" w:eastAsia="Times New Roman" w:hAnsi="Calibri" w:cs="Times New Roman"/>
                <w:color w:val="000000"/>
                <w:lang w:eastAsia="ja-JP"/>
              </w:rPr>
            </w:pPr>
            <w:r w:rsidRPr="006B184C">
              <w:rPr>
                <w:rFonts w:ascii="Calibri" w:eastAsia="Times New Roman" w:hAnsi="Calibri" w:cs="Times New Roman"/>
                <w:color w:val="000000"/>
                <w:lang w:eastAsia="ja-JP"/>
              </w:rPr>
              <w:t> </w:t>
            </w:r>
          </w:p>
        </w:tc>
        <w:tc>
          <w:tcPr>
            <w:tcW w:w="651" w:type="dxa"/>
            <w:gridSpan w:val="2"/>
            <w:tcBorders>
              <w:top w:val="nil"/>
              <w:left w:val="nil"/>
              <w:bottom w:val="nil"/>
              <w:right w:val="nil"/>
            </w:tcBorders>
            <w:shd w:val="clear" w:color="000000" w:fill="FFFFFF"/>
            <w:noWrap/>
            <w:vAlign w:val="bottom"/>
            <w:hideMark/>
          </w:tcPr>
          <w:p w:rsidR="006B184C" w:rsidRPr="006B184C" w:rsidRDefault="006B184C" w:rsidP="006B184C">
            <w:pPr>
              <w:spacing w:after="0" w:line="240" w:lineRule="auto"/>
              <w:rPr>
                <w:rFonts w:ascii="Calibri" w:eastAsia="Times New Roman" w:hAnsi="Calibri" w:cs="Times New Roman"/>
                <w:color w:val="000000"/>
                <w:lang w:eastAsia="ja-JP"/>
              </w:rPr>
            </w:pPr>
            <w:r w:rsidRPr="006B184C">
              <w:rPr>
                <w:rFonts w:ascii="Calibri" w:eastAsia="Times New Roman" w:hAnsi="Calibri" w:cs="Times New Roman"/>
                <w:color w:val="000000"/>
                <w:lang w:eastAsia="ja-JP"/>
              </w:rPr>
              <w:t> </w:t>
            </w:r>
          </w:p>
        </w:tc>
      </w:tr>
      <w:tr w:rsidR="006B184C" w:rsidRPr="006B184C" w:rsidTr="00F41628">
        <w:trPr>
          <w:trHeight w:val="292"/>
        </w:trPr>
        <w:tc>
          <w:tcPr>
            <w:tcW w:w="284" w:type="dxa"/>
            <w:tcBorders>
              <w:top w:val="nil"/>
              <w:left w:val="nil"/>
              <w:bottom w:val="nil"/>
              <w:right w:val="nil"/>
            </w:tcBorders>
            <w:shd w:val="clear" w:color="000000" w:fill="FFFFFF"/>
            <w:noWrap/>
            <w:vAlign w:val="bottom"/>
            <w:hideMark/>
          </w:tcPr>
          <w:p w:rsidR="006B184C" w:rsidRPr="006B184C" w:rsidRDefault="006B184C" w:rsidP="006B184C">
            <w:pPr>
              <w:spacing w:after="0" w:line="240" w:lineRule="auto"/>
              <w:rPr>
                <w:rFonts w:ascii="Calibri" w:eastAsia="Times New Roman" w:hAnsi="Calibri" w:cs="Times New Roman"/>
                <w:color w:val="000000"/>
                <w:lang w:eastAsia="ja-JP"/>
              </w:rPr>
            </w:pPr>
            <w:r w:rsidRPr="006B184C">
              <w:rPr>
                <w:rFonts w:ascii="Calibri" w:eastAsia="Times New Roman" w:hAnsi="Calibri" w:cs="Times New Roman"/>
                <w:color w:val="000000"/>
                <w:lang w:eastAsia="ja-JP"/>
              </w:rPr>
              <w:t> </w:t>
            </w:r>
          </w:p>
        </w:tc>
        <w:tc>
          <w:tcPr>
            <w:tcW w:w="1080" w:type="dxa"/>
            <w:vMerge w:val="restart"/>
            <w:tcBorders>
              <w:top w:val="nil"/>
              <w:left w:val="nil"/>
              <w:bottom w:val="single" w:sz="8" w:space="0" w:color="000000"/>
              <w:right w:val="single" w:sz="8" w:space="0" w:color="auto"/>
            </w:tcBorders>
            <w:shd w:val="clear" w:color="000000" w:fill="FFFFFF"/>
            <w:noWrap/>
            <w:vAlign w:val="bottom"/>
            <w:hideMark/>
          </w:tcPr>
          <w:p w:rsidR="006B184C" w:rsidRPr="006B184C" w:rsidRDefault="006B184C" w:rsidP="006B184C">
            <w:pPr>
              <w:spacing w:after="0" w:line="240" w:lineRule="auto"/>
              <w:rPr>
                <w:rFonts w:ascii="Calibri" w:eastAsia="Times New Roman" w:hAnsi="Calibri" w:cs="Times New Roman"/>
                <w:color w:val="000000"/>
                <w:lang w:eastAsia="ja-JP"/>
              </w:rPr>
            </w:pPr>
            <w:r w:rsidRPr="006B184C">
              <w:rPr>
                <w:rFonts w:ascii="Calibri" w:eastAsia="Times New Roman" w:hAnsi="Calibri" w:cs="Times New Roman"/>
                <w:color w:val="000000"/>
                <w:lang w:eastAsia="ja-JP"/>
              </w:rPr>
              <w:t> </w:t>
            </w:r>
          </w:p>
        </w:tc>
        <w:tc>
          <w:tcPr>
            <w:tcW w:w="3511" w:type="dxa"/>
            <w:vMerge w:val="restart"/>
            <w:tcBorders>
              <w:top w:val="single" w:sz="8" w:space="0" w:color="auto"/>
              <w:left w:val="single" w:sz="8" w:space="0" w:color="auto"/>
              <w:bottom w:val="single" w:sz="8" w:space="0" w:color="000000"/>
              <w:right w:val="double" w:sz="6" w:space="0" w:color="auto"/>
            </w:tcBorders>
            <w:shd w:val="clear" w:color="000000" w:fill="FFFFFF"/>
            <w:vAlign w:val="center"/>
            <w:hideMark/>
          </w:tcPr>
          <w:p w:rsidR="006B184C" w:rsidRPr="00F41628" w:rsidRDefault="006B184C" w:rsidP="006B184C">
            <w:pPr>
              <w:spacing w:after="0" w:line="240" w:lineRule="auto"/>
              <w:jc w:val="center"/>
              <w:rPr>
                <w:rFonts w:ascii="Calibri" w:eastAsia="Times New Roman" w:hAnsi="Calibri" w:cs="Times New Roman"/>
                <w:color w:val="000000"/>
                <w:sz w:val="24"/>
                <w:szCs w:val="24"/>
                <w:lang w:eastAsia="ja-JP"/>
              </w:rPr>
            </w:pPr>
            <w:r w:rsidRPr="00F41628">
              <w:rPr>
                <w:rFonts w:ascii="Calibri" w:eastAsia="Times New Roman" w:hAnsi="Calibri" w:cs="Times New Roman"/>
                <w:color w:val="000000"/>
                <w:sz w:val="24"/>
                <w:szCs w:val="24"/>
                <w:lang w:eastAsia="ja-JP"/>
              </w:rPr>
              <w:t>Countries and release agencies</w:t>
            </w:r>
          </w:p>
        </w:tc>
        <w:tc>
          <w:tcPr>
            <w:tcW w:w="1546" w:type="dxa"/>
            <w:vMerge w:val="restart"/>
            <w:tcBorders>
              <w:top w:val="single" w:sz="8" w:space="0" w:color="auto"/>
              <w:left w:val="double" w:sz="6" w:space="0" w:color="auto"/>
              <w:bottom w:val="single" w:sz="8" w:space="0" w:color="000000"/>
              <w:right w:val="single" w:sz="8" w:space="0" w:color="auto"/>
            </w:tcBorders>
            <w:shd w:val="clear" w:color="000000" w:fill="FFFFFF"/>
            <w:vAlign w:val="center"/>
            <w:hideMark/>
          </w:tcPr>
          <w:p w:rsidR="006B184C" w:rsidRPr="00F41628" w:rsidRDefault="006B184C" w:rsidP="006B184C">
            <w:pPr>
              <w:spacing w:after="0" w:line="240" w:lineRule="auto"/>
              <w:jc w:val="center"/>
              <w:rPr>
                <w:rFonts w:ascii="Calibri" w:eastAsia="Times New Roman" w:hAnsi="Calibri" w:cs="Times New Roman"/>
                <w:color w:val="000000"/>
                <w:sz w:val="24"/>
                <w:szCs w:val="24"/>
                <w:lang w:eastAsia="ja-JP"/>
              </w:rPr>
            </w:pPr>
            <w:r w:rsidRPr="00F41628">
              <w:rPr>
                <w:rFonts w:ascii="Calibri" w:eastAsia="Times New Roman" w:hAnsi="Calibri" w:cs="Times New Roman"/>
                <w:color w:val="000000"/>
                <w:sz w:val="24"/>
                <w:szCs w:val="24"/>
                <w:lang w:eastAsia="ja-JP"/>
              </w:rPr>
              <w:t>Gov't agency</w:t>
            </w:r>
          </w:p>
        </w:tc>
        <w:tc>
          <w:tcPr>
            <w:tcW w:w="1379" w:type="dxa"/>
            <w:vMerge w:val="restart"/>
            <w:tcBorders>
              <w:top w:val="single" w:sz="8" w:space="0" w:color="auto"/>
              <w:left w:val="single" w:sz="8" w:space="0" w:color="auto"/>
              <w:bottom w:val="single" w:sz="8" w:space="0" w:color="000000"/>
              <w:right w:val="nil"/>
            </w:tcBorders>
            <w:shd w:val="clear" w:color="000000" w:fill="FFFFFF"/>
            <w:noWrap/>
            <w:vAlign w:val="center"/>
            <w:hideMark/>
          </w:tcPr>
          <w:p w:rsidR="006B184C" w:rsidRPr="00F41628" w:rsidRDefault="006B184C" w:rsidP="006B184C">
            <w:pPr>
              <w:spacing w:after="0" w:line="240" w:lineRule="auto"/>
              <w:jc w:val="center"/>
              <w:rPr>
                <w:rFonts w:ascii="Calibri" w:eastAsia="Times New Roman" w:hAnsi="Calibri" w:cs="Times New Roman"/>
                <w:color w:val="000000"/>
                <w:sz w:val="24"/>
                <w:szCs w:val="24"/>
                <w:lang w:eastAsia="ja-JP"/>
              </w:rPr>
            </w:pPr>
            <w:r w:rsidRPr="00F41628">
              <w:rPr>
                <w:rFonts w:ascii="Calibri" w:eastAsia="Times New Roman" w:hAnsi="Calibri" w:cs="Times New Roman"/>
                <w:color w:val="000000"/>
                <w:sz w:val="24"/>
                <w:szCs w:val="24"/>
                <w:lang w:eastAsia="ja-JP"/>
              </w:rPr>
              <w:t>Bloomberg</w:t>
            </w:r>
          </w:p>
        </w:tc>
        <w:tc>
          <w:tcPr>
            <w:tcW w:w="1032" w:type="dxa"/>
            <w:vMerge w:val="restart"/>
            <w:tcBorders>
              <w:top w:val="single" w:sz="8" w:space="0" w:color="auto"/>
              <w:left w:val="nil"/>
              <w:bottom w:val="single" w:sz="8" w:space="0" w:color="000000"/>
              <w:right w:val="single" w:sz="8" w:space="0" w:color="auto"/>
            </w:tcBorders>
            <w:shd w:val="clear" w:color="000000" w:fill="FFFFFF"/>
            <w:noWrap/>
            <w:vAlign w:val="center"/>
            <w:hideMark/>
          </w:tcPr>
          <w:p w:rsidR="006B184C" w:rsidRPr="00F41628" w:rsidRDefault="006B184C" w:rsidP="006B184C">
            <w:pPr>
              <w:spacing w:after="0" w:line="240" w:lineRule="auto"/>
              <w:jc w:val="center"/>
              <w:rPr>
                <w:rFonts w:ascii="Calibri" w:eastAsia="Times New Roman" w:hAnsi="Calibri" w:cs="Times New Roman"/>
                <w:color w:val="000000"/>
                <w:sz w:val="24"/>
                <w:szCs w:val="24"/>
                <w:lang w:eastAsia="ja-JP"/>
              </w:rPr>
            </w:pPr>
            <w:r w:rsidRPr="00F41628">
              <w:rPr>
                <w:rFonts w:ascii="Calibri" w:eastAsia="Times New Roman" w:hAnsi="Calibri" w:cs="Times New Roman"/>
                <w:color w:val="000000"/>
                <w:sz w:val="24"/>
                <w:szCs w:val="24"/>
                <w:lang w:eastAsia="ja-JP"/>
              </w:rPr>
              <w:t>Reuters</w:t>
            </w:r>
          </w:p>
        </w:tc>
        <w:tc>
          <w:tcPr>
            <w:tcW w:w="651" w:type="dxa"/>
            <w:gridSpan w:val="2"/>
            <w:tcBorders>
              <w:top w:val="nil"/>
              <w:left w:val="nil"/>
              <w:bottom w:val="nil"/>
              <w:right w:val="nil"/>
            </w:tcBorders>
            <w:shd w:val="clear" w:color="000000" w:fill="FFFFFF"/>
            <w:noWrap/>
            <w:vAlign w:val="bottom"/>
            <w:hideMark/>
          </w:tcPr>
          <w:p w:rsidR="006B184C" w:rsidRPr="006B184C" w:rsidRDefault="006B184C" w:rsidP="006B184C">
            <w:pPr>
              <w:spacing w:after="0" w:line="240" w:lineRule="auto"/>
              <w:rPr>
                <w:rFonts w:ascii="Calibri" w:eastAsia="Times New Roman" w:hAnsi="Calibri" w:cs="Times New Roman"/>
                <w:color w:val="000000"/>
                <w:lang w:eastAsia="ja-JP"/>
              </w:rPr>
            </w:pPr>
            <w:r w:rsidRPr="006B184C">
              <w:rPr>
                <w:rFonts w:ascii="Calibri" w:eastAsia="Times New Roman" w:hAnsi="Calibri" w:cs="Times New Roman"/>
                <w:color w:val="000000"/>
                <w:lang w:eastAsia="ja-JP"/>
              </w:rPr>
              <w:t> </w:t>
            </w:r>
          </w:p>
        </w:tc>
      </w:tr>
      <w:tr w:rsidR="006B184C" w:rsidRPr="006B184C" w:rsidTr="00F41628">
        <w:trPr>
          <w:trHeight w:val="292"/>
        </w:trPr>
        <w:tc>
          <w:tcPr>
            <w:tcW w:w="284" w:type="dxa"/>
            <w:tcBorders>
              <w:top w:val="nil"/>
              <w:left w:val="nil"/>
              <w:bottom w:val="nil"/>
              <w:right w:val="nil"/>
            </w:tcBorders>
            <w:shd w:val="clear" w:color="000000" w:fill="FFFFFF"/>
            <w:noWrap/>
            <w:vAlign w:val="bottom"/>
            <w:hideMark/>
          </w:tcPr>
          <w:p w:rsidR="006B184C" w:rsidRPr="006B184C" w:rsidRDefault="006B184C" w:rsidP="006B184C">
            <w:pPr>
              <w:spacing w:after="0" w:line="240" w:lineRule="auto"/>
              <w:rPr>
                <w:rFonts w:ascii="Calibri" w:eastAsia="Times New Roman" w:hAnsi="Calibri" w:cs="Times New Roman"/>
                <w:color w:val="000000"/>
                <w:lang w:eastAsia="ja-JP"/>
              </w:rPr>
            </w:pPr>
            <w:r w:rsidRPr="006B184C">
              <w:rPr>
                <w:rFonts w:ascii="Calibri" w:eastAsia="Times New Roman" w:hAnsi="Calibri" w:cs="Times New Roman"/>
                <w:color w:val="000000"/>
                <w:lang w:eastAsia="ja-JP"/>
              </w:rPr>
              <w:t> </w:t>
            </w:r>
          </w:p>
        </w:tc>
        <w:tc>
          <w:tcPr>
            <w:tcW w:w="1080" w:type="dxa"/>
            <w:vMerge/>
            <w:tcBorders>
              <w:top w:val="nil"/>
              <w:left w:val="nil"/>
              <w:bottom w:val="single" w:sz="8" w:space="0" w:color="000000"/>
              <w:right w:val="single" w:sz="8" w:space="0" w:color="auto"/>
            </w:tcBorders>
            <w:vAlign w:val="center"/>
            <w:hideMark/>
          </w:tcPr>
          <w:p w:rsidR="006B184C" w:rsidRPr="006B184C" w:rsidRDefault="006B184C" w:rsidP="006B184C">
            <w:pPr>
              <w:spacing w:after="0" w:line="240" w:lineRule="auto"/>
              <w:rPr>
                <w:rFonts w:ascii="Calibri" w:eastAsia="Times New Roman" w:hAnsi="Calibri" w:cs="Times New Roman"/>
                <w:color w:val="000000"/>
                <w:lang w:eastAsia="ja-JP"/>
              </w:rPr>
            </w:pPr>
          </w:p>
        </w:tc>
        <w:tc>
          <w:tcPr>
            <w:tcW w:w="3511" w:type="dxa"/>
            <w:vMerge/>
            <w:tcBorders>
              <w:top w:val="single" w:sz="8" w:space="0" w:color="auto"/>
              <w:left w:val="single" w:sz="8" w:space="0" w:color="auto"/>
              <w:bottom w:val="single" w:sz="8" w:space="0" w:color="000000"/>
              <w:right w:val="double" w:sz="6" w:space="0" w:color="auto"/>
            </w:tcBorders>
            <w:vAlign w:val="center"/>
            <w:hideMark/>
          </w:tcPr>
          <w:p w:rsidR="006B184C" w:rsidRPr="006B184C" w:rsidRDefault="006B184C" w:rsidP="006B184C">
            <w:pPr>
              <w:spacing w:after="0" w:line="240" w:lineRule="auto"/>
              <w:rPr>
                <w:rFonts w:ascii="Calibri" w:eastAsia="Times New Roman" w:hAnsi="Calibri" w:cs="Times New Roman"/>
                <w:color w:val="000000"/>
                <w:sz w:val="26"/>
                <w:szCs w:val="26"/>
                <w:lang w:eastAsia="ja-JP"/>
              </w:rPr>
            </w:pPr>
          </w:p>
        </w:tc>
        <w:tc>
          <w:tcPr>
            <w:tcW w:w="1546" w:type="dxa"/>
            <w:vMerge/>
            <w:tcBorders>
              <w:top w:val="single" w:sz="8" w:space="0" w:color="auto"/>
              <w:left w:val="double" w:sz="6" w:space="0" w:color="auto"/>
              <w:bottom w:val="single" w:sz="8" w:space="0" w:color="000000"/>
              <w:right w:val="single" w:sz="8" w:space="0" w:color="auto"/>
            </w:tcBorders>
            <w:vAlign w:val="center"/>
            <w:hideMark/>
          </w:tcPr>
          <w:p w:rsidR="006B184C" w:rsidRPr="006B184C" w:rsidRDefault="006B184C" w:rsidP="006B184C">
            <w:pPr>
              <w:spacing w:after="0" w:line="240" w:lineRule="auto"/>
              <w:rPr>
                <w:rFonts w:ascii="Calibri" w:eastAsia="Times New Roman" w:hAnsi="Calibri" w:cs="Times New Roman"/>
                <w:color w:val="000000"/>
                <w:sz w:val="26"/>
                <w:szCs w:val="26"/>
                <w:lang w:eastAsia="ja-JP"/>
              </w:rPr>
            </w:pPr>
          </w:p>
        </w:tc>
        <w:tc>
          <w:tcPr>
            <w:tcW w:w="1379" w:type="dxa"/>
            <w:vMerge/>
            <w:tcBorders>
              <w:top w:val="single" w:sz="8" w:space="0" w:color="auto"/>
              <w:left w:val="single" w:sz="8" w:space="0" w:color="auto"/>
              <w:bottom w:val="single" w:sz="8" w:space="0" w:color="000000"/>
              <w:right w:val="nil"/>
            </w:tcBorders>
            <w:vAlign w:val="center"/>
            <w:hideMark/>
          </w:tcPr>
          <w:p w:rsidR="006B184C" w:rsidRPr="006B184C" w:rsidRDefault="006B184C" w:rsidP="006B184C">
            <w:pPr>
              <w:spacing w:after="0" w:line="240" w:lineRule="auto"/>
              <w:rPr>
                <w:rFonts w:ascii="Calibri" w:eastAsia="Times New Roman" w:hAnsi="Calibri" w:cs="Times New Roman"/>
                <w:color w:val="000000"/>
                <w:sz w:val="26"/>
                <w:szCs w:val="26"/>
                <w:lang w:eastAsia="ja-JP"/>
              </w:rPr>
            </w:pPr>
          </w:p>
        </w:tc>
        <w:tc>
          <w:tcPr>
            <w:tcW w:w="1032" w:type="dxa"/>
            <w:vMerge/>
            <w:tcBorders>
              <w:top w:val="single" w:sz="8" w:space="0" w:color="auto"/>
              <w:left w:val="nil"/>
              <w:bottom w:val="single" w:sz="8" w:space="0" w:color="000000"/>
              <w:right w:val="single" w:sz="8" w:space="0" w:color="auto"/>
            </w:tcBorders>
            <w:vAlign w:val="center"/>
            <w:hideMark/>
          </w:tcPr>
          <w:p w:rsidR="006B184C" w:rsidRPr="006B184C" w:rsidRDefault="006B184C" w:rsidP="006B184C">
            <w:pPr>
              <w:spacing w:after="0" w:line="240" w:lineRule="auto"/>
              <w:rPr>
                <w:rFonts w:ascii="Calibri" w:eastAsia="Times New Roman" w:hAnsi="Calibri" w:cs="Times New Roman"/>
                <w:color w:val="000000"/>
                <w:sz w:val="26"/>
                <w:szCs w:val="26"/>
                <w:lang w:eastAsia="ja-JP"/>
              </w:rPr>
            </w:pPr>
          </w:p>
        </w:tc>
        <w:tc>
          <w:tcPr>
            <w:tcW w:w="651" w:type="dxa"/>
            <w:gridSpan w:val="2"/>
            <w:tcBorders>
              <w:top w:val="nil"/>
              <w:left w:val="nil"/>
              <w:bottom w:val="nil"/>
              <w:right w:val="nil"/>
            </w:tcBorders>
            <w:shd w:val="clear" w:color="000000" w:fill="FFFFFF"/>
            <w:noWrap/>
            <w:vAlign w:val="bottom"/>
            <w:hideMark/>
          </w:tcPr>
          <w:p w:rsidR="006B184C" w:rsidRPr="006B184C" w:rsidRDefault="006B184C" w:rsidP="006B184C">
            <w:pPr>
              <w:spacing w:after="0" w:line="240" w:lineRule="auto"/>
              <w:rPr>
                <w:rFonts w:ascii="Calibri" w:eastAsia="Times New Roman" w:hAnsi="Calibri" w:cs="Times New Roman"/>
                <w:b/>
                <w:bCs/>
                <w:color w:val="000000"/>
                <w:lang w:eastAsia="ja-JP"/>
              </w:rPr>
            </w:pPr>
            <w:r w:rsidRPr="006B184C">
              <w:rPr>
                <w:rFonts w:ascii="Calibri" w:eastAsia="Times New Roman" w:hAnsi="Calibri" w:cs="Times New Roman"/>
                <w:b/>
                <w:bCs/>
                <w:color w:val="000000"/>
                <w:lang w:eastAsia="ja-JP"/>
              </w:rPr>
              <w:t> </w:t>
            </w:r>
          </w:p>
        </w:tc>
      </w:tr>
      <w:tr w:rsidR="00DC4AAC" w:rsidRPr="00F41628" w:rsidTr="00DC4AAC">
        <w:trPr>
          <w:trHeight w:val="292"/>
        </w:trPr>
        <w:tc>
          <w:tcPr>
            <w:tcW w:w="284" w:type="dxa"/>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val="restart"/>
            <w:tcBorders>
              <w:top w:val="nil"/>
              <w:left w:val="single" w:sz="8" w:space="0" w:color="auto"/>
              <w:right w:val="nil"/>
            </w:tcBorders>
            <w:shd w:val="clear" w:color="000000" w:fill="FFFFFF"/>
            <w:noWrap/>
            <w:vAlign w:val="center"/>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Americas</w:t>
            </w:r>
          </w:p>
          <w:p w:rsidR="00DC4AAC" w:rsidRPr="00F41628" w:rsidRDefault="00DC4AAC" w:rsidP="006B184C">
            <w:pPr>
              <w:spacing w:after="0" w:line="240" w:lineRule="auto"/>
              <w:rPr>
                <w:rFonts w:ascii="MS PGothic" w:eastAsia="MS PGothic" w:hAnsi="MS PGothic"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p w:rsidR="00DC4AAC" w:rsidRPr="00F41628" w:rsidRDefault="00DC4AAC" w:rsidP="006B184C">
            <w:pPr>
              <w:spacing w:after="0" w:line="240" w:lineRule="auto"/>
              <w:rPr>
                <w:rFonts w:ascii="MS PGothic" w:eastAsia="MS PGothic" w:hAnsi="MS PGothic"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tc>
        <w:tc>
          <w:tcPr>
            <w:tcW w:w="3511" w:type="dxa"/>
            <w:tcBorders>
              <w:top w:val="single" w:sz="8" w:space="0" w:color="000000"/>
              <w:left w:val="single" w:sz="8" w:space="0" w:color="auto"/>
              <w:bottom w:val="dotted" w:sz="4" w:space="0" w:color="auto"/>
              <w:right w:val="nil"/>
            </w:tcBorders>
            <w:shd w:val="clear" w:color="000000" w:fill="FFFFFF"/>
            <w:noWrap/>
            <w:vAlign w:val="center"/>
            <w:hideMark/>
          </w:tcPr>
          <w:p w:rsidR="00DC4AAC" w:rsidRPr="00F41628" w:rsidRDefault="00A034D9" w:rsidP="006B184C">
            <w:pPr>
              <w:spacing w:after="0" w:line="240" w:lineRule="auto"/>
              <w:rPr>
                <w:rFonts w:ascii="Calibri" w:eastAsia="Times New Roman" w:hAnsi="Calibri" w:cs="Times New Roman"/>
                <w:color w:val="0000FF"/>
                <w:sz w:val="20"/>
                <w:szCs w:val="20"/>
                <w:u w:val="single"/>
                <w:lang w:eastAsia="ja-JP"/>
              </w:rPr>
            </w:pPr>
            <w:hyperlink r:id="rId9" w:history="1">
              <w:r w:rsidR="00DC4AAC" w:rsidRPr="00F41628">
                <w:rPr>
                  <w:rFonts w:ascii="Calibri" w:eastAsia="Times New Roman" w:hAnsi="Calibri" w:cs="Times New Roman"/>
                  <w:color w:val="0000FF"/>
                  <w:sz w:val="20"/>
                  <w:szCs w:val="20"/>
                  <w:u w:val="single"/>
                  <w:lang w:eastAsia="ja-JP"/>
                </w:rPr>
                <w:t>United States (BLS)</w:t>
              </w:r>
            </w:hyperlink>
          </w:p>
        </w:tc>
        <w:tc>
          <w:tcPr>
            <w:tcW w:w="1546" w:type="dxa"/>
            <w:tcBorders>
              <w:top w:val="single" w:sz="8" w:space="0" w:color="000000"/>
              <w:left w:val="double" w:sz="6" w:space="0" w:color="auto"/>
              <w:bottom w:val="dotted" w:sz="4" w:space="0" w:color="auto"/>
              <w:right w:val="single" w:sz="8" w:space="0" w:color="auto"/>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5</w:t>
            </w:r>
          </w:p>
        </w:tc>
        <w:tc>
          <w:tcPr>
            <w:tcW w:w="1379" w:type="dxa"/>
            <w:tcBorders>
              <w:top w:val="single" w:sz="8" w:space="0" w:color="000000"/>
              <w:left w:val="nil"/>
              <w:bottom w:val="dotted" w:sz="4" w:space="0" w:color="auto"/>
              <w:right w:val="nil"/>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5</w:t>
            </w:r>
          </w:p>
        </w:tc>
        <w:tc>
          <w:tcPr>
            <w:tcW w:w="1032" w:type="dxa"/>
            <w:tcBorders>
              <w:top w:val="single" w:sz="8" w:space="0" w:color="000000"/>
              <w:left w:val="nil"/>
              <w:bottom w:val="dotted" w:sz="4" w:space="0" w:color="auto"/>
              <w:right w:val="single" w:sz="8" w:space="0" w:color="auto"/>
            </w:tcBorders>
            <w:shd w:val="clear" w:color="000000" w:fill="FFFFFF"/>
            <w:noWrap/>
            <w:vAlign w:val="bottom"/>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p>
        </w:tc>
        <w:tc>
          <w:tcPr>
            <w:tcW w:w="651" w:type="dxa"/>
            <w:gridSpan w:val="2"/>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rsidTr="00DC4AAC">
        <w:trPr>
          <w:trHeight w:val="292"/>
        </w:trPr>
        <w:tc>
          <w:tcPr>
            <w:tcW w:w="284" w:type="dxa"/>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right w:val="nil"/>
            </w:tcBorders>
            <w:shd w:val="clear" w:color="000000" w:fill="FFFFFF"/>
            <w:noWrap/>
            <w:vAlign w:val="center"/>
            <w:hideMark/>
          </w:tcPr>
          <w:p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dotted" w:sz="4" w:space="0" w:color="auto"/>
              <w:right w:val="nil"/>
            </w:tcBorders>
            <w:shd w:val="clear" w:color="000000" w:fill="FFFFFF"/>
            <w:vAlign w:val="center"/>
            <w:hideMark/>
          </w:tcPr>
          <w:p w:rsidR="00DC4AAC" w:rsidRPr="00F41628" w:rsidRDefault="00A034D9" w:rsidP="006B184C">
            <w:pPr>
              <w:spacing w:after="0" w:line="240" w:lineRule="auto"/>
              <w:rPr>
                <w:rFonts w:ascii="Calibri" w:eastAsia="Times New Roman" w:hAnsi="Calibri" w:cs="Times New Roman"/>
                <w:color w:val="0000FF"/>
                <w:sz w:val="20"/>
                <w:szCs w:val="20"/>
                <w:u w:val="single"/>
                <w:lang w:eastAsia="ja-JP"/>
              </w:rPr>
            </w:pPr>
            <w:hyperlink r:id="rId10" w:history="1">
              <w:r w:rsidR="00DC4AAC" w:rsidRPr="00F41628">
                <w:rPr>
                  <w:rFonts w:ascii="Calibri" w:eastAsia="Times New Roman" w:hAnsi="Calibri" w:cs="Times New Roman"/>
                  <w:color w:val="0000FF"/>
                  <w:sz w:val="20"/>
                  <w:szCs w:val="20"/>
                  <w:u w:val="single"/>
                  <w:lang w:eastAsia="ja-JP"/>
                </w:rPr>
                <w:t>Canada (Stat Canada)</w:t>
              </w:r>
            </w:hyperlink>
          </w:p>
        </w:tc>
        <w:tc>
          <w:tcPr>
            <w:tcW w:w="1546" w:type="dxa"/>
            <w:tcBorders>
              <w:top w:val="dotted" w:sz="4" w:space="0" w:color="auto"/>
              <w:left w:val="double" w:sz="6" w:space="0" w:color="auto"/>
              <w:bottom w:val="dotted" w:sz="4" w:space="0" w:color="auto"/>
              <w:right w:val="single" w:sz="8" w:space="0" w:color="auto"/>
            </w:tcBorders>
            <w:shd w:val="clear" w:color="000000" w:fill="FFFFFF"/>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379" w:type="dxa"/>
            <w:tcBorders>
              <w:top w:val="dotted" w:sz="4" w:space="0" w:color="auto"/>
              <w:left w:val="nil"/>
              <w:bottom w:val="dotted" w:sz="4" w:space="0" w:color="auto"/>
              <w:right w:val="nil"/>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651" w:type="dxa"/>
            <w:gridSpan w:val="2"/>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rsidTr="00DC4AAC">
        <w:trPr>
          <w:trHeight w:val="292"/>
        </w:trPr>
        <w:tc>
          <w:tcPr>
            <w:tcW w:w="284" w:type="dxa"/>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right w:val="nil"/>
            </w:tcBorders>
            <w:shd w:val="clear" w:color="000000" w:fill="FFFFFF"/>
            <w:noWrap/>
            <w:vAlign w:val="center"/>
            <w:hideMark/>
          </w:tcPr>
          <w:p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dotted" w:sz="4" w:space="0" w:color="auto"/>
              <w:right w:val="nil"/>
            </w:tcBorders>
            <w:shd w:val="clear" w:color="000000" w:fill="FFFFFF"/>
            <w:noWrap/>
            <w:vAlign w:val="center"/>
            <w:hideMark/>
          </w:tcPr>
          <w:p w:rsidR="00DC4AAC" w:rsidRPr="00F41628" w:rsidRDefault="00A034D9" w:rsidP="006B184C">
            <w:pPr>
              <w:spacing w:after="0" w:line="240" w:lineRule="auto"/>
              <w:rPr>
                <w:rFonts w:ascii="Calibri" w:eastAsia="Times New Roman" w:hAnsi="Calibri" w:cs="Times New Roman"/>
                <w:color w:val="0000FF"/>
                <w:sz w:val="20"/>
                <w:szCs w:val="20"/>
                <w:u w:val="single"/>
                <w:lang w:eastAsia="ja-JP"/>
              </w:rPr>
            </w:pPr>
            <w:hyperlink r:id="rId11" w:history="1">
              <w:r w:rsidR="00DC4AAC" w:rsidRPr="00F41628">
                <w:rPr>
                  <w:rFonts w:ascii="Calibri" w:eastAsia="Times New Roman" w:hAnsi="Calibri" w:cs="Times New Roman"/>
                  <w:color w:val="0000FF"/>
                  <w:sz w:val="20"/>
                  <w:szCs w:val="20"/>
                  <w:u w:val="single"/>
                  <w:lang w:eastAsia="ja-JP"/>
                </w:rPr>
                <w:t>Mexico (National Statistic Institution)</w:t>
              </w:r>
            </w:hyperlink>
          </w:p>
        </w:tc>
        <w:tc>
          <w:tcPr>
            <w:tcW w:w="1546" w:type="dxa"/>
            <w:tcBorders>
              <w:top w:val="dotted" w:sz="4" w:space="0" w:color="auto"/>
              <w:left w:val="double" w:sz="6" w:space="0" w:color="auto"/>
              <w:bottom w:val="dotted" w:sz="4" w:space="0" w:color="auto"/>
              <w:right w:val="single" w:sz="8" w:space="0" w:color="auto"/>
            </w:tcBorders>
            <w:shd w:val="clear" w:color="000000" w:fill="FFFFFF"/>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2</w:t>
            </w:r>
          </w:p>
        </w:tc>
        <w:tc>
          <w:tcPr>
            <w:tcW w:w="1379" w:type="dxa"/>
            <w:tcBorders>
              <w:top w:val="dotted" w:sz="4" w:space="0" w:color="auto"/>
              <w:left w:val="nil"/>
              <w:bottom w:val="dotted" w:sz="4" w:space="0" w:color="auto"/>
              <w:right w:val="nil"/>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p>
        </w:tc>
        <w:tc>
          <w:tcPr>
            <w:tcW w:w="651" w:type="dxa"/>
            <w:gridSpan w:val="2"/>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rsidTr="00DC4AAC">
        <w:trPr>
          <w:trHeight w:val="292"/>
        </w:trPr>
        <w:tc>
          <w:tcPr>
            <w:tcW w:w="284" w:type="dxa"/>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bottom w:val="single" w:sz="8" w:space="0" w:color="auto"/>
              <w:right w:val="nil"/>
            </w:tcBorders>
            <w:shd w:val="clear" w:color="000000" w:fill="FFFFFF"/>
            <w:noWrap/>
            <w:vAlign w:val="center"/>
            <w:hideMark/>
          </w:tcPr>
          <w:p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single" w:sz="8" w:space="0" w:color="000000"/>
              <w:right w:val="nil"/>
            </w:tcBorders>
            <w:shd w:val="clear" w:color="000000" w:fill="FFFFFF"/>
            <w:noWrap/>
            <w:vAlign w:val="center"/>
            <w:hideMark/>
          </w:tcPr>
          <w:p w:rsidR="00DC4AAC" w:rsidRPr="00F41628" w:rsidRDefault="00A034D9" w:rsidP="006B184C">
            <w:pPr>
              <w:spacing w:after="0" w:line="240" w:lineRule="auto"/>
              <w:rPr>
                <w:rFonts w:ascii="Calibri" w:eastAsia="Times New Roman" w:hAnsi="Calibri" w:cs="Times New Roman"/>
                <w:color w:val="0000FF"/>
                <w:sz w:val="20"/>
                <w:szCs w:val="20"/>
                <w:u w:val="single"/>
                <w:lang w:eastAsia="ja-JP"/>
              </w:rPr>
            </w:pPr>
            <w:hyperlink r:id="rId12" w:history="1">
              <w:r w:rsidR="00DC4AAC" w:rsidRPr="00F41628">
                <w:rPr>
                  <w:rFonts w:ascii="Calibri" w:eastAsia="Times New Roman" w:hAnsi="Calibri" w:cs="Times New Roman"/>
                  <w:color w:val="0000FF"/>
                  <w:sz w:val="20"/>
                  <w:szCs w:val="20"/>
                  <w:u w:val="single"/>
                  <w:lang w:eastAsia="ja-JP"/>
                </w:rPr>
                <w:t>Brazil (Central Bank)</w:t>
              </w:r>
            </w:hyperlink>
          </w:p>
        </w:tc>
        <w:tc>
          <w:tcPr>
            <w:tcW w:w="1546" w:type="dxa"/>
            <w:tcBorders>
              <w:top w:val="dotted" w:sz="4" w:space="0" w:color="auto"/>
              <w:left w:val="double" w:sz="6" w:space="0" w:color="auto"/>
              <w:bottom w:val="single" w:sz="8" w:space="0" w:color="000000"/>
              <w:right w:val="single" w:sz="8" w:space="0" w:color="auto"/>
            </w:tcBorders>
            <w:shd w:val="clear" w:color="000000" w:fill="FFFFFF"/>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p>
        </w:tc>
        <w:tc>
          <w:tcPr>
            <w:tcW w:w="1379" w:type="dxa"/>
            <w:tcBorders>
              <w:top w:val="dotted" w:sz="4" w:space="0" w:color="auto"/>
              <w:left w:val="nil"/>
              <w:bottom w:val="single" w:sz="8" w:space="0" w:color="000000"/>
              <w:right w:val="nil"/>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p>
        </w:tc>
        <w:tc>
          <w:tcPr>
            <w:tcW w:w="1032" w:type="dxa"/>
            <w:tcBorders>
              <w:top w:val="dotted" w:sz="4" w:space="0" w:color="auto"/>
              <w:left w:val="nil"/>
              <w:bottom w:val="single" w:sz="8" w:space="0" w:color="000000"/>
              <w:right w:val="single" w:sz="8" w:space="0" w:color="auto"/>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p>
        </w:tc>
        <w:tc>
          <w:tcPr>
            <w:tcW w:w="651" w:type="dxa"/>
            <w:gridSpan w:val="2"/>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rsidTr="00DC4AAC">
        <w:trPr>
          <w:trHeight w:val="292"/>
        </w:trPr>
        <w:tc>
          <w:tcPr>
            <w:tcW w:w="284" w:type="dxa"/>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val="restart"/>
            <w:tcBorders>
              <w:top w:val="nil"/>
              <w:left w:val="single" w:sz="8" w:space="0" w:color="auto"/>
              <w:right w:val="nil"/>
            </w:tcBorders>
            <w:shd w:val="clear" w:color="000000" w:fill="FFFFFF"/>
            <w:noWrap/>
            <w:vAlign w:val="center"/>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Eurozone</w:t>
            </w:r>
          </w:p>
          <w:p w:rsidR="00DC4AAC" w:rsidRPr="00F41628" w:rsidRDefault="00DC4AAC" w:rsidP="006B184C">
            <w:pPr>
              <w:spacing w:after="0" w:line="240" w:lineRule="auto"/>
              <w:rPr>
                <w:rFonts w:ascii="MS PGothic" w:eastAsia="MS PGothic" w:hAnsi="MS PGothic"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p w:rsidR="00DC4AAC" w:rsidRPr="00F41628" w:rsidRDefault="00DC4AAC" w:rsidP="006B184C">
            <w:pPr>
              <w:spacing w:after="0" w:line="240" w:lineRule="auto"/>
              <w:rPr>
                <w:rFonts w:ascii="MS PGothic" w:eastAsia="MS PGothic" w:hAnsi="MS PGothic"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p w:rsidR="00DC4AAC" w:rsidRPr="00F41628" w:rsidRDefault="00DC4AAC" w:rsidP="006B184C">
            <w:pPr>
              <w:spacing w:after="0" w:line="240" w:lineRule="auto"/>
              <w:rPr>
                <w:rFonts w:ascii="MS PGothic" w:eastAsia="MS PGothic" w:hAnsi="MS PGothic"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p w:rsidR="00DC4AAC" w:rsidRPr="00F41628" w:rsidRDefault="00DC4AAC" w:rsidP="006B184C">
            <w:pPr>
              <w:spacing w:after="0" w:line="240" w:lineRule="auto"/>
              <w:rPr>
                <w:rFonts w:ascii="MS PGothic" w:eastAsia="MS PGothic" w:hAnsi="MS PGothic"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p w:rsidR="00DC4AAC" w:rsidRPr="00F41628" w:rsidRDefault="00DC4AAC" w:rsidP="006B184C">
            <w:pPr>
              <w:spacing w:after="0" w:line="240" w:lineRule="auto"/>
              <w:rPr>
                <w:rFonts w:ascii="MS PGothic" w:eastAsia="MS PGothic" w:hAnsi="MS PGothic"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p w:rsidR="00DC4AAC" w:rsidRPr="00F41628" w:rsidRDefault="00DC4AAC" w:rsidP="006B184C">
            <w:pPr>
              <w:spacing w:after="0" w:line="240" w:lineRule="auto"/>
              <w:rPr>
                <w:rFonts w:ascii="MS PGothic" w:eastAsia="MS PGothic" w:hAnsi="MS PGothic"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p w:rsidR="00DC4AAC" w:rsidRPr="00F41628" w:rsidRDefault="00DC4AAC" w:rsidP="006B184C">
            <w:pPr>
              <w:spacing w:after="0" w:line="240" w:lineRule="auto"/>
              <w:rPr>
                <w:rFonts w:ascii="MS PGothic" w:eastAsia="MS PGothic" w:hAnsi="MS PGothic"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tc>
        <w:tc>
          <w:tcPr>
            <w:tcW w:w="3511" w:type="dxa"/>
            <w:tcBorders>
              <w:top w:val="single" w:sz="8" w:space="0" w:color="000000"/>
              <w:left w:val="single" w:sz="8" w:space="0" w:color="auto"/>
              <w:bottom w:val="dotted" w:sz="4" w:space="0" w:color="auto"/>
              <w:right w:val="double" w:sz="4" w:space="0" w:color="auto"/>
            </w:tcBorders>
            <w:shd w:val="clear" w:color="000000" w:fill="FFFFFF"/>
            <w:noWrap/>
            <w:vAlign w:val="bottom"/>
            <w:hideMark/>
          </w:tcPr>
          <w:p w:rsidR="00DC4AAC" w:rsidRPr="00F41628" w:rsidRDefault="00A034D9" w:rsidP="006B184C">
            <w:pPr>
              <w:spacing w:after="0" w:line="240" w:lineRule="auto"/>
              <w:rPr>
                <w:rFonts w:ascii="Calibri" w:eastAsia="Times New Roman" w:hAnsi="Calibri" w:cs="Times New Roman"/>
                <w:color w:val="0000FF"/>
                <w:sz w:val="20"/>
                <w:szCs w:val="20"/>
                <w:u w:val="single"/>
                <w:lang w:eastAsia="ja-JP"/>
              </w:rPr>
            </w:pPr>
            <w:hyperlink r:id="rId13" w:history="1">
              <w:r w:rsidR="00DC4AAC" w:rsidRPr="00F41628">
                <w:rPr>
                  <w:rFonts w:ascii="Calibri" w:eastAsia="Times New Roman" w:hAnsi="Calibri" w:cs="Times New Roman"/>
                  <w:color w:val="0000FF"/>
                  <w:sz w:val="20"/>
                  <w:szCs w:val="20"/>
                  <w:u w:val="single"/>
                  <w:lang w:eastAsia="ja-JP"/>
                </w:rPr>
                <w:t>Belgium (Directorate-general Statistics)</w:t>
              </w:r>
            </w:hyperlink>
          </w:p>
        </w:tc>
        <w:tc>
          <w:tcPr>
            <w:tcW w:w="1546" w:type="dxa"/>
            <w:tcBorders>
              <w:top w:val="single" w:sz="8" w:space="0" w:color="000000"/>
              <w:left w:val="double" w:sz="4" w:space="0" w:color="auto"/>
              <w:bottom w:val="dotted" w:sz="4" w:space="0" w:color="auto"/>
              <w:right w:val="single" w:sz="8" w:space="0" w:color="auto"/>
            </w:tcBorders>
            <w:shd w:val="clear" w:color="000000" w:fill="FFFFFF"/>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5</w:t>
            </w:r>
          </w:p>
        </w:tc>
        <w:tc>
          <w:tcPr>
            <w:tcW w:w="1379" w:type="dxa"/>
            <w:tcBorders>
              <w:top w:val="single" w:sz="8" w:space="0" w:color="000000"/>
              <w:left w:val="nil"/>
              <w:bottom w:val="dotted" w:sz="4" w:space="0" w:color="auto"/>
              <w:right w:val="nil"/>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2</w:t>
            </w:r>
          </w:p>
        </w:tc>
        <w:tc>
          <w:tcPr>
            <w:tcW w:w="1032" w:type="dxa"/>
            <w:tcBorders>
              <w:top w:val="single" w:sz="8" w:space="0" w:color="000000"/>
              <w:left w:val="nil"/>
              <w:bottom w:val="dotted" w:sz="4" w:space="0" w:color="auto"/>
              <w:right w:val="single" w:sz="8" w:space="0" w:color="auto"/>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2</w:t>
            </w:r>
          </w:p>
        </w:tc>
        <w:tc>
          <w:tcPr>
            <w:tcW w:w="651" w:type="dxa"/>
            <w:gridSpan w:val="2"/>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rsidTr="00DC4AAC">
        <w:trPr>
          <w:trHeight w:val="292"/>
        </w:trPr>
        <w:tc>
          <w:tcPr>
            <w:tcW w:w="284" w:type="dxa"/>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right w:val="nil"/>
            </w:tcBorders>
            <w:shd w:val="clear" w:color="000000" w:fill="FFFFFF"/>
            <w:noWrap/>
            <w:vAlign w:val="center"/>
            <w:hideMark/>
          </w:tcPr>
          <w:p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dotted" w:sz="4" w:space="0" w:color="auto"/>
              <w:right w:val="double" w:sz="4" w:space="0" w:color="auto"/>
            </w:tcBorders>
            <w:shd w:val="clear" w:color="000000" w:fill="FFFFFF"/>
            <w:noWrap/>
            <w:vAlign w:val="center"/>
            <w:hideMark/>
          </w:tcPr>
          <w:p w:rsidR="00DC4AAC" w:rsidRPr="00F41628" w:rsidRDefault="00A034D9" w:rsidP="006B184C">
            <w:pPr>
              <w:spacing w:after="0" w:line="240" w:lineRule="auto"/>
              <w:rPr>
                <w:rFonts w:ascii="Calibri" w:eastAsia="Times New Roman" w:hAnsi="Calibri" w:cs="Times New Roman"/>
                <w:color w:val="0000FF"/>
                <w:sz w:val="20"/>
                <w:szCs w:val="20"/>
                <w:u w:val="single"/>
                <w:lang w:eastAsia="ja-JP"/>
              </w:rPr>
            </w:pPr>
            <w:hyperlink r:id="rId14" w:history="1">
              <w:r w:rsidR="00DC4AAC" w:rsidRPr="00F41628">
                <w:rPr>
                  <w:rFonts w:ascii="Calibri" w:eastAsia="Times New Roman" w:hAnsi="Calibri" w:cs="Times New Roman"/>
                  <w:color w:val="0000FF"/>
                  <w:sz w:val="20"/>
                  <w:szCs w:val="20"/>
                  <w:u w:val="single"/>
                  <w:lang w:eastAsia="ja-JP"/>
                </w:rPr>
                <w:t>Finland (Stat Finland)</w:t>
              </w:r>
            </w:hyperlink>
          </w:p>
        </w:tc>
        <w:tc>
          <w:tcPr>
            <w:tcW w:w="1546" w:type="dxa"/>
            <w:tcBorders>
              <w:top w:val="dotted" w:sz="4" w:space="0" w:color="auto"/>
              <w:left w:val="double" w:sz="4" w:space="0" w:color="auto"/>
              <w:bottom w:val="dotted" w:sz="4" w:space="0" w:color="auto"/>
              <w:right w:val="single" w:sz="8" w:space="0" w:color="auto"/>
            </w:tcBorders>
            <w:shd w:val="clear" w:color="000000" w:fill="FFFFFF"/>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379" w:type="dxa"/>
            <w:tcBorders>
              <w:top w:val="dotted" w:sz="4" w:space="0" w:color="auto"/>
              <w:left w:val="nil"/>
              <w:bottom w:val="dotted" w:sz="4" w:space="0" w:color="auto"/>
              <w:right w:val="nil"/>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2</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651" w:type="dxa"/>
            <w:gridSpan w:val="2"/>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rsidTr="00DC4AAC">
        <w:trPr>
          <w:trHeight w:val="292"/>
        </w:trPr>
        <w:tc>
          <w:tcPr>
            <w:tcW w:w="284" w:type="dxa"/>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right w:val="nil"/>
            </w:tcBorders>
            <w:shd w:val="clear" w:color="000000" w:fill="FFFFFF"/>
            <w:noWrap/>
            <w:vAlign w:val="center"/>
            <w:hideMark/>
          </w:tcPr>
          <w:p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dotted" w:sz="4" w:space="0" w:color="auto"/>
              <w:right w:val="double" w:sz="4" w:space="0" w:color="auto"/>
            </w:tcBorders>
            <w:shd w:val="clear" w:color="000000" w:fill="FFFFFF"/>
            <w:noWrap/>
            <w:vAlign w:val="center"/>
            <w:hideMark/>
          </w:tcPr>
          <w:p w:rsidR="00DC4AAC" w:rsidRPr="00F41628" w:rsidRDefault="00A034D9" w:rsidP="006B184C">
            <w:pPr>
              <w:spacing w:after="0" w:line="240" w:lineRule="auto"/>
              <w:rPr>
                <w:rFonts w:ascii="Calibri" w:eastAsia="Times New Roman" w:hAnsi="Calibri" w:cs="Times New Roman"/>
                <w:color w:val="0000FF"/>
                <w:sz w:val="20"/>
                <w:szCs w:val="20"/>
                <w:u w:val="single"/>
                <w:lang w:eastAsia="ja-JP"/>
              </w:rPr>
            </w:pPr>
            <w:hyperlink r:id="rId15" w:history="1">
              <w:r w:rsidR="00DC4AAC" w:rsidRPr="00F41628">
                <w:rPr>
                  <w:rFonts w:ascii="Calibri" w:eastAsia="Times New Roman" w:hAnsi="Calibri" w:cs="Times New Roman"/>
                  <w:color w:val="0000FF"/>
                  <w:sz w:val="20"/>
                  <w:szCs w:val="20"/>
                  <w:u w:val="single"/>
                  <w:lang w:eastAsia="ja-JP"/>
                </w:rPr>
                <w:t>France (INSEE)</w:t>
              </w:r>
            </w:hyperlink>
          </w:p>
        </w:tc>
        <w:tc>
          <w:tcPr>
            <w:tcW w:w="1546" w:type="dxa"/>
            <w:tcBorders>
              <w:top w:val="dotted" w:sz="4" w:space="0" w:color="auto"/>
              <w:left w:val="double" w:sz="4" w:space="0" w:color="auto"/>
              <w:bottom w:val="dotted" w:sz="4" w:space="0" w:color="auto"/>
              <w:right w:val="single" w:sz="8" w:space="0" w:color="auto"/>
            </w:tcBorders>
            <w:shd w:val="clear" w:color="000000" w:fill="FFFFFF"/>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2</w:t>
            </w:r>
          </w:p>
        </w:tc>
        <w:tc>
          <w:tcPr>
            <w:tcW w:w="1379" w:type="dxa"/>
            <w:tcBorders>
              <w:top w:val="dotted" w:sz="4" w:space="0" w:color="auto"/>
              <w:left w:val="nil"/>
              <w:bottom w:val="dotted" w:sz="4" w:space="0" w:color="auto"/>
              <w:right w:val="nil"/>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p>
        </w:tc>
        <w:tc>
          <w:tcPr>
            <w:tcW w:w="651" w:type="dxa"/>
            <w:gridSpan w:val="2"/>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rsidTr="00DC4AAC">
        <w:trPr>
          <w:trHeight w:val="292"/>
        </w:trPr>
        <w:tc>
          <w:tcPr>
            <w:tcW w:w="284" w:type="dxa"/>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right w:val="nil"/>
            </w:tcBorders>
            <w:shd w:val="clear" w:color="000000" w:fill="FFFFFF"/>
            <w:noWrap/>
            <w:vAlign w:val="center"/>
            <w:hideMark/>
          </w:tcPr>
          <w:p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dotted" w:sz="4" w:space="0" w:color="auto"/>
              <w:right w:val="double" w:sz="4" w:space="0" w:color="auto"/>
            </w:tcBorders>
            <w:shd w:val="clear" w:color="000000" w:fill="FFFFFF"/>
            <w:noWrap/>
            <w:vAlign w:val="center"/>
            <w:hideMark/>
          </w:tcPr>
          <w:p w:rsidR="00DC4AAC" w:rsidRPr="00F41628" w:rsidRDefault="00A034D9" w:rsidP="006B184C">
            <w:pPr>
              <w:spacing w:after="0" w:line="240" w:lineRule="auto"/>
              <w:rPr>
                <w:rFonts w:ascii="Calibri" w:eastAsia="Times New Roman" w:hAnsi="Calibri" w:cs="Times New Roman"/>
                <w:color w:val="0000FF"/>
                <w:sz w:val="20"/>
                <w:szCs w:val="20"/>
                <w:u w:val="single"/>
                <w:lang w:eastAsia="ja-JP"/>
              </w:rPr>
            </w:pPr>
            <w:hyperlink r:id="rId16" w:history="1">
              <w:r w:rsidR="00DC4AAC" w:rsidRPr="00F41628">
                <w:rPr>
                  <w:rFonts w:ascii="Calibri" w:eastAsia="Times New Roman" w:hAnsi="Calibri" w:cs="Times New Roman"/>
                  <w:color w:val="0000FF"/>
                  <w:sz w:val="20"/>
                  <w:szCs w:val="20"/>
                  <w:u w:val="single"/>
                  <w:lang w:eastAsia="ja-JP"/>
                </w:rPr>
                <w:t>Germany (Statistisches Bundesamt )</w:t>
              </w:r>
            </w:hyperlink>
          </w:p>
        </w:tc>
        <w:tc>
          <w:tcPr>
            <w:tcW w:w="1546" w:type="dxa"/>
            <w:tcBorders>
              <w:top w:val="dotted" w:sz="4" w:space="0" w:color="auto"/>
              <w:left w:val="double" w:sz="4" w:space="0" w:color="auto"/>
              <w:bottom w:val="dotted" w:sz="4" w:space="0" w:color="auto"/>
              <w:right w:val="single" w:sz="8" w:space="0" w:color="auto"/>
            </w:tcBorders>
            <w:shd w:val="clear" w:color="000000" w:fill="FFFFFF"/>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379" w:type="dxa"/>
            <w:tcBorders>
              <w:top w:val="dotted" w:sz="4" w:space="0" w:color="auto"/>
              <w:left w:val="nil"/>
              <w:bottom w:val="dotted" w:sz="4" w:space="0" w:color="auto"/>
              <w:right w:val="nil"/>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651" w:type="dxa"/>
            <w:gridSpan w:val="2"/>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rsidTr="00DC4AAC">
        <w:trPr>
          <w:trHeight w:val="292"/>
        </w:trPr>
        <w:tc>
          <w:tcPr>
            <w:tcW w:w="284" w:type="dxa"/>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right w:val="nil"/>
            </w:tcBorders>
            <w:shd w:val="clear" w:color="000000" w:fill="FFFFFF"/>
            <w:noWrap/>
            <w:vAlign w:val="center"/>
            <w:hideMark/>
          </w:tcPr>
          <w:p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dotted" w:sz="4" w:space="0" w:color="auto"/>
              <w:right w:val="double" w:sz="4" w:space="0" w:color="auto"/>
            </w:tcBorders>
            <w:shd w:val="clear" w:color="000000" w:fill="FFFFFF"/>
            <w:noWrap/>
            <w:vAlign w:val="center"/>
            <w:hideMark/>
          </w:tcPr>
          <w:p w:rsidR="00DC4AAC" w:rsidRPr="00F41628" w:rsidRDefault="00A034D9" w:rsidP="006B184C">
            <w:pPr>
              <w:spacing w:after="0" w:line="240" w:lineRule="auto"/>
              <w:rPr>
                <w:rFonts w:ascii="Calibri" w:eastAsia="Times New Roman" w:hAnsi="Calibri" w:cs="Times New Roman"/>
                <w:color w:val="0000FF"/>
                <w:sz w:val="20"/>
                <w:szCs w:val="20"/>
                <w:u w:val="single"/>
                <w:lang w:eastAsia="ja-JP"/>
              </w:rPr>
            </w:pPr>
            <w:hyperlink r:id="rId17" w:history="1">
              <w:r w:rsidR="00DC4AAC" w:rsidRPr="00F41628">
                <w:rPr>
                  <w:rFonts w:ascii="Calibri" w:eastAsia="Times New Roman" w:hAnsi="Calibri" w:cs="Times New Roman"/>
                  <w:color w:val="0000FF"/>
                  <w:sz w:val="20"/>
                  <w:szCs w:val="20"/>
                  <w:u w:val="single"/>
                  <w:lang w:eastAsia="ja-JP"/>
                </w:rPr>
                <w:t>Ireland (Central Statistics Office)</w:t>
              </w:r>
            </w:hyperlink>
          </w:p>
        </w:tc>
        <w:tc>
          <w:tcPr>
            <w:tcW w:w="1546" w:type="dxa"/>
            <w:tcBorders>
              <w:top w:val="dotted" w:sz="4" w:space="0" w:color="auto"/>
              <w:left w:val="double" w:sz="4" w:space="0" w:color="auto"/>
              <w:bottom w:val="dotted" w:sz="4" w:space="0" w:color="auto"/>
              <w:right w:val="single" w:sz="8" w:space="0" w:color="auto"/>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2</w:t>
            </w:r>
          </w:p>
        </w:tc>
        <w:tc>
          <w:tcPr>
            <w:tcW w:w="1379" w:type="dxa"/>
            <w:tcBorders>
              <w:top w:val="dotted" w:sz="4" w:space="0" w:color="auto"/>
              <w:left w:val="nil"/>
              <w:bottom w:val="dotted" w:sz="4" w:space="0" w:color="auto"/>
              <w:right w:val="nil"/>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651" w:type="dxa"/>
            <w:gridSpan w:val="2"/>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rsidTr="00DC4AAC">
        <w:trPr>
          <w:trHeight w:val="292"/>
        </w:trPr>
        <w:tc>
          <w:tcPr>
            <w:tcW w:w="284" w:type="dxa"/>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right w:val="nil"/>
            </w:tcBorders>
            <w:shd w:val="clear" w:color="000000" w:fill="FFFFFF"/>
            <w:noWrap/>
            <w:vAlign w:val="center"/>
            <w:hideMark/>
          </w:tcPr>
          <w:p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dotted" w:sz="4" w:space="0" w:color="auto"/>
              <w:right w:val="double" w:sz="4" w:space="0" w:color="auto"/>
            </w:tcBorders>
            <w:shd w:val="clear" w:color="000000" w:fill="FFFFFF"/>
            <w:noWrap/>
            <w:vAlign w:val="center"/>
            <w:hideMark/>
          </w:tcPr>
          <w:p w:rsidR="00DC4AAC" w:rsidRPr="00F41628" w:rsidRDefault="00A034D9" w:rsidP="006B184C">
            <w:pPr>
              <w:spacing w:after="0" w:line="240" w:lineRule="auto"/>
              <w:rPr>
                <w:rFonts w:ascii="Calibri" w:eastAsia="Times New Roman" w:hAnsi="Calibri" w:cs="Times New Roman"/>
                <w:color w:val="0000FF"/>
                <w:sz w:val="20"/>
                <w:szCs w:val="20"/>
                <w:u w:val="single"/>
                <w:lang w:eastAsia="ja-JP"/>
              </w:rPr>
            </w:pPr>
            <w:hyperlink r:id="rId18" w:history="1">
              <w:r w:rsidR="00DC4AAC" w:rsidRPr="00F41628">
                <w:rPr>
                  <w:rFonts w:ascii="Calibri" w:eastAsia="Times New Roman" w:hAnsi="Calibri" w:cs="Times New Roman"/>
                  <w:color w:val="0000FF"/>
                  <w:sz w:val="20"/>
                  <w:szCs w:val="20"/>
                  <w:u w:val="single"/>
                  <w:lang w:eastAsia="ja-JP"/>
                </w:rPr>
                <w:t>Italy (Istituto Nazionale di Statistica)</w:t>
              </w:r>
            </w:hyperlink>
          </w:p>
        </w:tc>
        <w:tc>
          <w:tcPr>
            <w:tcW w:w="1546" w:type="dxa"/>
            <w:tcBorders>
              <w:top w:val="dotted" w:sz="4" w:space="0" w:color="auto"/>
              <w:left w:val="double" w:sz="4" w:space="0" w:color="auto"/>
              <w:bottom w:val="dotted" w:sz="4" w:space="0" w:color="auto"/>
              <w:right w:val="single" w:sz="8" w:space="0" w:color="auto"/>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4</w:t>
            </w:r>
          </w:p>
        </w:tc>
        <w:tc>
          <w:tcPr>
            <w:tcW w:w="1379" w:type="dxa"/>
            <w:tcBorders>
              <w:top w:val="dotted" w:sz="4" w:space="0" w:color="auto"/>
              <w:left w:val="nil"/>
              <w:bottom w:val="dotted" w:sz="4" w:space="0" w:color="auto"/>
              <w:right w:val="nil"/>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651" w:type="dxa"/>
            <w:gridSpan w:val="2"/>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rsidTr="00DC4AAC">
        <w:trPr>
          <w:trHeight w:val="292"/>
        </w:trPr>
        <w:tc>
          <w:tcPr>
            <w:tcW w:w="284" w:type="dxa"/>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right w:val="nil"/>
            </w:tcBorders>
            <w:shd w:val="clear" w:color="000000" w:fill="FFFFFF"/>
            <w:noWrap/>
            <w:vAlign w:val="center"/>
            <w:hideMark/>
          </w:tcPr>
          <w:p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dotted" w:sz="4" w:space="0" w:color="auto"/>
              <w:right w:val="double" w:sz="4" w:space="0" w:color="auto"/>
            </w:tcBorders>
            <w:shd w:val="clear" w:color="000000" w:fill="FFFFFF"/>
            <w:noWrap/>
            <w:vAlign w:val="center"/>
            <w:hideMark/>
          </w:tcPr>
          <w:p w:rsidR="00DC4AAC" w:rsidRPr="00F41628" w:rsidRDefault="00A034D9" w:rsidP="006B184C">
            <w:pPr>
              <w:spacing w:after="0" w:line="240" w:lineRule="auto"/>
              <w:rPr>
                <w:rFonts w:ascii="Calibri" w:eastAsia="Times New Roman" w:hAnsi="Calibri" w:cs="Times New Roman"/>
                <w:color w:val="0000FF"/>
                <w:sz w:val="20"/>
                <w:szCs w:val="20"/>
                <w:u w:val="single"/>
                <w:lang w:val="nl-NL" w:eastAsia="ja-JP"/>
              </w:rPr>
            </w:pPr>
            <w:hyperlink r:id="rId19" w:history="1">
              <w:r w:rsidR="00DC4AAC" w:rsidRPr="00F41628">
                <w:rPr>
                  <w:rFonts w:ascii="Calibri" w:eastAsia="Times New Roman" w:hAnsi="Calibri" w:cs="Times New Roman"/>
                  <w:color w:val="0000FF"/>
                  <w:sz w:val="20"/>
                  <w:szCs w:val="20"/>
                  <w:u w:val="single"/>
                  <w:lang w:val="nl-NL" w:eastAsia="ja-JP"/>
                </w:rPr>
                <w:t xml:space="preserve">NL (Centraal Bureau voor de Statistiek) </w:t>
              </w:r>
            </w:hyperlink>
          </w:p>
        </w:tc>
        <w:tc>
          <w:tcPr>
            <w:tcW w:w="1546" w:type="dxa"/>
            <w:tcBorders>
              <w:top w:val="dotted" w:sz="4" w:space="0" w:color="auto"/>
              <w:left w:val="double" w:sz="4" w:space="0" w:color="auto"/>
              <w:bottom w:val="dotted" w:sz="4" w:space="0" w:color="auto"/>
              <w:right w:val="single" w:sz="8" w:space="0" w:color="auto"/>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379" w:type="dxa"/>
            <w:tcBorders>
              <w:top w:val="dotted" w:sz="4" w:space="0" w:color="auto"/>
              <w:left w:val="nil"/>
              <w:bottom w:val="dotted" w:sz="4" w:space="0" w:color="auto"/>
              <w:right w:val="nil"/>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651" w:type="dxa"/>
            <w:gridSpan w:val="2"/>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rsidTr="00DC4AAC">
        <w:trPr>
          <w:trHeight w:val="292"/>
        </w:trPr>
        <w:tc>
          <w:tcPr>
            <w:tcW w:w="284" w:type="dxa"/>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right w:val="nil"/>
            </w:tcBorders>
            <w:shd w:val="clear" w:color="000000" w:fill="FFFFFF"/>
            <w:noWrap/>
            <w:vAlign w:val="center"/>
            <w:hideMark/>
          </w:tcPr>
          <w:p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dotted" w:sz="4" w:space="0" w:color="auto"/>
              <w:right w:val="double" w:sz="4" w:space="0" w:color="auto"/>
            </w:tcBorders>
            <w:shd w:val="clear" w:color="000000" w:fill="FFFFFF"/>
            <w:noWrap/>
            <w:vAlign w:val="center"/>
            <w:hideMark/>
          </w:tcPr>
          <w:p w:rsidR="00DC4AAC" w:rsidRPr="00F41628" w:rsidRDefault="00A034D9" w:rsidP="006B184C">
            <w:pPr>
              <w:spacing w:after="0" w:line="240" w:lineRule="auto"/>
              <w:rPr>
                <w:rFonts w:ascii="Calibri" w:eastAsia="Times New Roman" w:hAnsi="Calibri" w:cs="Times New Roman"/>
                <w:color w:val="0000FF"/>
                <w:sz w:val="20"/>
                <w:szCs w:val="20"/>
                <w:u w:val="single"/>
                <w:lang w:eastAsia="ja-JP"/>
              </w:rPr>
            </w:pPr>
            <w:hyperlink r:id="rId20" w:history="1">
              <w:r w:rsidR="00DC4AAC" w:rsidRPr="00F41628">
                <w:rPr>
                  <w:rFonts w:ascii="Calibri" w:eastAsia="Times New Roman" w:hAnsi="Calibri" w:cs="Times New Roman"/>
                  <w:color w:val="0000FF"/>
                  <w:sz w:val="20"/>
                  <w:szCs w:val="20"/>
                  <w:u w:val="single"/>
                  <w:lang w:eastAsia="ja-JP"/>
                </w:rPr>
                <w:t xml:space="preserve">Spain (Instituto Nacional de Estadistica) </w:t>
              </w:r>
            </w:hyperlink>
          </w:p>
        </w:tc>
        <w:tc>
          <w:tcPr>
            <w:tcW w:w="1546" w:type="dxa"/>
            <w:tcBorders>
              <w:top w:val="dotted" w:sz="4" w:space="0" w:color="auto"/>
              <w:left w:val="double" w:sz="4" w:space="0" w:color="auto"/>
              <w:bottom w:val="dotted" w:sz="4" w:space="0" w:color="auto"/>
              <w:right w:val="single" w:sz="8" w:space="0" w:color="auto"/>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2</w:t>
            </w:r>
          </w:p>
        </w:tc>
        <w:tc>
          <w:tcPr>
            <w:tcW w:w="1379" w:type="dxa"/>
            <w:tcBorders>
              <w:top w:val="dotted" w:sz="4" w:space="0" w:color="auto"/>
              <w:left w:val="nil"/>
              <w:bottom w:val="dotted" w:sz="4" w:space="0" w:color="auto"/>
              <w:right w:val="nil"/>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651" w:type="dxa"/>
            <w:gridSpan w:val="2"/>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DC4AAC" w:rsidRPr="00F41628" w:rsidTr="00DC4AAC">
        <w:trPr>
          <w:trHeight w:val="292"/>
        </w:trPr>
        <w:tc>
          <w:tcPr>
            <w:tcW w:w="284" w:type="dxa"/>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bottom w:val="single" w:sz="8" w:space="0" w:color="auto"/>
              <w:right w:val="nil"/>
            </w:tcBorders>
            <w:shd w:val="clear" w:color="000000" w:fill="FFFFFF"/>
            <w:noWrap/>
            <w:vAlign w:val="center"/>
            <w:hideMark/>
          </w:tcPr>
          <w:p w:rsidR="00DC4AAC" w:rsidRPr="00F41628" w:rsidRDefault="00DC4AAC"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single" w:sz="8" w:space="0" w:color="auto"/>
              <w:bottom w:val="single" w:sz="8" w:space="0" w:color="auto"/>
              <w:right w:val="double" w:sz="4" w:space="0" w:color="auto"/>
            </w:tcBorders>
            <w:shd w:val="clear" w:color="000000" w:fill="FFFFFF"/>
            <w:noWrap/>
            <w:vAlign w:val="center"/>
            <w:hideMark/>
          </w:tcPr>
          <w:p w:rsidR="00DC4AAC" w:rsidRPr="00F41628" w:rsidRDefault="00A034D9" w:rsidP="006B184C">
            <w:pPr>
              <w:spacing w:after="0" w:line="240" w:lineRule="auto"/>
              <w:rPr>
                <w:rFonts w:ascii="Calibri" w:eastAsia="Times New Roman" w:hAnsi="Calibri" w:cs="Times New Roman"/>
                <w:color w:val="0000FF"/>
                <w:sz w:val="20"/>
                <w:szCs w:val="20"/>
                <w:u w:val="single"/>
                <w:lang w:eastAsia="ja-JP"/>
              </w:rPr>
            </w:pPr>
            <w:hyperlink r:id="rId21" w:history="1">
              <w:r w:rsidR="00DC4AAC" w:rsidRPr="00F41628">
                <w:rPr>
                  <w:rFonts w:ascii="Calibri" w:eastAsia="Times New Roman" w:hAnsi="Calibri" w:cs="Times New Roman"/>
                  <w:color w:val="0000FF"/>
                  <w:sz w:val="20"/>
                  <w:szCs w:val="20"/>
                  <w:u w:val="single"/>
                  <w:lang w:eastAsia="ja-JP"/>
                </w:rPr>
                <w:t>Eurozone (Eurostat)</w:t>
              </w:r>
            </w:hyperlink>
          </w:p>
        </w:tc>
        <w:tc>
          <w:tcPr>
            <w:tcW w:w="1546" w:type="dxa"/>
            <w:tcBorders>
              <w:top w:val="dotted" w:sz="4" w:space="0" w:color="auto"/>
              <w:left w:val="double" w:sz="4" w:space="0" w:color="auto"/>
              <w:bottom w:val="single" w:sz="8" w:space="0" w:color="auto"/>
              <w:right w:val="single" w:sz="8" w:space="0" w:color="auto"/>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379" w:type="dxa"/>
            <w:tcBorders>
              <w:top w:val="dotted" w:sz="4" w:space="0" w:color="auto"/>
              <w:left w:val="nil"/>
              <w:bottom w:val="single" w:sz="8" w:space="0" w:color="auto"/>
              <w:right w:val="nil"/>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dotted" w:sz="4" w:space="0" w:color="auto"/>
              <w:left w:val="nil"/>
              <w:bottom w:val="single" w:sz="8" w:space="0" w:color="auto"/>
              <w:right w:val="single" w:sz="8" w:space="0" w:color="auto"/>
            </w:tcBorders>
            <w:shd w:val="clear" w:color="000000" w:fill="FFFFFF"/>
            <w:noWrap/>
            <w:vAlign w:val="center"/>
            <w:hideMark/>
          </w:tcPr>
          <w:p w:rsidR="00DC4AAC" w:rsidRPr="00F41628" w:rsidRDefault="00DC4AA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651" w:type="dxa"/>
            <w:gridSpan w:val="2"/>
            <w:tcBorders>
              <w:top w:val="nil"/>
              <w:left w:val="nil"/>
              <w:bottom w:val="nil"/>
              <w:right w:val="nil"/>
            </w:tcBorders>
            <w:shd w:val="clear" w:color="000000" w:fill="FFFFFF"/>
            <w:noWrap/>
            <w:vAlign w:val="bottom"/>
            <w:hideMark/>
          </w:tcPr>
          <w:p w:rsidR="00DC4AAC" w:rsidRPr="00F41628" w:rsidRDefault="00DC4AA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03037F" w:rsidRPr="00F41628" w:rsidTr="00EA6660">
        <w:trPr>
          <w:gridAfter w:val="1"/>
          <w:wAfter w:w="325" w:type="dxa"/>
          <w:trHeight w:val="121"/>
        </w:trPr>
        <w:tc>
          <w:tcPr>
            <w:tcW w:w="284" w:type="dxa"/>
            <w:tcBorders>
              <w:top w:val="nil"/>
              <w:left w:val="nil"/>
              <w:bottom w:val="nil"/>
              <w:right w:val="nil"/>
            </w:tcBorders>
            <w:shd w:val="clear" w:color="000000" w:fill="FFFFFF"/>
            <w:noWrap/>
            <w:vAlign w:val="bottom"/>
            <w:hideMark/>
          </w:tcPr>
          <w:p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sz w:val="20"/>
                <w:szCs w:val="20"/>
              </w:rPr>
              <w:br w:type="page"/>
            </w:r>
            <w:r w:rsidRPr="00F41628">
              <w:rPr>
                <w:rFonts w:ascii="Calibri" w:eastAsia="Times New Roman" w:hAnsi="Calibri" w:cs="Times New Roman"/>
                <w:color w:val="000000"/>
                <w:sz w:val="20"/>
                <w:szCs w:val="20"/>
                <w:lang w:eastAsia="ja-JP"/>
              </w:rPr>
              <w:t> </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Non-EZ Europe</w:t>
            </w:r>
          </w:p>
        </w:tc>
        <w:tc>
          <w:tcPr>
            <w:tcW w:w="3511" w:type="dxa"/>
            <w:tcBorders>
              <w:top w:val="single" w:sz="8" w:space="0" w:color="000000"/>
              <w:left w:val="nil"/>
              <w:bottom w:val="dotted" w:sz="4" w:space="0" w:color="auto"/>
              <w:right w:val="nil"/>
            </w:tcBorders>
            <w:shd w:val="clear" w:color="000000" w:fill="FFFFFF"/>
            <w:noWrap/>
            <w:vAlign w:val="bottom"/>
            <w:hideMark/>
          </w:tcPr>
          <w:p w:rsidR="006B184C" w:rsidRPr="00F41628" w:rsidRDefault="00A034D9" w:rsidP="006B184C">
            <w:pPr>
              <w:spacing w:after="0" w:line="240" w:lineRule="auto"/>
              <w:rPr>
                <w:rFonts w:ascii="Calibri" w:eastAsia="Times New Roman" w:hAnsi="Calibri" w:cs="Times New Roman"/>
                <w:color w:val="0000FF"/>
                <w:sz w:val="20"/>
                <w:szCs w:val="20"/>
                <w:u w:val="single"/>
                <w:lang w:eastAsia="ja-JP"/>
              </w:rPr>
            </w:pPr>
            <w:hyperlink r:id="rId22" w:history="1">
              <w:r w:rsidR="006B184C" w:rsidRPr="00F41628">
                <w:rPr>
                  <w:rFonts w:ascii="Calibri" w:eastAsia="Times New Roman" w:hAnsi="Calibri" w:cs="Times New Roman"/>
                  <w:color w:val="0000FF"/>
                  <w:sz w:val="20"/>
                  <w:szCs w:val="20"/>
                  <w:u w:val="single"/>
                  <w:lang w:eastAsia="ja-JP"/>
                </w:rPr>
                <w:t>Denmark (Denmark Statistik)</w:t>
              </w:r>
            </w:hyperlink>
          </w:p>
        </w:tc>
        <w:tc>
          <w:tcPr>
            <w:tcW w:w="1546" w:type="dxa"/>
            <w:tcBorders>
              <w:top w:val="single" w:sz="8" w:space="0" w:color="000000"/>
              <w:left w:val="double" w:sz="6" w:space="0" w:color="auto"/>
              <w:bottom w:val="dotted" w:sz="4" w:space="0" w:color="auto"/>
              <w:right w:val="single" w:sz="8" w:space="0" w:color="auto"/>
            </w:tcBorders>
            <w:shd w:val="clear" w:color="000000" w:fill="FFFFFF"/>
            <w:vAlign w:val="center"/>
            <w:hideMark/>
          </w:tcPr>
          <w:p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379" w:type="dxa"/>
            <w:tcBorders>
              <w:top w:val="single" w:sz="8" w:space="0" w:color="000000"/>
              <w:left w:val="nil"/>
              <w:bottom w:val="dotted" w:sz="4" w:space="0" w:color="auto"/>
              <w:right w:val="nil"/>
            </w:tcBorders>
            <w:shd w:val="clear" w:color="000000" w:fill="FFFFFF"/>
            <w:noWrap/>
            <w:vAlign w:val="center"/>
            <w:hideMark/>
          </w:tcPr>
          <w:p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single" w:sz="8" w:space="0" w:color="000000"/>
              <w:left w:val="nil"/>
              <w:bottom w:val="dotted" w:sz="4" w:space="0" w:color="auto"/>
              <w:right w:val="single" w:sz="8" w:space="0" w:color="auto"/>
            </w:tcBorders>
            <w:shd w:val="clear" w:color="000000" w:fill="FFFFFF"/>
            <w:noWrap/>
            <w:vAlign w:val="center"/>
            <w:hideMark/>
          </w:tcPr>
          <w:p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326" w:type="dxa"/>
            <w:tcBorders>
              <w:top w:val="nil"/>
              <w:left w:val="nil"/>
              <w:bottom w:val="nil"/>
              <w:right w:val="nil"/>
            </w:tcBorders>
            <w:shd w:val="clear" w:color="000000" w:fill="FFFFFF"/>
            <w:noWrap/>
            <w:vAlign w:val="bottom"/>
            <w:hideMark/>
          </w:tcPr>
          <w:p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03037F" w:rsidRPr="00F41628" w:rsidTr="00EA6660">
        <w:trPr>
          <w:gridAfter w:val="1"/>
          <w:wAfter w:w="325" w:type="dxa"/>
          <w:trHeight w:val="121"/>
        </w:trPr>
        <w:tc>
          <w:tcPr>
            <w:tcW w:w="284" w:type="dxa"/>
            <w:tcBorders>
              <w:top w:val="nil"/>
              <w:left w:val="nil"/>
              <w:bottom w:val="nil"/>
              <w:right w:val="nil"/>
            </w:tcBorders>
            <w:shd w:val="clear" w:color="000000" w:fill="FFFFFF"/>
            <w:noWrap/>
            <w:vAlign w:val="bottom"/>
            <w:hideMark/>
          </w:tcPr>
          <w:p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top w:val="nil"/>
              <w:left w:val="single" w:sz="8" w:space="0" w:color="auto"/>
              <w:bottom w:val="single" w:sz="8" w:space="0" w:color="000000"/>
              <w:right w:val="single" w:sz="8" w:space="0" w:color="auto"/>
            </w:tcBorders>
            <w:vAlign w:val="center"/>
            <w:hideMark/>
          </w:tcPr>
          <w:p w:rsidR="006B184C" w:rsidRPr="00F41628" w:rsidRDefault="006B184C" w:rsidP="006B184C">
            <w:pPr>
              <w:spacing w:after="0" w:line="240" w:lineRule="auto"/>
              <w:rPr>
                <w:rFonts w:ascii="Calibri" w:eastAsia="Times New Roman" w:hAnsi="Calibri" w:cs="Times New Roman"/>
                <w:color w:val="000000"/>
                <w:sz w:val="20"/>
                <w:szCs w:val="20"/>
                <w:lang w:eastAsia="ja-JP"/>
              </w:rPr>
            </w:pPr>
          </w:p>
        </w:tc>
        <w:tc>
          <w:tcPr>
            <w:tcW w:w="3511" w:type="dxa"/>
            <w:tcBorders>
              <w:top w:val="dotted" w:sz="4" w:space="0" w:color="auto"/>
              <w:left w:val="nil"/>
              <w:bottom w:val="dotted" w:sz="4" w:space="0" w:color="auto"/>
              <w:right w:val="nil"/>
            </w:tcBorders>
            <w:shd w:val="clear" w:color="000000" w:fill="FFFFFF"/>
            <w:noWrap/>
            <w:vAlign w:val="center"/>
            <w:hideMark/>
          </w:tcPr>
          <w:p w:rsidR="006B184C" w:rsidRPr="00F41628" w:rsidRDefault="00A034D9" w:rsidP="006B184C">
            <w:pPr>
              <w:spacing w:after="0" w:line="240" w:lineRule="auto"/>
              <w:rPr>
                <w:rFonts w:ascii="Calibri" w:eastAsia="Times New Roman" w:hAnsi="Calibri" w:cs="Times New Roman"/>
                <w:color w:val="0000FF"/>
                <w:sz w:val="20"/>
                <w:szCs w:val="20"/>
                <w:u w:val="single"/>
                <w:lang w:eastAsia="ja-JP"/>
              </w:rPr>
            </w:pPr>
            <w:hyperlink r:id="rId23" w:history="1">
              <w:r w:rsidR="006B184C" w:rsidRPr="00F41628">
                <w:rPr>
                  <w:rFonts w:ascii="Calibri" w:eastAsia="Times New Roman" w:hAnsi="Calibri" w:cs="Times New Roman"/>
                  <w:color w:val="0000FF"/>
                  <w:sz w:val="20"/>
                  <w:szCs w:val="20"/>
                  <w:u w:val="single"/>
                  <w:lang w:eastAsia="ja-JP"/>
                </w:rPr>
                <w:t xml:space="preserve">Sweden (Statistics Sweden) </w:t>
              </w:r>
            </w:hyperlink>
          </w:p>
        </w:tc>
        <w:tc>
          <w:tcPr>
            <w:tcW w:w="1546" w:type="dxa"/>
            <w:tcBorders>
              <w:top w:val="dotted" w:sz="4" w:space="0" w:color="auto"/>
              <w:left w:val="double" w:sz="6" w:space="0" w:color="auto"/>
              <w:bottom w:val="dotted" w:sz="4" w:space="0" w:color="auto"/>
              <w:right w:val="single" w:sz="8" w:space="0" w:color="auto"/>
            </w:tcBorders>
            <w:shd w:val="clear" w:color="000000" w:fill="FFFFFF"/>
            <w:noWrap/>
            <w:vAlign w:val="center"/>
            <w:hideMark/>
          </w:tcPr>
          <w:p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379" w:type="dxa"/>
            <w:tcBorders>
              <w:top w:val="dotted" w:sz="4" w:space="0" w:color="auto"/>
              <w:left w:val="nil"/>
              <w:bottom w:val="dotted" w:sz="4" w:space="0" w:color="auto"/>
              <w:right w:val="nil"/>
            </w:tcBorders>
            <w:shd w:val="clear" w:color="000000" w:fill="FFFFFF"/>
            <w:noWrap/>
            <w:vAlign w:val="center"/>
            <w:hideMark/>
          </w:tcPr>
          <w:p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r w:rsidRPr="00F41628">
              <w:rPr>
                <w:rFonts w:ascii="Calibri" w:eastAsia="Times New Roman" w:hAnsi="Calibri" w:cs="Times New Roman"/>
                <w:color w:val="000000"/>
                <w:sz w:val="20"/>
                <w:szCs w:val="20"/>
                <w:vertAlign w:val="superscript"/>
                <w:lang w:eastAsia="ja-JP"/>
              </w:rPr>
              <w:t>*</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r w:rsidRPr="00F41628">
              <w:rPr>
                <w:rFonts w:ascii="Calibri" w:eastAsia="Times New Roman" w:hAnsi="Calibri" w:cs="Times New Roman"/>
                <w:color w:val="000000"/>
                <w:sz w:val="20"/>
                <w:szCs w:val="20"/>
                <w:vertAlign w:val="superscript"/>
                <w:lang w:eastAsia="ja-JP"/>
              </w:rPr>
              <w:t>*</w:t>
            </w:r>
          </w:p>
        </w:tc>
        <w:tc>
          <w:tcPr>
            <w:tcW w:w="326" w:type="dxa"/>
            <w:tcBorders>
              <w:top w:val="nil"/>
              <w:left w:val="nil"/>
              <w:bottom w:val="nil"/>
              <w:right w:val="nil"/>
            </w:tcBorders>
            <w:shd w:val="clear" w:color="000000" w:fill="FFFFFF"/>
            <w:noWrap/>
            <w:vAlign w:val="bottom"/>
            <w:hideMark/>
          </w:tcPr>
          <w:p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03037F" w:rsidRPr="00F41628" w:rsidTr="00EA6660">
        <w:trPr>
          <w:gridAfter w:val="1"/>
          <w:wAfter w:w="325" w:type="dxa"/>
          <w:trHeight w:val="121"/>
        </w:trPr>
        <w:tc>
          <w:tcPr>
            <w:tcW w:w="284" w:type="dxa"/>
            <w:tcBorders>
              <w:top w:val="nil"/>
              <w:left w:val="nil"/>
              <w:bottom w:val="nil"/>
              <w:right w:val="nil"/>
            </w:tcBorders>
            <w:shd w:val="clear" w:color="000000" w:fill="FFFFFF"/>
            <w:noWrap/>
            <w:vAlign w:val="bottom"/>
            <w:hideMark/>
          </w:tcPr>
          <w:p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top w:val="nil"/>
              <w:left w:val="single" w:sz="8" w:space="0" w:color="auto"/>
              <w:bottom w:val="single" w:sz="8" w:space="0" w:color="000000"/>
              <w:right w:val="single" w:sz="8" w:space="0" w:color="auto"/>
            </w:tcBorders>
            <w:vAlign w:val="center"/>
            <w:hideMark/>
          </w:tcPr>
          <w:p w:rsidR="006B184C" w:rsidRPr="00F41628" w:rsidRDefault="006B184C" w:rsidP="006B184C">
            <w:pPr>
              <w:spacing w:after="0" w:line="240" w:lineRule="auto"/>
              <w:rPr>
                <w:rFonts w:ascii="Calibri" w:eastAsia="Times New Roman" w:hAnsi="Calibri" w:cs="Times New Roman"/>
                <w:color w:val="000000"/>
                <w:sz w:val="20"/>
                <w:szCs w:val="20"/>
                <w:lang w:eastAsia="ja-JP"/>
              </w:rPr>
            </w:pPr>
          </w:p>
        </w:tc>
        <w:tc>
          <w:tcPr>
            <w:tcW w:w="3511" w:type="dxa"/>
            <w:tcBorders>
              <w:top w:val="dotted" w:sz="4" w:space="0" w:color="auto"/>
              <w:left w:val="nil"/>
              <w:bottom w:val="dotted" w:sz="4" w:space="0" w:color="auto"/>
              <w:right w:val="nil"/>
            </w:tcBorders>
            <w:shd w:val="clear" w:color="000000" w:fill="FFFFFF"/>
            <w:noWrap/>
            <w:vAlign w:val="center"/>
            <w:hideMark/>
          </w:tcPr>
          <w:p w:rsidR="006B184C" w:rsidRPr="00F41628" w:rsidRDefault="00A034D9" w:rsidP="006B184C">
            <w:pPr>
              <w:spacing w:after="0" w:line="240" w:lineRule="auto"/>
              <w:rPr>
                <w:rFonts w:ascii="Calibri" w:eastAsia="Times New Roman" w:hAnsi="Calibri" w:cs="Times New Roman"/>
                <w:color w:val="0000FF"/>
                <w:sz w:val="20"/>
                <w:szCs w:val="20"/>
                <w:u w:val="single"/>
                <w:lang w:eastAsia="ja-JP"/>
              </w:rPr>
            </w:pPr>
            <w:hyperlink r:id="rId24" w:history="1">
              <w:r w:rsidR="006B184C" w:rsidRPr="00F41628">
                <w:rPr>
                  <w:rFonts w:ascii="Calibri" w:eastAsia="Times New Roman" w:hAnsi="Calibri" w:cs="Times New Roman"/>
                  <w:color w:val="0000FF"/>
                  <w:sz w:val="20"/>
                  <w:szCs w:val="20"/>
                  <w:u w:val="single"/>
                  <w:lang w:eastAsia="ja-JP"/>
                </w:rPr>
                <w:t>UK (Office for National Statistics)</w:t>
              </w:r>
            </w:hyperlink>
          </w:p>
        </w:tc>
        <w:tc>
          <w:tcPr>
            <w:tcW w:w="1546" w:type="dxa"/>
            <w:tcBorders>
              <w:top w:val="dotted" w:sz="4" w:space="0" w:color="auto"/>
              <w:left w:val="double" w:sz="6" w:space="0" w:color="auto"/>
              <w:bottom w:val="dotted" w:sz="4" w:space="0" w:color="auto"/>
              <w:right w:val="single" w:sz="8" w:space="0" w:color="auto"/>
            </w:tcBorders>
            <w:shd w:val="clear" w:color="000000" w:fill="FFFFFF"/>
            <w:noWrap/>
            <w:vAlign w:val="center"/>
            <w:hideMark/>
          </w:tcPr>
          <w:p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379" w:type="dxa"/>
            <w:tcBorders>
              <w:top w:val="dotted" w:sz="4" w:space="0" w:color="auto"/>
              <w:left w:val="nil"/>
              <w:bottom w:val="dotted" w:sz="4" w:space="0" w:color="auto"/>
              <w:right w:val="nil"/>
            </w:tcBorders>
            <w:shd w:val="clear" w:color="000000" w:fill="FFFFFF"/>
            <w:noWrap/>
            <w:vAlign w:val="center"/>
            <w:hideMark/>
          </w:tcPr>
          <w:p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dotted" w:sz="4" w:space="0" w:color="auto"/>
              <w:left w:val="nil"/>
              <w:bottom w:val="dotted" w:sz="4" w:space="0" w:color="auto"/>
              <w:right w:val="single" w:sz="8" w:space="0" w:color="auto"/>
            </w:tcBorders>
            <w:shd w:val="clear" w:color="000000" w:fill="FFFFFF"/>
            <w:noWrap/>
            <w:vAlign w:val="center"/>
            <w:hideMark/>
          </w:tcPr>
          <w:p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326" w:type="dxa"/>
            <w:tcBorders>
              <w:top w:val="nil"/>
              <w:left w:val="nil"/>
              <w:bottom w:val="nil"/>
              <w:right w:val="nil"/>
            </w:tcBorders>
            <w:shd w:val="clear" w:color="000000" w:fill="FFFFFF"/>
            <w:noWrap/>
            <w:vAlign w:val="bottom"/>
            <w:hideMark/>
          </w:tcPr>
          <w:p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03037F" w:rsidRPr="00F41628" w:rsidTr="00A356DE">
        <w:trPr>
          <w:gridAfter w:val="1"/>
          <w:wAfter w:w="325" w:type="dxa"/>
          <w:trHeight w:val="158"/>
        </w:trPr>
        <w:tc>
          <w:tcPr>
            <w:tcW w:w="284" w:type="dxa"/>
            <w:tcBorders>
              <w:top w:val="nil"/>
              <w:left w:val="nil"/>
              <w:bottom w:val="nil"/>
              <w:right w:val="nil"/>
            </w:tcBorders>
            <w:shd w:val="clear" w:color="000000" w:fill="FFFFFF"/>
            <w:noWrap/>
            <w:vAlign w:val="bottom"/>
            <w:hideMark/>
          </w:tcPr>
          <w:p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top w:val="nil"/>
              <w:left w:val="single" w:sz="8" w:space="0" w:color="auto"/>
              <w:bottom w:val="single" w:sz="8" w:space="0" w:color="000000"/>
              <w:right w:val="single" w:sz="8" w:space="0" w:color="auto"/>
            </w:tcBorders>
            <w:vAlign w:val="center"/>
            <w:hideMark/>
          </w:tcPr>
          <w:p w:rsidR="006B184C" w:rsidRPr="00F41628" w:rsidRDefault="006B184C" w:rsidP="006B184C">
            <w:pPr>
              <w:spacing w:after="0" w:line="240" w:lineRule="auto"/>
              <w:rPr>
                <w:rFonts w:ascii="Calibri" w:eastAsia="Times New Roman" w:hAnsi="Calibri" w:cs="Times New Roman"/>
                <w:color w:val="000000"/>
                <w:sz w:val="20"/>
                <w:szCs w:val="20"/>
                <w:lang w:eastAsia="ja-JP"/>
              </w:rPr>
            </w:pPr>
          </w:p>
        </w:tc>
        <w:tc>
          <w:tcPr>
            <w:tcW w:w="3511" w:type="dxa"/>
            <w:tcBorders>
              <w:top w:val="dotted" w:sz="4" w:space="0" w:color="auto"/>
              <w:left w:val="nil"/>
              <w:bottom w:val="single" w:sz="8" w:space="0" w:color="000000"/>
              <w:right w:val="nil"/>
            </w:tcBorders>
            <w:shd w:val="clear" w:color="000000" w:fill="FFFFFF"/>
            <w:noWrap/>
            <w:vAlign w:val="center"/>
            <w:hideMark/>
          </w:tcPr>
          <w:p w:rsidR="006B184C" w:rsidRPr="00F41628" w:rsidRDefault="00A034D9" w:rsidP="006B184C">
            <w:pPr>
              <w:spacing w:after="0" w:line="240" w:lineRule="auto"/>
              <w:rPr>
                <w:rFonts w:ascii="Calibri" w:eastAsia="Times New Roman" w:hAnsi="Calibri" w:cs="Times New Roman"/>
                <w:color w:val="0000FF"/>
                <w:sz w:val="20"/>
                <w:szCs w:val="20"/>
                <w:u w:val="single"/>
                <w:lang w:eastAsia="ja-JP"/>
              </w:rPr>
            </w:pPr>
            <w:hyperlink r:id="rId25" w:history="1">
              <w:r w:rsidR="006B184C" w:rsidRPr="00F41628">
                <w:rPr>
                  <w:rFonts w:ascii="Calibri" w:eastAsia="Times New Roman" w:hAnsi="Calibri" w:cs="Times New Roman"/>
                  <w:color w:val="0000FF"/>
                  <w:sz w:val="20"/>
                  <w:szCs w:val="20"/>
                  <w:u w:val="single"/>
                  <w:lang w:eastAsia="ja-JP"/>
                </w:rPr>
                <w:t>Switzerland (Swiss Statistics)</w:t>
              </w:r>
            </w:hyperlink>
          </w:p>
        </w:tc>
        <w:tc>
          <w:tcPr>
            <w:tcW w:w="1546" w:type="dxa"/>
            <w:tcBorders>
              <w:top w:val="dotted" w:sz="4" w:space="0" w:color="auto"/>
              <w:left w:val="double" w:sz="6" w:space="0" w:color="auto"/>
              <w:bottom w:val="single" w:sz="8" w:space="0" w:color="000000"/>
              <w:right w:val="single" w:sz="8" w:space="0" w:color="auto"/>
            </w:tcBorders>
            <w:shd w:val="clear" w:color="000000" w:fill="FFFFFF"/>
            <w:noWrap/>
            <w:vAlign w:val="center"/>
            <w:hideMark/>
          </w:tcPr>
          <w:p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5</w:t>
            </w:r>
          </w:p>
        </w:tc>
        <w:tc>
          <w:tcPr>
            <w:tcW w:w="1379" w:type="dxa"/>
            <w:tcBorders>
              <w:top w:val="dotted" w:sz="4" w:space="0" w:color="auto"/>
              <w:left w:val="nil"/>
              <w:bottom w:val="single" w:sz="8" w:space="0" w:color="000000"/>
              <w:right w:val="nil"/>
            </w:tcBorders>
            <w:shd w:val="clear" w:color="000000" w:fill="FFFFFF"/>
            <w:noWrap/>
            <w:vAlign w:val="center"/>
            <w:hideMark/>
          </w:tcPr>
          <w:p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dotted" w:sz="4" w:space="0" w:color="auto"/>
              <w:left w:val="nil"/>
              <w:bottom w:val="single" w:sz="8" w:space="0" w:color="000000"/>
              <w:right w:val="single" w:sz="8" w:space="0" w:color="auto"/>
            </w:tcBorders>
            <w:shd w:val="clear" w:color="000000" w:fill="FFFFFF"/>
            <w:noWrap/>
            <w:vAlign w:val="center"/>
            <w:hideMark/>
          </w:tcPr>
          <w:p w:rsidR="006B184C" w:rsidRPr="00F41628" w:rsidRDefault="006B184C"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p>
        </w:tc>
        <w:tc>
          <w:tcPr>
            <w:tcW w:w="326" w:type="dxa"/>
            <w:tcBorders>
              <w:top w:val="nil"/>
              <w:left w:val="nil"/>
              <w:bottom w:val="nil"/>
              <w:right w:val="nil"/>
            </w:tcBorders>
            <w:shd w:val="clear" w:color="000000" w:fill="FFFFFF"/>
            <w:noWrap/>
            <w:vAlign w:val="bottom"/>
            <w:hideMark/>
          </w:tcPr>
          <w:p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EA6660" w:rsidRPr="00F41628" w:rsidTr="00A356DE">
        <w:trPr>
          <w:gridAfter w:val="1"/>
          <w:wAfter w:w="325" w:type="dxa"/>
          <w:trHeight w:val="152"/>
        </w:trPr>
        <w:tc>
          <w:tcPr>
            <w:tcW w:w="284" w:type="dxa"/>
            <w:tcBorders>
              <w:top w:val="nil"/>
              <w:left w:val="nil"/>
              <w:bottom w:val="nil"/>
              <w:right w:val="nil"/>
            </w:tcBorders>
            <w:shd w:val="clear" w:color="000000" w:fill="FFFFFF"/>
            <w:noWrap/>
            <w:vAlign w:val="bottom"/>
            <w:hideMark/>
          </w:tcPr>
          <w:p w:rsidR="00EA6660" w:rsidRPr="00F41628" w:rsidRDefault="00EA6660"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val="restart"/>
            <w:tcBorders>
              <w:top w:val="single" w:sz="8" w:space="0" w:color="000000"/>
              <w:left w:val="single" w:sz="8" w:space="0" w:color="auto"/>
              <w:right w:val="single" w:sz="8" w:space="0" w:color="auto"/>
            </w:tcBorders>
            <w:shd w:val="clear" w:color="000000" w:fill="FFFFFF"/>
            <w:noWrap/>
            <w:vAlign w:val="center"/>
            <w:hideMark/>
          </w:tcPr>
          <w:p w:rsidR="00EA6660" w:rsidRPr="00F41628" w:rsidRDefault="00EA6660"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Asia</w:t>
            </w:r>
          </w:p>
          <w:p w:rsidR="00EA6660" w:rsidRPr="00F41628" w:rsidRDefault="00EA6660" w:rsidP="006B184C">
            <w:pPr>
              <w:spacing w:after="0" w:line="240" w:lineRule="auto"/>
              <w:rPr>
                <w:rFonts w:ascii="Calibri" w:eastAsia="Times New Roman" w:hAnsi="Calibri" w:cs="Times New Roman"/>
                <w:color w:val="000000"/>
                <w:sz w:val="20"/>
                <w:szCs w:val="20"/>
                <w:lang w:eastAsia="ja-JP"/>
              </w:rPr>
            </w:pPr>
            <w:r w:rsidRPr="00F41628">
              <w:rPr>
                <w:rFonts w:ascii="MS PGothic" w:eastAsia="MS PGothic" w:hAnsi="MS PGothic" w:cs="Times New Roman" w:hint="eastAsia"/>
                <w:color w:val="000000"/>
                <w:sz w:val="20"/>
                <w:szCs w:val="20"/>
                <w:lang w:eastAsia="ja-JP"/>
              </w:rPr>
              <w:t> </w:t>
            </w:r>
          </w:p>
        </w:tc>
        <w:tc>
          <w:tcPr>
            <w:tcW w:w="3511" w:type="dxa"/>
            <w:tcBorders>
              <w:top w:val="single" w:sz="8" w:space="0" w:color="000000"/>
              <w:left w:val="nil"/>
              <w:bottom w:val="dotted" w:sz="4" w:space="0" w:color="auto"/>
              <w:right w:val="nil"/>
            </w:tcBorders>
            <w:shd w:val="clear" w:color="000000" w:fill="FFFFFF"/>
            <w:noWrap/>
            <w:vAlign w:val="center"/>
            <w:hideMark/>
          </w:tcPr>
          <w:p w:rsidR="00EA6660" w:rsidRPr="00F41628" w:rsidRDefault="00A034D9" w:rsidP="006B184C">
            <w:pPr>
              <w:spacing w:after="0" w:line="240" w:lineRule="auto"/>
              <w:rPr>
                <w:rFonts w:ascii="Calibri" w:eastAsia="Times New Roman" w:hAnsi="Calibri" w:cs="Times New Roman"/>
                <w:color w:val="0000FF"/>
                <w:sz w:val="20"/>
                <w:szCs w:val="20"/>
                <w:u w:val="single"/>
                <w:lang w:eastAsia="ja-JP"/>
              </w:rPr>
            </w:pPr>
            <w:hyperlink r:id="rId26" w:history="1">
              <w:r w:rsidR="00EA6660" w:rsidRPr="00F41628">
                <w:rPr>
                  <w:rFonts w:ascii="Calibri" w:eastAsia="Times New Roman" w:hAnsi="Calibri" w:cs="Times New Roman"/>
                  <w:color w:val="0000FF"/>
                  <w:sz w:val="20"/>
                  <w:szCs w:val="20"/>
                  <w:u w:val="single"/>
                  <w:lang w:eastAsia="ja-JP"/>
                </w:rPr>
                <w:t>Japan (Stat Bureau)</w:t>
              </w:r>
            </w:hyperlink>
          </w:p>
        </w:tc>
        <w:tc>
          <w:tcPr>
            <w:tcW w:w="1546" w:type="dxa"/>
            <w:tcBorders>
              <w:top w:val="single" w:sz="8" w:space="0" w:color="000000"/>
              <w:left w:val="double" w:sz="6" w:space="0" w:color="auto"/>
              <w:bottom w:val="dotted" w:sz="4" w:space="0" w:color="auto"/>
              <w:right w:val="single" w:sz="8" w:space="0" w:color="auto"/>
            </w:tcBorders>
            <w:shd w:val="clear" w:color="000000" w:fill="FFFFFF"/>
            <w:noWrap/>
            <w:vAlign w:val="center"/>
            <w:hideMark/>
          </w:tcPr>
          <w:p w:rsidR="00EA6660" w:rsidRPr="00F41628" w:rsidRDefault="00EA6660"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p>
        </w:tc>
        <w:tc>
          <w:tcPr>
            <w:tcW w:w="1379" w:type="dxa"/>
            <w:tcBorders>
              <w:top w:val="single" w:sz="8" w:space="0" w:color="000000"/>
              <w:left w:val="nil"/>
              <w:bottom w:val="dotted" w:sz="4" w:space="0" w:color="auto"/>
              <w:right w:val="nil"/>
            </w:tcBorders>
            <w:shd w:val="clear" w:color="000000" w:fill="FFFFFF"/>
            <w:noWrap/>
            <w:vAlign w:val="center"/>
            <w:hideMark/>
          </w:tcPr>
          <w:p w:rsidR="00EA6660" w:rsidRPr="00F41628" w:rsidRDefault="00EA6660"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1032" w:type="dxa"/>
            <w:tcBorders>
              <w:top w:val="single" w:sz="8" w:space="0" w:color="000000"/>
              <w:left w:val="nil"/>
              <w:bottom w:val="dotted" w:sz="4" w:space="0" w:color="auto"/>
              <w:right w:val="single" w:sz="8" w:space="0" w:color="auto"/>
            </w:tcBorders>
            <w:shd w:val="clear" w:color="000000" w:fill="FFFFFF"/>
            <w:noWrap/>
            <w:vAlign w:val="center"/>
            <w:hideMark/>
          </w:tcPr>
          <w:p w:rsidR="00EA6660" w:rsidRPr="00F41628" w:rsidRDefault="00EA6660"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1</w:t>
            </w:r>
          </w:p>
        </w:tc>
        <w:tc>
          <w:tcPr>
            <w:tcW w:w="326" w:type="dxa"/>
            <w:tcBorders>
              <w:top w:val="nil"/>
              <w:left w:val="nil"/>
              <w:bottom w:val="nil"/>
              <w:right w:val="nil"/>
            </w:tcBorders>
            <w:shd w:val="clear" w:color="000000" w:fill="FFFFFF"/>
            <w:noWrap/>
            <w:vAlign w:val="bottom"/>
            <w:hideMark/>
          </w:tcPr>
          <w:p w:rsidR="00EA6660" w:rsidRPr="00F41628" w:rsidRDefault="00EA6660"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EA6660" w:rsidRPr="00F41628" w:rsidTr="00A356DE">
        <w:trPr>
          <w:gridAfter w:val="1"/>
          <w:wAfter w:w="325" w:type="dxa"/>
          <w:trHeight w:val="176"/>
        </w:trPr>
        <w:tc>
          <w:tcPr>
            <w:tcW w:w="284" w:type="dxa"/>
            <w:tcBorders>
              <w:top w:val="nil"/>
              <w:left w:val="nil"/>
              <w:bottom w:val="nil"/>
              <w:right w:val="nil"/>
            </w:tcBorders>
            <w:shd w:val="clear" w:color="000000" w:fill="FFFFFF"/>
            <w:noWrap/>
            <w:vAlign w:val="bottom"/>
            <w:hideMark/>
          </w:tcPr>
          <w:p w:rsidR="00EA6660" w:rsidRPr="00F41628" w:rsidRDefault="00EA6660"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80" w:type="dxa"/>
            <w:vMerge/>
            <w:tcBorders>
              <w:left w:val="single" w:sz="8" w:space="0" w:color="auto"/>
              <w:bottom w:val="single" w:sz="8" w:space="0" w:color="auto"/>
              <w:right w:val="single" w:sz="8" w:space="0" w:color="auto"/>
            </w:tcBorders>
            <w:shd w:val="clear" w:color="000000" w:fill="FFFFFF"/>
            <w:noWrap/>
            <w:vAlign w:val="center"/>
            <w:hideMark/>
          </w:tcPr>
          <w:p w:rsidR="00EA6660" w:rsidRPr="00F41628" w:rsidRDefault="00EA6660" w:rsidP="006B184C">
            <w:pPr>
              <w:spacing w:after="0" w:line="240" w:lineRule="auto"/>
              <w:rPr>
                <w:rFonts w:ascii="MS PGothic" w:eastAsia="MS PGothic" w:hAnsi="MS PGothic" w:cs="Times New Roman"/>
                <w:color w:val="000000"/>
                <w:sz w:val="20"/>
                <w:szCs w:val="20"/>
                <w:lang w:eastAsia="ja-JP"/>
              </w:rPr>
            </w:pPr>
          </w:p>
        </w:tc>
        <w:tc>
          <w:tcPr>
            <w:tcW w:w="3511" w:type="dxa"/>
            <w:tcBorders>
              <w:top w:val="dotted" w:sz="4" w:space="0" w:color="auto"/>
              <w:left w:val="nil"/>
              <w:bottom w:val="single" w:sz="8" w:space="0" w:color="auto"/>
              <w:right w:val="nil"/>
            </w:tcBorders>
            <w:shd w:val="clear" w:color="000000" w:fill="FFFFFF"/>
            <w:noWrap/>
            <w:vAlign w:val="center"/>
            <w:hideMark/>
          </w:tcPr>
          <w:p w:rsidR="00EA6660" w:rsidRPr="00F41628" w:rsidRDefault="00A034D9" w:rsidP="006B184C">
            <w:pPr>
              <w:spacing w:after="0" w:line="240" w:lineRule="auto"/>
              <w:rPr>
                <w:rFonts w:ascii="Calibri" w:eastAsia="Times New Roman" w:hAnsi="Calibri" w:cs="Times New Roman"/>
                <w:color w:val="0000FF"/>
                <w:sz w:val="20"/>
                <w:szCs w:val="20"/>
                <w:u w:val="single"/>
                <w:lang w:eastAsia="ja-JP"/>
              </w:rPr>
            </w:pPr>
            <w:hyperlink r:id="rId27" w:history="1">
              <w:r w:rsidR="00EA6660" w:rsidRPr="00F41628">
                <w:rPr>
                  <w:rFonts w:ascii="Calibri" w:eastAsia="Times New Roman" w:hAnsi="Calibri" w:cs="Times New Roman"/>
                  <w:color w:val="0000FF"/>
                  <w:sz w:val="20"/>
                  <w:szCs w:val="20"/>
                  <w:u w:val="single"/>
                  <w:lang w:eastAsia="ja-JP"/>
                </w:rPr>
                <w:t>Korea (Korea Statistics)</w:t>
              </w:r>
            </w:hyperlink>
          </w:p>
        </w:tc>
        <w:tc>
          <w:tcPr>
            <w:tcW w:w="1546" w:type="dxa"/>
            <w:tcBorders>
              <w:top w:val="dotted" w:sz="4" w:space="0" w:color="auto"/>
              <w:left w:val="double" w:sz="6" w:space="0" w:color="auto"/>
              <w:bottom w:val="single" w:sz="8" w:space="0" w:color="auto"/>
              <w:right w:val="single" w:sz="8" w:space="0" w:color="auto"/>
            </w:tcBorders>
            <w:shd w:val="clear" w:color="000000" w:fill="FFFFFF"/>
            <w:noWrap/>
            <w:vAlign w:val="center"/>
            <w:hideMark/>
          </w:tcPr>
          <w:p w:rsidR="00EA6660" w:rsidRPr="00F41628" w:rsidRDefault="00EA6660"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5</w:t>
            </w:r>
          </w:p>
        </w:tc>
        <w:tc>
          <w:tcPr>
            <w:tcW w:w="1379" w:type="dxa"/>
            <w:tcBorders>
              <w:top w:val="dotted" w:sz="4" w:space="0" w:color="auto"/>
              <w:left w:val="nil"/>
              <w:bottom w:val="single" w:sz="8" w:space="0" w:color="auto"/>
              <w:right w:val="nil"/>
            </w:tcBorders>
            <w:shd w:val="clear" w:color="000000" w:fill="FFFFFF"/>
            <w:noWrap/>
            <w:vAlign w:val="center"/>
            <w:hideMark/>
          </w:tcPr>
          <w:p w:rsidR="00EA6660" w:rsidRPr="00F41628" w:rsidRDefault="00EA6660"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r>
              <w:rPr>
                <w:rFonts w:ascii="Calibri" w:eastAsia="Times New Roman" w:hAnsi="Calibri" w:cs="Times New Roman"/>
                <w:color w:val="000000"/>
                <w:sz w:val="20"/>
                <w:szCs w:val="20"/>
                <w:lang w:eastAsia="ja-JP"/>
              </w:rPr>
              <w:t>†</w:t>
            </w:r>
          </w:p>
        </w:tc>
        <w:tc>
          <w:tcPr>
            <w:tcW w:w="1032" w:type="dxa"/>
            <w:tcBorders>
              <w:top w:val="dotted" w:sz="4" w:space="0" w:color="auto"/>
              <w:left w:val="nil"/>
              <w:bottom w:val="single" w:sz="8" w:space="0" w:color="auto"/>
              <w:right w:val="single" w:sz="8" w:space="0" w:color="auto"/>
            </w:tcBorders>
            <w:shd w:val="clear" w:color="000000" w:fill="FFFFFF"/>
            <w:noWrap/>
            <w:vAlign w:val="center"/>
            <w:hideMark/>
          </w:tcPr>
          <w:p w:rsidR="00EA6660" w:rsidRPr="00F41628" w:rsidRDefault="00EA6660" w:rsidP="006B184C">
            <w:pPr>
              <w:spacing w:after="0" w:line="240" w:lineRule="auto"/>
              <w:jc w:val="center"/>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3</w:t>
            </w:r>
            <w:r>
              <w:rPr>
                <w:rFonts w:ascii="Calibri" w:eastAsia="Times New Roman" w:hAnsi="Calibri" w:cs="Times New Roman"/>
                <w:color w:val="000000"/>
                <w:sz w:val="20"/>
                <w:szCs w:val="20"/>
                <w:lang w:eastAsia="ja-JP"/>
              </w:rPr>
              <w:t>†</w:t>
            </w:r>
          </w:p>
        </w:tc>
        <w:tc>
          <w:tcPr>
            <w:tcW w:w="326" w:type="dxa"/>
            <w:tcBorders>
              <w:top w:val="nil"/>
              <w:left w:val="nil"/>
              <w:bottom w:val="nil"/>
              <w:right w:val="nil"/>
            </w:tcBorders>
            <w:shd w:val="clear" w:color="000000" w:fill="FFFFFF"/>
            <w:noWrap/>
            <w:vAlign w:val="bottom"/>
            <w:hideMark/>
          </w:tcPr>
          <w:p w:rsidR="00EA6660" w:rsidRPr="00F41628" w:rsidRDefault="00EA6660"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03037F" w:rsidRPr="00F41628" w:rsidTr="00A356DE">
        <w:trPr>
          <w:gridAfter w:val="1"/>
          <w:wAfter w:w="325" w:type="dxa"/>
          <w:trHeight w:val="140"/>
        </w:trPr>
        <w:tc>
          <w:tcPr>
            <w:tcW w:w="284" w:type="dxa"/>
            <w:tcBorders>
              <w:top w:val="nil"/>
              <w:left w:val="nil"/>
              <w:bottom w:val="nil"/>
              <w:right w:val="nil"/>
            </w:tcBorders>
            <w:shd w:val="clear" w:color="000000" w:fill="FFFFFF"/>
            <w:noWrap/>
            <w:vAlign w:val="bottom"/>
          </w:tcPr>
          <w:p w:rsidR="006B184C" w:rsidRPr="00F41628" w:rsidRDefault="006B184C" w:rsidP="006B184C">
            <w:pPr>
              <w:spacing w:after="0" w:line="240" w:lineRule="auto"/>
              <w:rPr>
                <w:rFonts w:ascii="Calibri" w:eastAsia="Times New Roman" w:hAnsi="Calibri" w:cs="Times New Roman"/>
                <w:b/>
                <w:bCs/>
                <w:color w:val="000000"/>
                <w:sz w:val="20"/>
                <w:szCs w:val="20"/>
                <w:lang w:eastAsia="ja-JP"/>
              </w:rPr>
            </w:pPr>
          </w:p>
        </w:tc>
        <w:tc>
          <w:tcPr>
            <w:tcW w:w="1080" w:type="dxa"/>
            <w:tcBorders>
              <w:top w:val="single" w:sz="8" w:space="0" w:color="auto"/>
              <w:left w:val="nil"/>
              <w:bottom w:val="nil"/>
              <w:right w:val="nil"/>
            </w:tcBorders>
            <w:shd w:val="clear" w:color="000000" w:fill="FFFFFF"/>
            <w:noWrap/>
            <w:vAlign w:val="bottom"/>
            <w:hideMark/>
          </w:tcPr>
          <w:p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3511" w:type="dxa"/>
            <w:tcBorders>
              <w:top w:val="single" w:sz="8" w:space="0" w:color="auto"/>
              <w:left w:val="nil"/>
              <w:bottom w:val="nil"/>
              <w:right w:val="nil"/>
            </w:tcBorders>
            <w:shd w:val="clear" w:color="000000" w:fill="FFFFFF"/>
            <w:noWrap/>
            <w:vAlign w:val="bottom"/>
            <w:hideMark/>
          </w:tcPr>
          <w:p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546" w:type="dxa"/>
            <w:tcBorders>
              <w:top w:val="single" w:sz="8" w:space="0" w:color="auto"/>
              <w:left w:val="nil"/>
              <w:bottom w:val="nil"/>
              <w:right w:val="nil"/>
            </w:tcBorders>
            <w:shd w:val="clear" w:color="000000" w:fill="FFFFFF"/>
            <w:noWrap/>
            <w:vAlign w:val="bottom"/>
            <w:hideMark/>
          </w:tcPr>
          <w:p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379" w:type="dxa"/>
            <w:tcBorders>
              <w:top w:val="single" w:sz="8" w:space="0" w:color="auto"/>
              <w:left w:val="nil"/>
              <w:bottom w:val="nil"/>
              <w:right w:val="nil"/>
            </w:tcBorders>
            <w:shd w:val="clear" w:color="000000" w:fill="FFFFFF"/>
            <w:noWrap/>
            <w:vAlign w:val="bottom"/>
            <w:hideMark/>
          </w:tcPr>
          <w:p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1032" w:type="dxa"/>
            <w:tcBorders>
              <w:top w:val="single" w:sz="8" w:space="0" w:color="auto"/>
              <w:left w:val="nil"/>
              <w:bottom w:val="nil"/>
              <w:right w:val="nil"/>
            </w:tcBorders>
            <w:shd w:val="clear" w:color="000000" w:fill="FFFFFF"/>
            <w:noWrap/>
            <w:vAlign w:val="bottom"/>
            <w:hideMark/>
          </w:tcPr>
          <w:p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c>
          <w:tcPr>
            <w:tcW w:w="326" w:type="dxa"/>
            <w:tcBorders>
              <w:top w:val="nil"/>
              <w:left w:val="nil"/>
              <w:bottom w:val="nil"/>
              <w:right w:val="nil"/>
            </w:tcBorders>
            <w:shd w:val="clear" w:color="000000" w:fill="FFFFFF"/>
            <w:noWrap/>
            <w:vAlign w:val="bottom"/>
            <w:hideMark/>
          </w:tcPr>
          <w:p w:rsidR="006B184C" w:rsidRPr="00F41628" w:rsidRDefault="006B184C" w:rsidP="006B184C">
            <w:pPr>
              <w:spacing w:after="0" w:line="240" w:lineRule="auto"/>
              <w:rPr>
                <w:rFonts w:ascii="Calibri" w:eastAsia="Times New Roman" w:hAnsi="Calibri" w:cs="Times New Roman"/>
                <w:color w:val="000000"/>
                <w:sz w:val="20"/>
                <w:szCs w:val="20"/>
                <w:lang w:eastAsia="ja-JP"/>
              </w:rPr>
            </w:pPr>
            <w:r w:rsidRPr="00F41628">
              <w:rPr>
                <w:rFonts w:ascii="Calibri" w:eastAsia="Times New Roman" w:hAnsi="Calibri" w:cs="Times New Roman"/>
                <w:color w:val="000000"/>
                <w:sz w:val="20"/>
                <w:szCs w:val="20"/>
                <w:lang w:eastAsia="ja-JP"/>
              </w:rPr>
              <w:t> </w:t>
            </w:r>
          </w:p>
        </w:tc>
      </w:tr>
      <w:tr w:rsidR="006B184C" w:rsidRPr="006B184C" w:rsidTr="00F41628">
        <w:trPr>
          <w:gridAfter w:val="1"/>
          <w:wAfter w:w="325" w:type="dxa"/>
          <w:trHeight w:val="274"/>
        </w:trPr>
        <w:tc>
          <w:tcPr>
            <w:tcW w:w="9158" w:type="dxa"/>
            <w:gridSpan w:val="7"/>
            <w:tcBorders>
              <w:top w:val="nil"/>
              <w:left w:val="nil"/>
              <w:bottom w:val="nil"/>
              <w:right w:val="nil"/>
            </w:tcBorders>
            <w:shd w:val="clear" w:color="000000" w:fill="FFFFFF"/>
            <w:vAlign w:val="bottom"/>
            <w:hideMark/>
          </w:tcPr>
          <w:p w:rsidR="006B184C" w:rsidRPr="009E3EB2" w:rsidRDefault="006B184C" w:rsidP="001427EF">
            <w:pPr>
              <w:spacing w:after="0" w:line="240" w:lineRule="auto"/>
              <w:rPr>
                <w:rFonts w:ascii="Calibri" w:eastAsia="Times New Roman" w:hAnsi="Calibri" w:cs="Times New Roman"/>
                <w:color w:val="000000"/>
                <w:sz w:val="20"/>
                <w:szCs w:val="20"/>
                <w:lang w:eastAsia="ja-JP"/>
              </w:rPr>
            </w:pPr>
            <w:r w:rsidRPr="009E3EB2">
              <w:rPr>
                <w:rFonts w:ascii="Calibri" w:eastAsia="Times New Roman" w:hAnsi="Calibri" w:cs="Times New Roman"/>
                <w:color w:val="000000"/>
                <w:sz w:val="20"/>
                <w:szCs w:val="20"/>
                <w:lang w:eastAsia="ja-JP"/>
              </w:rPr>
              <w:t>* English</w:t>
            </w:r>
            <w:r w:rsidR="00F41628">
              <w:rPr>
                <w:rFonts w:ascii="Calibri" w:eastAsia="Times New Roman" w:hAnsi="Calibri" w:cs="Times New Roman"/>
                <w:color w:val="000000"/>
                <w:sz w:val="20"/>
                <w:szCs w:val="20"/>
                <w:lang w:eastAsia="ja-JP"/>
              </w:rPr>
              <w:t>-language media tend</w:t>
            </w:r>
            <w:r w:rsidRPr="009E3EB2">
              <w:rPr>
                <w:rFonts w:ascii="Calibri" w:eastAsia="Times New Roman" w:hAnsi="Calibri" w:cs="Times New Roman"/>
                <w:color w:val="000000"/>
                <w:sz w:val="20"/>
                <w:szCs w:val="20"/>
                <w:lang w:eastAsia="ja-JP"/>
              </w:rPr>
              <w:t xml:space="preserve"> to focus on MoM, wh</w:t>
            </w:r>
            <w:r w:rsidR="001427EF">
              <w:rPr>
                <w:rFonts w:ascii="Calibri" w:eastAsia="Times New Roman" w:hAnsi="Calibri" w:cs="Times New Roman"/>
                <w:color w:val="000000"/>
                <w:sz w:val="20"/>
                <w:szCs w:val="20"/>
                <w:lang w:eastAsia="ja-JP"/>
              </w:rPr>
              <w:t>ile</w:t>
            </w:r>
            <w:r w:rsidRPr="009E3EB2">
              <w:rPr>
                <w:rFonts w:ascii="Calibri" w:eastAsia="Times New Roman" w:hAnsi="Calibri" w:cs="Times New Roman"/>
                <w:color w:val="000000"/>
                <w:sz w:val="20"/>
                <w:szCs w:val="20"/>
                <w:lang w:eastAsia="ja-JP"/>
              </w:rPr>
              <w:t xml:space="preserve"> the local news service</w:t>
            </w:r>
            <w:r w:rsidR="00F41628">
              <w:rPr>
                <w:rFonts w:ascii="Calibri" w:eastAsia="Times New Roman" w:hAnsi="Calibri" w:cs="Times New Roman"/>
                <w:color w:val="000000"/>
                <w:sz w:val="20"/>
                <w:szCs w:val="20"/>
                <w:lang w:eastAsia="ja-JP"/>
              </w:rPr>
              <w:t>s focus</w:t>
            </w:r>
            <w:r w:rsidRPr="009E3EB2">
              <w:rPr>
                <w:rFonts w:ascii="Calibri" w:eastAsia="Times New Roman" w:hAnsi="Calibri" w:cs="Times New Roman"/>
                <w:color w:val="000000"/>
                <w:sz w:val="20"/>
                <w:szCs w:val="20"/>
                <w:lang w:eastAsia="ja-JP"/>
              </w:rPr>
              <w:t xml:space="preserve"> on YoY, consistent with the gov't release</w:t>
            </w:r>
            <w:r w:rsidR="00F41628">
              <w:rPr>
                <w:rFonts w:ascii="Calibri" w:eastAsia="Times New Roman" w:hAnsi="Calibri" w:cs="Times New Roman"/>
                <w:color w:val="000000"/>
                <w:sz w:val="20"/>
                <w:szCs w:val="20"/>
                <w:lang w:eastAsia="ja-JP"/>
              </w:rPr>
              <w:t>.</w:t>
            </w:r>
          </w:p>
        </w:tc>
      </w:tr>
      <w:tr w:rsidR="006B184C" w:rsidRPr="006B184C" w:rsidTr="00F41628">
        <w:trPr>
          <w:gridAfter w:val="1"/>
          <w:wAfter w:w="325" w:type="dxa"/>
          <w:trHeight w:val="274"/>
        </w:trPr>
        <w:tc>
          <w:tcPr>
            <w:tcW w:w="9158" w:type="dxa"/>
            <w:gridSpan w:val="7"/>
            <w:tcBorders>
              <w:top w:val="nil"/>
              <w:left w:val="nil"/>
              <w:bottom w:val="nil"/>
              <w:right w:val="nil"/>
            </w:tcBorders>
            <w:shd w:val="clear" w:color="000000" w:fill="FFFFFF"/>
            <w:vAlign w:val="bottom"/>
            <w:hideMark/>
          </w:tcPr>
          <w:p w:rsidR="006B184C" w:rsidRPr="009E3EB2" w:rsidRDefault="001427EF" w:rsidP="001427EF">
            <w:pPr>
              <w:spacing w:after="0" w:line="240" w:lineRule="auto"/>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w:t>
            </w:r>
            <w:r w:rsidR="006B184C" w:rsidRPr="009E3EB2">
              <w:rPr>
                <w:rFonts w:ascii="Calibri" w:eastAsia="Times New Roman" w:hAnsi="Calibri" w:cs="Times New Roman"/>
                <w:color w:val="000000"/>
                <w:sz w:val="20"/>
                <w:szCs w:val="20"/>
                <w:lang w:eastAsia="ja-JP"/>
              </w:rPr>
              <w:t xml:space="preserve">English media tend to focus on YoY, </w:t>
            </w:r>
            <w:r>
              <w:rPr>
                <w:rFonts w:ascii="Calibri" w:eastAsia="Times New Roman" w:hAnsi="Calibri" w:cs="Times New Roman"/>
                <w:color w:val="000000"/>
                <w:sz w:val="20"/>
                <w:szCs w:val="20"/>
                <w:lang w:eastAsia="ja-JP"/>
              </w:rPr>
              <w:t>while</w:t>
            </w:r>
            <w:r w:rsidR="006B184C" w:rsidRPr="009E3EB2">
              <w:rPr>
                <w:rFonts w:ascii="Calibri" w:eastAsia="Times New Roman" w:hAnsi="Calibri" w:cs="Times New Roman"/>
                <w:color w:val="000000"/>
                <w:sz w:val="20"/>
                <w:szCs w:val="20"/>
                <w:lang w:eastAsia="ja-JP"/>
              </w:rPr>
              <w:t xml:space="preserve"> the local news servi</w:t>
            </w:r>
            <w:r w:rsidR="00F41628">
              <w:rPr>
                <w:rFonts w:ascii="Calibri" w:eastAsia="Times New Roman" w:hAnsi="Calibri" w:cs="Times New Roman"/>
                <w:color w:val="000000"/>
                <w:sz w:val="20"/>
                <w:szCs w:val="20"/>
                <w:lang w:eastAsia="ja-JP"/>
              </w:rPr>
              <w:t>ces focus</w:t>
            </w:r>
            <w:r w:rsidR="006B184C" w:rsidRPr="009E3EB2">
              <w:rPr>
                <w:rFonts w:ascii="Calibri" w:eastAsia="Times New Roman" w:hAnsi="Calibri" w:cs="Times New Roman"/>
                <w:color w:val="000000"/>
                <w:sz w:val="20"/>
                <w:szCs w:val="20"/>
                <w:lang w:eastAsia="ja-JP"/>
              </w:rPr>
              <w:t xml:space="preserve"> </w:t>
            </w:r>
            <w:r>
              <w:rPr>
                <w:rFonts w:ascii="Calibri" w:eastAsia="Times New Roman" w:hAnsi="Calibri" w:cs="Times New Roman"/>
                <w:color w:val="000000"/>
                <w:sz w:val="20"/>
                <w:szCs w:val="20"/>
                <w:lang w:eastAsia="ja-JP"/>
              </w:rPr>
              <w:t>on MoM, consistent with the governmen</w:t>
            </w:r>
            <w:r w:rsidR="006B184C" w:rsidRPr="009E3EB2">
              <w:rPr>
                <w:rFonts w:ascii="Calibri" w:eastAsia="Times New Roman" w:hAnsi="Calibri" w:cs="Times New Roman"/>
                <w:color w:val="000000"/>
                <w:sz w:val="20"/>
                <w:szCs w:val="20"/>
                <w:lang w:eastAsia="ja-JP"/>
              </w:rPr>
              <w:t>t release</w:t>
            </w:r>
            <w:r w:rsidR="00F41628">
              <w:rPr>
                <w:rFonts w:ascii="Calibri" w:eastAsia="Times New Roman" w:hAnsi="Calibri" w:cs="Times New Roman"/>
                <w:color w:val="000000"/>
                <w:sz w:val="20"/>
                <w:szCs w:val="20"/>
                <w:lang w:eastAsia="ja-JP"/>
              </w:rPr>
              <w:t>.</w:t>
            </w:r>
          </w:p>
        </w:tc>
      </w:tr>
      <w:tr w:rsidR="006B184C" w:rsidRPr="006B184C" w:rsidTr="00F41628">
        <w:trPr>
          <w:gridAfter w:val="1"/>
          <w:wAfter w:w="325" w:type="dxa"/>
          <w:trHeight w:val="132"/>
        </w:trPr>
        <w:tc>
          <w:tcPr>
            <w:tcW w:w="9158" w:type="dxa"/>
            <w:gridSpan w:val="7"/>
            <w:tcBorders>
              <w:top w:val="nil"/>
              <w:left w:val="nil"/>
              <w:bottom w:val="nil"/>
              <w:right w:val="nil"/>
            </w:tcBorders>
            <w:vAlign w:val="center"/>
          </w:tcPr>
          <w:p w:rsidR="006B184C" w:rsidRPr="00F41628" w:rsidRDefault="006B184C" w:rsidP="006B184C">
            <w:pPr>
              <w:spacing w:after="0" w:line="240" w:lineRule="auto"/>
              <w:rPr>
                <w:rFonts w:ascii="Calibri" w:eastAsia="Times New Roman" w:hAnsi="Calibri" w:cs="Times New Roman"/>
                <w:color w:val="000000"/>
                <w:sz w:val="10"/>
                <w:szCs w:val="10"/>
                <w:lang w:eastAsia="ja-JP"/>
              </w:rPr>
            </w:pPr>
          </w:p>
        </w:tc>
      </w:tr>
    </w:tbl>
    <w:p w:rsidR="009E3EB2" w:rsidRPr="009E3EB2" w:rsidRDefault="009E3EB2" w:rsidP="009E3EB2">
      <w:pPr>
        <w:spacing w:line="240" w:lineRule="auto"/>
        <w:contextualSpacing/>
        <w:rPr>
          <w:sz w:val="19"/>
          <w:szCs w:val="19"/>
        </w:rPr>
      </w:pPr>
      <w:r w:rsidRPr="009E3EB2">
        <w:rPr>
          <w:sz w:val="19"/>
          <w:szCs w:val="19"/>
        </w:rPr>
        <w:t>1 = Emphasis (e.g., headlines) is clearly and consistently on the 12-month version, even though the monthly basis is also contained somewhere in the announcement.</w:t>
      </w:r>
      <w:r w:rsidRPr="009E3EB2">
        <w:rPr>
          <w:sz w:val="19"/>
          <w:szCs w:val="19"/>
        </w:rPr>
        <w:tab/>
      </w:r>
      <w:r w:rsidRPr="009E3EB2">
        <w:rPr>
          <w:sz w:val="19"/>
          <w:szCs w:val="19"/>
        </w:rPr>
        <w:tab/>
      </w:r>
      <w:r w:rsidRPr="009E3EB2">
        <w:rPr>
          <w:sz w:val="19"/>
          <w:szCs w:val="19"/>
        </w:rPr>
        <w:tab/>
      </w:r>
      <w:r w:rsidRPr="009E3EB2">
        <w:rPr>
          <w:sz w:val="19"/>
          <w:szCs w:val="19"/>
        </w:rPr>
        <w:tab/>
      </w:r>
      <w:r w:rsidRPr="009E3EB2">
        <w:rPr>
          <w:sz w:val="19"/>
          <w:szCs w:val="19"/>
        </w:rPr>
        <w:tab/>
      </w:r>
      <w:r w:rsidRPr="009E3EB2">
        <w:rPr>
          <w:sz w:val="19"/>
          <w:szCs w:val="19"/>
        </w:rPr>
        <w:tab/>
      </w:r>
    </w:p>
    <w:p w:rsidR="009E3EB2" w:rsidRPr="009E3EB2" w:rsidRDefault="009E3EB2" w:rsidP="009E3EB2">
      <w:pPr>
        <w:spacing w:line="240" w:lineRule="auto"/>
        <w:contextualSpacing/>
        <w:rPr>
          <w:sz w:val="19"/>
          <w:szCs w:val="19"/>
        </w:rPr>
      </w:pPr>
      <w:r w:rsidRPr="009E3EB2">
        <w:rPr>
          <w:sz w:val="19"/>
          <w:szCs w:val="19"/>
        </w:rPr>
        <w:t>2 = Some emphasis on the 12-month version, but not consistently, relative to the shorter-term basis.</w:t>
      </w:r>
      <w:r w:rsidRPr="009E3EB2">
        <w:rPr>
          <w:sz w:val="19"/>
          <w:szCs w:val="19"/>
        </w:rPr>
        <w:tab/>
      </w:r>
      <w:r w:rsidRPr="009E3EB2">
        <w:rPr>
          <w:sz w:val="19"/>
          <w:szCs w:val="19"/>
        </w:rPr>
        <w:tab/>
      </w:r>
    </w:p>
    <w:p w:rsidR="009E3EB2" w:rsidRPr="009E3EB2" w:rsidRDefault="009E3EB2" w:rsidP="009E3EB2">
      <w:pPr>
        <w:spacing w:line="240" w:lineRule="auto"/>
        <w:contextualSpacing/>
        <w:rPr>
          <w:sz w:val="19"/>
          <w:szCs w:val="19"/>
        </w:rPr>
      </w:pPr>
      <w:r w:rsidRPr="009E3EB2">
        <w:rPr>
          <w:sz w:val="19"/>
          <w:szCs w:val="19"/>
        </w:rPr>
        <w:t>3 = Precisely equal emphasis on both versions.</w:t>
      </w:r>
      <w:r w:rsidRPr="009E3EB2">
        <w:rPr>
          <w:sz w:val="19"/>
          <w:szCs w:val="19"/>
        </w:rPr>
        <w:tab/>
      </w:r>
      <w:r w:rsidRPr="009E3EB2">
        <w:rPr>
          <w:sz w:val="19"/>
          <w:szCs w:val="19"/>
        </w:rPr>
        <w:tab/>
      </w:r>
      <w:r w:rsidRPr="009E3EB2">
        <w:rPr>
          <w:sz w:val="19"/>
          <w:szCs w:val="19"/>
        </w:rPr>
        <w:tab/>
      </w:r>
      <w:r w:rsidRPr="009E3EB2">
        <w:rPr>
          <w:sz w:val="19"/>
          <w:szCs w:val="19"/>
        </w:rPr>
        <w:tab/>
      </w:r>
      <w:r w:rsidRPr="009E3EB2">
        <w:rPr>
          <w:sz w:val="19"/>
          <w:szCs w:val="19"/>
        </w:rPr>
        <w:tab/>
      </w:r>
      <w:r w:rsidRPr="009E3EB2">
        <w:rPr>
          <w:sz w:val="19"/>
          <w:szCs w:val="19"/>
        </w:rPr>
        <w:tab/>
      </w:r>
    </w:p>
    <w:p w:rsidR="009E3EB2" w:rsidRPr="009E3EB2" w:rsidRDefault="009E3EB2" w:rsidP="009E3EB2">
      <w:pPr>
        <w:spacing w:line="240" w:lineRule="auto"/>
        <w:contextualSpacing/>
        <w:rPr>
          <w:sz w:val="19"/>
          <w:szCs w:val="19"/>
        </w:rPr>
      </w:pPr>
      <w:r w:rsidRPr="009E3EB2">
        <w:rPr>
          <w:sz w:val="19"/>
          <w:szCs w:val="19"/>
        </w:rPr>
        <w:t>4= Some emphasis on the shorter term basis, but not consistently, relative to the 12-month basis.</w:t>
      </w:r>
      <w:r w:rsidRPr="009E3EB2">
        <w:rPr>
          <w:sz w:val="19"/>
          <w:szCs w:val="19"/>
        </w:rPr>
        <w:tab/>
      </w:r>
      <w:r w:rsidRPr="009E3EB2">
        <w:rPr>
          <w:sz w:val="19"/>
          <w:szCs w:val="19"/>
        </w:rPr>
        <w:tab/>
      </w:r>
      <w:r w:rsidRPr="009E3EB2">
        <w:rPr>
          <w:sz w:val="19"/>
          <w:szCs w:val="19"/>
        </w:rPr>
        <w:tab/>
      </w:r>
    </w:p>
    <w:p w:rsidR="009E3EB2" w:rsidRPr="009E3EB2" w:rsidRDefault="009E3EB2" w:rsidP="009E3EB2">
      <w:pPr>
        <w:spacing w:line="240" w:lineRule="auto"/>
        <w:contextualSpacing/>
        <w:rPr>
          <w:sz w:val="19"/>
          <w:szCs w:val="19"/>
        </w:rPr>
      </w:pPr>
      <w:r w:rsidRPr="009E3EB2">
        <w:rPr>
          <w:sz w:val="19"/>
          <w:szCs w:val="19"/>
        </w:rPr>
        <w:t>5 = Emphasis (e.g., headline or first sentence) is clearly and consistently on the monthly (or quarterly) version, even though the 12-month basis is also contained in the announcement.</w:t>
      </w:r>
      <w:r w:rsidRPr="009E3EB2">
        <w:rPr>
          <w:sz w:val="19"/>
          <w:szCs w:val="19"/>
        </w:rPr>
        <w:tab/>
      </w:r>
      <w:r w:rsidRPr="009E3EB2">
        <w:rPr>
          <w:sz w:val="19"/>
          <w:szCs w:val="19"/>
        </w:rPr>
        <w:tab/>
      </w:r>
      <w:r w:rsidRPr="009E3EB2">
        <w:rPr>
          <w:sz w:val="19"/>
          <w:szCs w:val="19"/>
        </w:rPr>
        <w:tab/>
      </w:r>
      <w:r w:rsidRPr="009E3EB2">
        <w:rPr>
          <w:sz w:val="19"/>
          <w:szCs w:val="19"/>
        </w:rPr>
        <w:tab/>
      </w:r>
      <w:r w:rsidRPr="009E3EB2">
        <w:rPr>
          <w:sz w:val="19"/>
          <w:szCs w:val="19"/>
        </w:rPr>
        <w:tab/>
      </w:r>
      <w:r w:rsidRPr="009E3EB2">
        <w:rPr>
          <w:sz w:val="19"/>
          <w:szCs w:val="19"/>
        </w:rPr>
        <w:tab/>
      </w:r>
    </w:p>
    <w:p w:rsidR="00140AE5" w:rsidRPr="00F41628" w:rsidRDefault="00F41628" w:rsidP="009E3EB2">
      <w:pPr>
        <w:spacing w:line="240" w:lineRule="auto"/>
        <w:contextualSpacing/>
        <w:rPr>
          <w:sz w:val="10"/>
          <w:szCs w:val="10"/>
        </w:rPr>
      </w:pPr>
      <w:r>
        <w:rPr>
          <w:sz w:val="19"/>
          <w:szCs w:val="19"/>
        </w:rPr>
        <w:t>Note: Each country reports monthly, except for Denmark which reports quarterly.</w:t>
      </w:r>
      <w:r w:rsidR="009E3EB2" w:rsidRPr="009E3EB2">
        <w:rPr>
          <w:sz w:val="19"/>
          <w:szCs w:val="19"/>
        </w:rPr>
        <w:tab/>
      </w:r>
      <w:r w:rsidR="009E3EB2" w:rsidRPr="009E3EB2">
        <w:rPr>
          <w:sz w:val="19"/>
          <w:szCs w:val="19"/>
        </w:rPr>
        <w:tab/>
      </w:r>
      <w:r w:rsidR="009E3EB2" w:rsidRPr="00F41628">
        <w:rPr>
          <w:sz w:val="10"/>
          <w:szCs w:val="10"/>
        </w:rPr>
        <w:tab/>
      </w:r>
      <w:r w:rsidR="009E3EB2" w:rsidRPr="00F41628">
        <w:rPr>
          <w:sz w:val="10"/>
          <w:szCs w:val="10"/>
        </w:rPr>
        <w:tab/>
      </w:r>
      <w:r w:rsidR="009E3EB2" w:rsidRPr="00F41628">
        <w:rPr>
          <w:sz w:val="10"/>
          <w:szCs w:val="10"/>
        </w:rPr>
        <w:tab/>
      </w:r>
      <w:r w:rsidR="009E3EB2" w:rsidRPr="00F41628">
        <w:rPr>
          <w:sz w:val="10"/>
          <w:szCs w:val="10"/>
        </w:rPr>
        <w:tab/>
      </w:r>
    </w:p>
    <w:p w:rsidR="00065FF0" w:rsidRPr="00CA5E09" w:rsidRDefault="00E2579B" w:rsidP="00F41628">
      <w:pPr>
        <w:spacing w:line="240" w:lineRule="auto"/>
        <w:contextualSpacing/>
        <w:rPr>
          <w:sz w:val="19"/>
          <w:szCs w:val="19"/>
        </w:rPr>
      </w:pPr>
      <w:r w:rsidRPr="00CA5E09">
        <w:rPr>
          <w:sz w:val="19"/>
          <w:szCs w:val="19"/>
        </w:rPr>
        <w:t xml:space="preserve">Source: The </w:t>
      </w:r>
      <w:r w:rsidRPr="00BA146C">
        <w:rPr>
          <w:i/>
          <w:sz w:val="19"/>
          <w:szCs w:val="19"/>
        </w:rPr>
        <w:t>Secrets of Economic Indicators</w:t>
      </w:r>
      <w:r w:rsidR="000231EC">
        <w:rPr>
          <w:sz w:val="19"/>
          <w:szCs w:val="19"/>
        </w:rPr>
        <w:t xml:space="preserve"> and authors’ investigations</w:t>
      </w:r>
      <w:r w:rsidR="00811219">
        <w:rPr>
          <w:sz w:val="19"/>
          <w:szCs w:val="19"/>
        </w:rPr>
        <w:t xml:space="preserve"> from press releases and news services</w:t>
      </w:r>
      <w:r w:rsidR="00F41628">
        <w:rPr>
          <w:sz w:val="19"/>
          <w:szCs w:val="19"/>
        </w:rPr>
        <w:t>.</w:t>
      </w:r>
      <w:r w:rsidR="000231EC">
        <w:rPr>
          <w:sz w:val="19"/>
          <w:szCs w:val="19"/>
        </w:rPr>
        <w:tab/>
      </w:r>
      <w:r w:rsidR="00BA146C">
        <w:rPr>
          <w:sz w:val="19"/>
          <w:szCs w:val="19"/>
        </w:rPr>
        <w:br/>
      </w:r>
      <w:proofErr w:type="gramStart"/>
      <w:r w:rsidR="00ED118C">
        <w:rPr>
          <w:sz w:val="19"/>
          <w:szCs w:val="19"/>
        </w:rPr>
        <w:t>An</w:t>
      </w:r>
      <w:r w:rsidR="0003037F">
        <w:rPr>
          <w:sz w:val="19"/>
          <w:szCs w:val="19"/>
        </w:rPr>
        <w:t xml:space="preserve"> </w:t>
      </w:r>
      <w:r w:rsidR="00ED118C">
        <w:rPr>
          <w:sz w:val="19"/>
          <w:szCs w:val="19"/>
        </w:rPr>
        <w:t xml:space="preserve">appendix </w:t>
      </w:r>
      <w:hyperlink r:id="rId28" w:history="1">
        <w:r w:rsidR="00ED118C" w:rsidRPr="00ED118C">
          <w:rPr>
            <w:rStyle w:val="Hyperlink"/>
            <w:sz w:val="19"/>
            <w:szCs w:val="19"/>
            <w:lang w:val="nl-NL"/>
          </w:rPr>
          <w:t>available online</w:t>
        </w:r>
      </w:hyperlink>
      <w:r w:rsidR="00ED118C">
        <w:rPr>
          <w:sz w:val="19"/>
          <w:szCs w:val="19"/>
        </w:rPr>
        <w:t xml:space="preserve"> documents </w:t>
      </w:r>
      <w:r w:rsidR="00BA146C">
        <w:rPr>
          <w:sz w:val="19"/>
          <w:szCs w:val="19"/>
        </w:rPr>
        <w:t>the basis of the classification of each country.</w:t>
      </w:r>
      <w:proofErr w:type="gramEnd"/>
    </w:p>
    <w:p w:rsidR="00CC2106" w:rsidRDefault="00CC2106" w:rsidP="006808C4"/>
    <w:p w:rsidR="00BA146C" w:rsidRDefault="00CC2106" w:rsidP="00F41628">
      <w:pPr>
        <w:ind w:firstLine="720"/>
        <w:rPr>
          <w:b/>
        </w:rPr>
      </w:pPr>
      <w:r>
        <w:lastRenderedPageBreak/>
        <w:t>Appendix Table</w:t>
      </w:r>
      <w:r w:rsidR="00A42E8D">
        <w:t>s</w:t>
      </w:r>
      <w:r>
        <w:t xml:space="preserve"> 1A</w:t>
      </w:r>
      <w:r w:rsidR="00A42E8D">
        <w:t xml:space="preserve"> and 1B</w:t>
      </w:r>
      <w:r>
        <w:t xml:space="preserve"> r</w:t>
      </w:r>
      <w:r w:rsidR="00A42E8D">
        <w:t>eport</w:t>
      </w:r>
      <w:r w:rsidR="001427EF">
        <w:t xml:space="preserve"> the corresponding information</w:t>
      </w:r>
      <w:r>
        <w:t xml:space="preserve"> for GDP and employment reporting practices.   For GDP growth, the US has a lot more company in its short-termism.  A majority of countries, including the UK, Canada, Japan, and the Eurozone, emphasize growth in the most recent quarter.  The news outlets tend to do the same for these countries, reporting the most recent quarter.   China and Taiwan, on the other hand, report GDP growth with an emphasis on the 4-quarter basis.  In these two countries the media outlets again follow suit (Bloomberg and Reuters).</w:t>
      </w:r>
    </w:p>
    <w:p w:rsidR="00C7655D" w:rsidRPr="006808C4" w:rsidRDefault="000C4494" w:rsidP="006808C4">
      <w:pPr>
        <w:rPr>
          <w:b/>
        </w:rPr>
      </w:pPr>
      <w:r w:rsidRPr="007C412A">
        <w:rPr>
          <w:b/>
        </w:rPr>
        <w:t>Reactions in bond markets</w:t>
      </w:r>
    </w:p>
    <w:p w:rsidR="006808C4" w:rsidRDefault="006808C4" w:rsidP="0061452F">
      <w:pPr>
        <w:ind w:firstLine="720"/>
        <w:rPr>
          <w:rFonts w:ascii="Calibri" w:hAnsi="Calibri"/>
          <w:color w:val="000000"/>
        </w:rPr>
      </w:pPr>
      <w:r w:rsidRPr="0097077A">
        <w:rPr>
          <w:color w:val="000000"/>
        </w:rPr>
        <w:t xml:space="preserve">Statistical findings of highly significant positive jumps in interest rates in response to inflationary news go back to the early 1980s, when Fed money announcements were important: Grossman (1981), Roley (1983), Urich and Wachtel (1981), Urich (1982), Naylor (1982), Cornell (1982), Engel and Frankel (1982, 1984), and Campbell </w:t>
      </w:r>
      <w:r w:rsidRPr="0097077A">
        <w:rPr>
          <w:i/>
          <w:color w:val="000000"/>
        </w:rPr>
        <w:t>et al</w:t>
      </w:r>
      <w:r w:rsidRPr="0097077A">
        <w:rPr>
          <w:color w:val="000000"/>
        </w:rPr>
        <w:t>. (1983).  More recent papers, able to take advantage of larger and higher-frequency data sets, have similarly found interest rates rising or bond prices falling in reaction to news of higher inflation or stronger economic growth. They include Fleming and Remolona (1999),</w:t>
      </w:r>
      <w:r w:rsidRPr="001775D5">
        <w:rPr>
          <w:rFonts w:ascii="Calibri" w:hAnsi="Calibri"/>
          <w:color w:val="000000"/>
        </w:rPr>
        <w:t xml:space="preserve"> </w:t>
      </w:r>
      <w:r w:rsidRPr="00B82673">
        <w:rPr>
          <w:rFonts w:cs="Lucida Sans Unicode"/>
          <w:bCs/>
          <w:color w:val="000000"/>
        </w:rPr>
        <w:t>Gurkaynak, Sack and Swanson (2005),</w:t>
      </w:r>
      <w:r w:rsidRPr="00B82673">
        <w:rPr>
          <w:rFonts w:cs="Lucida Sans Unicode"/>
          <w:bCs/>
          <w:color w:val="000000"/>
          <w:sz w:val="18"/>
          <w:szCs w:val="18"/>
        </w:rPr>
        <w:t xml:space="preserve"> </w:t>
      </w:r>
      <w:r w:rsidRPr="001775D5">
        <w:rPr>
          <w:rFonts w:ascii="Calibri" w:hAnsi="Calibri"/>
          <w:color w:val="000000"/>
        </w:rPr>
        <w:t xml:space="preserve">Andersen </w:t>
      </w:r>
      <w:r w:rsidRPr="001775D5">
        <w:rPr>
          <w:rFonts w:ascii="Calibri" w:hAnsi="Calibri"/>
          <w:i/>
          <w:color w:val="000000"/>
        </w:rPr>
        <w:t>et al</w:t>
      </w:r>
      <w:r w:rsidRPr="001775D5">
        <w:rPr>
          <w:rFonts w:ascii="Calibri" w:hAnsi="Calibri"/>
          <w:color w:val="000000"/>
        </w:rPr>
        <w:t xml:space="preserve">. (2007), Faust </w:t>
      </w:r>
      <w:r w:rsidRPr="001775D5">
        <w:rPr>
          <w:rFonts w:ascii="Calibri" w:hAnsi="Calibri"/>
          <w:i/>
          <w:color w:val="000000"/>
        </w:rPr>
        <w:t>et al</w:t>
      </w:r>
      <w:r w:rsidRPr="001775D5">
        <w:rPr>
          <w:rFonts w:ascii="Calibri" w:hAnsi="Calibri"/>
          <w:color w:val="000000"/>
        </w:rPr>
        <w:t>. (2007), Goldberg and Leonard (2003), and Ehrmann and Fratscher (2005)</w:t>
      </w:r>
      <w:r>
        <w:rPr>
          <w:rFonts w:ascii="Calibri" w:hAnsi="Calibri"/>
          <w:color w:val="000000"/>
        </w:rPr>
        <w:t>, among others.</w:t>
      </w:r>
    </w:p>
    <w:p w:rsidR="00B7365F" w:rsidRDefault="000C4494" w:rsidP="0061452F">
      <w:pPr>
        <w:ind w:firstLine="720"/>
      </w:pPr>
      <w:r>
        <w:t xml:space="preserve">We now examine the patterns of reaction in the </w:t>
      </w:r>
      <w:r w:rsidR="003C6F4C">
        <w:t>bond</w:t>
      </w:r>
      <w:r>
        <w:t xml:space="preserve"> markets of different countries.  In this preliminary study</w:t>
      </w:r>
      <w:r w:rsidR="000E3CA6">
        <w:t>, we</w:t>
      </w:r>
      <w:r>
        <w:t xml:space="preserve"> focus on the effects of CPI annou</w:t>
      </w:r>
      <w:r w:rsidR="001474F1">
        <w:t>ncements on the one-day change i</w:t>
      </w:r>
      <w:r>
        <w:t xml:space="preserve">n </w:t>
      </w:r>
      <w:r w:rsidR="003C6F4C">
        <w:t xml:space="preserve">10-year </w:t>
      </w:r>
      <w:r>
        <w:t>bond prices</w:t>
      </w:r>
      <w:r w:rsidR="001427EF">
        <w:t>, comparing them</w:t>
      </w:r>
      <w:r>
        <w:t xml:space="preserve"> before and after the announcement.   One could also look at the reactions in stock markets and foreign exchange markets.</w:t>
      </w:r>
      <w:r w:rsidR="002D4A4B">
        <w:rPr>
          <w:rStyle w:val="FootnoteReference"/>
        </w:rPr>
        <w:footnoteReference w:id="7"/>
      </w:r>
      <w:r>
        <w:t xml:space="preserve">   But theory is ambiguous as to the predicted direction of reaction in those two markets: on the one hand, higher inflation itself should be bad news for the foreign exchange value of the domestic currency but, on the other hand, the likelihood that the monetary authority will react to the news by tightening is good news</w:t>
      </w:r>
      <w:r w:rsidR="004D3D07">
        <w:t xml:space="preserve"> for the value </w:t>
      </w:r>
      <w:r>
        <w:t>of the currency.  The same ambiguity applies to stock market reactions</w:t>
      </w:r>
      <w:r w:rsidR="00D46CDD">
        <w:t>.</w:t>
      </w:r>
    </w:p>
    <w:p w:rsidR="000C4494" w:rsidRDefault="001474F1" w:rsidP="0061452F">
      <w:pPr>
        <w:ind w:firstLine="720"/>
      </w:pPr>
      <w:r>
        <w:t>We</w:t>
      </w:r>
      <w:r w:rsidR="000C4494">
        <w:t xml:space="preserve"> could also look at the financial market reactions to official announcements of GDP, employment, or other measures of economic activity.  But, again, there is a theoretical ambigui</w:t>
      </w:r>
      <w:r w:rsidR="00C95627">
        <w:t>ty.  To the extent that news of</w:t>
      </w:r>
      <w:r w:rsidR="000C4494">
        <w:t xml:space="preserve"> strong growth raises interest rates, it should have a negative effect on bond prices, stock prices, and the exchange rate (price of foreign currency).   But in each case there are also effects that go the other </w:t>
      </w:r>
      <w:r w:rsidR="000E3CA6">
        <w:t>way (</w:t>
      </w:r>
      <w:r w:rsidR="000C4494">
        <w:t>respectively: default risk, earnings growth, and the demand for money).</w:t>
      </w:r>
      <w:r w:rsidR="0061452F">
        <w:t xml:space="preserve">    Sure enough others’ studies of the effect of inflation and other economic announcements tend to find weaker effects on equity and foreign exchange markets than on bond markets and to explain this in terms of the ambiguous theoretical effect.  To quote </w:t>
      </w:r>
      <w:r w:rsidR="0061452F" w:rsidRPr="0061452F">
        <w:rPr>
          <w:rFonts w:eastAsiaTheme="minorEastAsia" w:cs="Lucida Sans Unicode"/>
          <w:bCs/>
          <w:color w:val="000000"/>
        </w:rPr>
        <w:t>Bartoli</w:t>
      </w:r>
      <w:r w:rsidR="0061452F" w:rsidRPr="00381CAD">
        <w:rPr>
          <w:rFonts w:eastAsiaTheme="minorEastAsia" w:cs="Lucida Sans Unicode"/>
          <w:bCs/>
          <w:color w:val="000000"/>
        </w:rPr>
        <w:t xml:space="preserve">ni, Goldberg </w:t>
      </w:r>
      <w:r w:rsidR="0061452F" w:rsidRPr="0061452F">
        <w:rPr>
          <w:rFonts w:eastAsiaTheme="minorEastAsia" w:cs="Lucida Sans Unicode"/>
          <w:bCs/>
          <w:color w:val="000000"/>
        </w:rPr>
        <w:t>and Sacarny</w:t>
      </w:r>
      <w:r w:rsidR="0061452F">
        <w:rPr>
          <w:rFonts w:eastAsiaTheme="minorEastAsia" w:cs="Lucida Sans Unicode"/>
          <w:bCs/>
          <w:color w:val="000000"/>
        </w:rPr>
        <w:t xml:space="preserve"> (</w:t>
      </w:r>
      <w:r w:rsidR="0061452F" w:rsidRPr="00381CAD">
        <w:rPr>
          <w:rFonts w:eastAsiaTheme="minorEastAsia" w:cs="Lucida Sans Unicode"/>
          <w:bCs/>
          <w:color w:val="000000"/>
        </w:rPr>
        <w:t>2008, p.2</w:t>
      </w:r>
      <w:r w:rsidR="0061452F" w:rsidRPr="00381CAD">
        <w:t>)</w:t>
      </w:r>
      <w:r w:rsidR="0061452F">
        <w:t xml:space="preserve">: “…the strongest effects are seen on interest-bearing assets…The effects of economic news on stock prices are harder to predict…The consequences of economic news for exchange rates are also somewhat ambiguous.” </w:t>
      </w:r>
    </w:p>
    <w:p w:rsidR="000C4494" w:rsidRDefault="000C4494" w:rsidP="000E52B6">
      <w:pPr>
        <w:ind w:firstLine="720"/>
      </w:pPr>
      <w:r>
        <w:lastRenderedPageBreak/>
        <w:t>Table 2 reports regressions of the reactions to CPI releases of prices of 10-year bonds in four countries</w:t>
      </w:r>
      <w:r w:rsidR="00393891">
        <w:t xml:space="preserve"> (% change of 10 year government bond price)</w:t>
      </w:r>
      <w:r>
        <w:t xml:space="preserve">. The </w:t>
      </w:r>
      <w:r w:rsidR="001427EF">
        <w:t xml:space="preserve">new </w:t>
      </w:r>
      <w:r>
        <w:t xml:space="preserve">CPI </w:t>
      </w:r>
      <w:r w:rsidR="001427EF">
        <w:t>number</w:t>
      </w:r>
      <w:r>
        <w:t xml:space="preserve"> is expressed </w:t>
      </w:r>
      <w:r w:rsidR="00CA5E09">
        <w:t xml:space="preserve">as the difference from </w:t>
      </w:r>
      <w:r>
        <w:t>the forecast</w:t>
      </w:r>
      <w:r w:rsidR="00052452">
        <w:t xml:space="preserve"> </w:t>
      </w:r>
      <w:r w:rsidR="005935F8">
        <w:t xml:space="preserve">made </w:t>
      </w:r>
      <w:r>
        <w:t>immediately before the release</w:t>
      </w:r>
      <w:r w:rsidR="001427EF">
        <w:t xml:space="preserve">.  The forecast is </w:t>
      </w:r>
      <w:r w:rsidR="005935F8">
        <w:t xml:space="preserve">measured as the average of analysts’ </w:t>
      </w:r>
      <w:r w:rsidR="001427EF">
        <w:t>forecasts compiled by Bloomberg</w:t>
      </w:r>
      <w:r>
        <w:t xml:space="preserve">.  In line with much research on announcement effects (“news” or “event studies”), what should matter is the announcement relative to what the market had been expecting.  </w:t>
      </w:r>
      <w:r w:rsidR="000E3CA6">
        <w:t xml:space="preserve">The first right-hand side variable is the newly released CPI number for the most recent month.  </w:t>
      </w:r>
      <w:r>
        <w:t xml:space="preserve">The </w:t>
      </w:r>
      <w:r w:rsidR="001427EF">
        <w:t xml:space="preserve">other variable </w:t>
      </w:r>
      <w:r>
        <w:t xml:space="preserve">is the newly released inflation rate over the preceding 12-months.   </w:t>
      </w:r>
    </w:p>
    <w:p w:rsidR="000C4494" w:rsidRDefault="000C4494" w:rsidP="004D2615">
      <w:pPr>
        <w:ind w:firstLine="720"/>
      </w:pPr>
      <w:r>
        <w:t>T</w:t>
      </w:r>
      <w:r w:rsidR="001474F1">
        <w:t>he first regression, in column 1</w:t>
      </w:r>
      <w:r>
        <w:t>, applies to data from two countries that emphasize the 12-month inflation rate in the headlines of their press releases: Canada and the United Kingdom.   Th</w:t>
      </w:r>
      <w:r w:rsidR="001474F1">
        <w:t>e second regression, in column 2</w:t>
      </w:r>
      <w:r>
        <w:t xml:space="preserve">, applies to data from two countries that give more emphasis </w:t>
      </w:r>
      <w:r w:rsidR="001474F1">
        <w:t xml:space="preserve">to </w:t>
      </w:r>
      <w:r>
        <w:t>the most recent month’s CPI</w:t>
      </w:r>
      <w:r w:rsidR="001474F1">
        <w:t xml:space="preserve"> inflation</w:t>
      </w:r>
      <w:r>
        <w:t xml:space="preserve">: the US and </w:t>
      </w:r>
      <w:r w:rsidR="000231EC">
        <w:t>Korea</w:t>
      </w:r>
      <w:r>
        <w:t xml:space="preserve">.  Recall that all these countries make all the information available, both 1-month and 12-month; we are distinguishing the countries according to the headline habits of the statistical agencies in their press releases.  </w:t>
      </w:r>
    </w:p>
    <w:p w:rsidR="009302B3" w:rsidRPr="00F3687E" w:rsidRDefault="00E2579B" w:rsidP="00F3687E">
      <w:pPr>
        <w:spacing w:line="240" w:lineRule="auto"/>
        <w:contextualSpacing/>
      </w:pPr>
      <w:r>
        <w:tab/>
      </w:r>
      <w:r>
        <w:tab/>
      </w:r>
      <w:r>
        <w:tab/>
      </w:r>
      <w:r>
        <w:tab/>
      </w:r>
      <w:r>
        <w:tab/>
      </w:r>
    </w:p>
    <w:tbl>
      <w:tblPr>
        <w:tblW w:w="9468" w:type="dxa"/>
        <w:tblInd w:w="108" w:type="dxa"/>
        <w:tblLook w:val="04A0" w:firstRow="1" w:lastRow="0" w:firstColumn="1" w:lastColumn="0" w:noHBand="0" w:noVBand="1"/>
      </w:tblPr>
      <w:tblGrid>
        <w:gridCol w:w="9468"/>
      </w:tblGrid>
      <w:tr w:rsidR="00131134" w:rsidRPr="00131134" w:rsidTr="00C82952">
        <w:trPr>
          <w:trHeight w:val="315"/>
        </w:trPr>
        <w:tc>
          <w:tcPr>
            <w:tcW w:w="9468" w:type="dxa"/>
            <w:tcBorders>
              <w:top w:val="nil"/>
              <w:left w:val="nil"/>
              <w:bottom w:val="nil"/>
              <w:right w:val="nil"/>
            </w:tcBorders>
            <w:shd w:val="clear" w:color="auto" w:fill="auto"/>
            <w:noWrap/>
            <w:vAlign w:val="bottom"/>
            <w:hideMark/>
          </w:tcPr>
          <w:tbl>
            <w:tblPr>
              <w:tblW w:w="9020" w:type="dxa"/>
              <w:tblLook w:val="04A0" w:firstRow="1" w:lastRow="0" w:firstColumn="1" w:lastColumn="0" w:noHBand="0" w:noVBand="1"/>
            </w:tblPr>
            <w:tblGrid>
              <w:gridCol w:w="3660"/>
              <w:gridCol w:w="300"/>
              <w:gridCol w:w="2080"/>
              <w:gridCol w:w="2320"/>
              <w:gridCol w:w="660"/>
            </w:tblGrid>
            <w:tr w:rsidR="00C82952" w:rsidRPr="00C82952" w:rsidTr="00C82952">
              <w:trPr>
                <w:trHeight w:val="300"/>
              </w:trPr>
              <w:tc>
                <w:tcPr>
                  <w:tcW w:w="8360" w:type="dxa"/>
                  <w:gridSpan w:val="4"/>
                  <w:tcBorders>
                    <w:top w:val="nil"/>
                    <w:left w:val="nil"/>
                    <w:bottom w:val="nil"/>
                    <w:right w:val="nil"/>
                  </w:tcBorders>
                  <w:shd w:val="clear" w:color="000000" w:fill="FFFFFF"/>
                  <w:vAlign w:val="bottom"/>
                  <w:hideMark/>
                </w:tcPr>
                <w:p w:rsidR="00C82952" w:rsidRPr="00C82952" w:rsidRDefault="00131134" w:rsidP="00F3687E">
                  <w:pPr>
                    <w:spacing w:after="0" w:line="240" w:lineRule="auto"/>
                    <w:jc w:val="center"/>
                    <w:rPr>
                      <w:rFonts w:ascii="Calibri" w:eastAsia="Times New Roman" w:hAnsi="Calibri" w:cs="Times New Roman"/>
                      <w:color w:val="000000"/>
                    </w:rPr>
                  </w:pPr>
                  <w:r w:rsidRPr="008519E0">
                    <w:t>Table 2</w:t>
                  </w:r>
                  <w:r w:rsidR="00F3687E" w:rsidRPr="008519E0">
                    <w:t xml:space="preserve">  Reactions to CPI releases in c</w:t>
                  </w:r>
                  <w:r w:rsidRPr="008519E0">
                    <w:t xml:space="preserve">ountries that </w:t>
                  </w:r>
                  <w:r w:rsidR="00F3687E" w:rsidRPr="008519E0">
                    <w:t>e</w:t>
                  </w:r>
                  <w:r w:rsidRPr="008519E0">
                    <w:t>mphasize 12-month vs. 1-month</w:t>
                  </w:r>
                  <w:r w:rsidR="00F3687E" w:rsidRPr="008519E0">
                    <w:t xml:space="preserve"> n</w:t>
                  </w:r>
                  <w:r w:rsidR="00933488" w:rsidRPr="008519E0">
                    <w:t>ews</w:t>
                  </w:r>
                  <w:r w:rsidR="00F3687E">
                    <w:rPr>
                      <w:b/>
                      <w:sz w:val="24"/>
                      <w:szCs w:val="24"/>
                    </w:rPr>
                    <w:br/>
                  </w:r>
                  <w:r w:rsidR="00C82952" w:rsidRPr="00C82952">
                    <w:rPr>
                      <w:rFonts w:ascii="Calibri" w:eastAsia="Times New Roman" w:hAnsi="Calibri" w:cs="Times New Roman"/>
                      <w:color w:val="000000"/>
                    </w:rPr>
                    <w:t>Panel regression (</w:t>
                  </w:r>
                  <w:r w:rsidR="00F3687E">
                    <w:rPr>
                      <w:rFonts w:ascii="Calibri" w:eastAsia="Times New Roman" w:hAnsi="Calibri" w:cs="Times New Roman"/>
                      <w:color w:val="000000"/>
                    </w:rPr>
                    <w:t xml:space="preserve">with </w:t>
                  </w:r>
                  <w:r w:rsidR="00C82952" w:rsidRPr="00C82952">
                    <w:rPr>
                      <w:rFonts w:ascii="Calibri" w:eastAsia="Times New Roman" w:hAnsi="Calibri" w:cs="Times New Roman"/>
                      <w:color w:val="000000"/>
                    </w:rPr>
                    <w:t>country fixed effect</w:t>
                  </w:r>
                  <w:r w:rsidR="00F3687E">
                    <w:rPr>
                      <w:rFonts w:ascii="Calibri" w:eastAsia="Times New Roman" w:hAnsi="Calibri" w:cs="Times New Roman"/>
                      <w:color w:val="000000"/>
                    </w:rPr>
                    <w:t>s</w:t>
                  </w:r>
                  <w:r w:rsidR="00C82952" w:rsidRPr="00C82952">
                    <w:rPr>
                      <w:rFonts w:ascii="Calibri" w:eastAsia="Times New Roman" w:hAnsi="Calibri" w:cs="Times New Roman"/>
                      <w:color w:val="000000"/>
                    </w:rPr>
                    <w:t>)</w:t>
                  </w:r>
                </w:p>
              </w:tc>
              <w:tc>
                <w:tcPr>
                  <w:tcW w:w="66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rsidTr="00C82952">
              <w:trPr>
                <w:trHeight w:val="300"/>
              </w:trPr>
              <w:tc>
                <w:tcPr>
                  <w:tcW w:w="8360" w:type="dxa"/>
                  <w:gridSpan w:val="4"/>
                  <w:vMerge w:val="restart"/>
                  <w:tcBorders>
                    <w:top w:val="single" w:sz="8" w:space="0" w:color="auto"/>
                    <w:left w:val="single" w:sz="8" w:space="0" w:color="auto"/>
                    <w:bottom w:val="single" w:sz="4" w:space="0" w:color="000000"/>
                    <w:right w:val="single" w:sz="8" w:space="0" w:color="000000"/>
                  </w:tcBorders>
                  <w:shd w:val="clear" w:color="000000" w:fill="FFFFFF"/>
                  <w:vAlign w:val="bottom"/>
                  <w:hideMark/>
                </w:tcPr>
                <w:p w:rsidR="00C82952" w:rsidRPr="00C82952" w:rsidRDefault="00C82952" w:rsidP="00413E7C">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Dependent Variable: % change in 10 year government bond prices                                                                        (</w:t>
                  </w:r>
                  <w:r>
                    <w:rPr>
                      <w:rFonts w:ascii="Calibri" w:eastAsia="Times New Roman" w:hAnsi="Calibri" w:cs="Times New Roman"/>
                      <w:color w:val="000000"/>
                    </w:rPr>
                    <w:t>from the day b</w:t>
                  </w:r>
                  <w:r w:rsidRPr="00C82952">
                    <w:rPr>
                      <w:rFonts w:ascii="Calibri" w:eastAsia="Times New Roman" w:hAnsi="Calibri" w:cs="Times New Roman"/>
                      <w:color w:val="000000"/>
                    </w:rPr>
                    <w:t>efore the announcement</w:t>
                  </w:r>
                  <w:r>
                    <w:rPr>
                      <w:rFonts w:ascii="Calibri" w:eastAsia="Times New Roman" w:hAnsi="Calibri" w:cs="Times New Roman"/>
                      <w:color w:val="000000"/>
                    </w:rPr>
                    <w:t xml:space="preserve"> to the day </w:t>
                  </w:r>
                  <w:r w:rsidR="00413E7C">
                    <w:rPr>
                      <w:rFonts w:ascii="Calibri" w:eastAsia="Times New Roman" w:hAnsi="Calibri" w:cs="Times New Roman"/>
                      <w:color w:val="000000"/>
                    </w:rPr>
                    <w:t>following</w:t>
                  </w:r>
                  <w:r w:rsidRPr="00C82952">
                    <w:rPr>
                      <w:rFonts w:ascii="Calibri" w:eastAsia="Times New Roman" w:hAnsi="Calibri" w:cs="Times New Roman"/>
                      <w:color w:val="000000"/>
                    </w:rPr>
                    <w:t>)</w:t>
                  </w:r>
                </w:p>
              </w:tc>
              <w:tc>
                <w:tcPr>
                  <w:tcW w:w="660" w:type="dxa"/>
                  <w:tcBorders>
                    <w:top w:val="nil"/>
                    <w:left w:val="nil"/>
                    <w:bottom w:val="nil"/>
                    <w:right w:val="nil"/>
                  </w:tcBorders>
                  <w:shd w:val="clear" w:color="000000" w:fill="FFFFFF"/>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rsidTr="00C82952">
              <w:trPr>
                <w:trHeight w:val="300"/>
              </w:trPr>
              <w:tc>
                <w:tcPr>
                  <w:tcW w:w="8360" w:type="dxa"/>
                  <w:gridSpan w:val="4"/>
                  <w:vMerge/>
                  <w:tcBorders>
                    <w:top w:val="single" w:sz="8" w:space="0" w:color="auto"/>
                    <w:left w:val="single" w:sz="8" w:space="0" w:color="auto"/>
                    <w:bottom w:val="single" w:sz="4" w:space="0" w:color="000000"/>
                    <w:right w:val="single" w:sz="8" w:space="0" w:color="000000"/>
                  </w:tcBorders>
                  <w:vAlign w:val="center"/>
                  <w:hideMark/>
                </w:tcPr>
                <w:p w:rsidR="00C82952" w:rsidRPr="00C82952" w:rsidRDefault="00C82952" w:rsidP="00C82952">
                  <w:pPr>
                    <w:spacing w:after="0" w:line="240" w:lineRule="auto"/>
                    <w:rPr>
                      <w:rFonts w:ascii="Calibri" w:eastAsia="Times New Roman" w:hAnsi="Calibri" w:cs="Times New Roman"/>
                      <w:color w:val="000000"/>
                    </w:rPr>
                  </w:pPr>
                </w:p>
              </w:tc>
              <w:tc>
                <w:tcPr>
                  <w:tcW w:w="66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rsidTr="00C82952">
              <w:trPr>
                <w:trHeight w:val="300"/>
              </w:trPr>
              <w:tc>
                <w:tcPr>
                  <w:tcW w:w="3660" w:type="dxa"/>
                  <w:tcBorders>
                    <w:top w:val="nil"/>
                    <w:left w:val="single" w:sz="8" w:space="0" w:color="auto"/>
                    <w:bottom w:val="nil"/>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b/>
                      <w:bCs/>
                      <w:color w:val="000000"/>
                    </w:rPr>
                  </w:pPr>
                  <w:r w:rsidRPr="00C82952">
                    <w:rPr>
                      <w:rFonts w:ascii="Calibri" w:eastAsia="Times New Roman" w:hAnsi="Calibri" w:cs="Times New Roman"/>
                      <w:b/>
                      <w:bCs/>
                      <w:color w:val="000000"/>
                    </w:rPr>
                    <w:t>Emphasis of Inflation Announcement</w:t>
                  </w:r>
                </w:p>
              </w:tc>
              <w:tc>
                <w:tcPr>
                  <w:tcW w:w="30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b/>
                      <w:bCs/>
                      <w:color w:val="000000"/>
                    </w:rPr>
                  </w:pPr>
                  <w:r w:rsidRPr="00C82952">
                    <w:rPr>
                      <w:rFonts w:ascii="Calibri" w:eastAsia="Times New Roman" w:hAnsi="Calibri" w:cs="Times New Roman"/>
                      <w:b/>
                      <w:bCs/>
                      <w:color w:val="000000"/>
                    </w:rPr>
                    <w:t> </w:t>
                  </w:r>
                </w:p>
              </w:tc>
              <w:tc>
                <w:tcPr>
                  <w:tcW w:w="2080" w:type="dxa"/>
                  <w:tcBorders>
                    <w:top w:val="nil"/>
                    <w:left w:val="dashed" w:sz="4" w:space="0" w:color="auto"/>
                    <w:bottom w:val="nil"/>
                    <w:right w:val="dashed" w:sz="4"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Cs/>
                      <w:color w:val="000000"/>
                    </w:rPr>
                    <w:t>(1)</w:t>
                  </w:r>
                  <w:r>
                    <w:rPr>
                      <w:rFonts w:ascii="Calibri" w:eastAsia="Times New Roman" w:hAnsi="Calibri" w:cs="Times New Roman"/>
                      <w:b/>
                      <w:bCs/>
                      <w:color w:val="000000"/>
                    </w:rPr>
                    <w:br/>
                    <w:t>12-month</w:t>
                  </w:r>
                </w:p>
              </w:tc>
              <w:tc>
                <w:tcPr>
                  <w:tcW w:w="2320" w:type="dxa"/>
                  <w:tcBorders>
                    <w:top w:val="nil"/>
                    <w:left w:val="nil"/>
                    <w:bottom w:val="nil"/>
                    <w:right w:val="single" w:sz="8"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Cs/>
                      <w:color w:val="000000"/>
                    </w:rPr>
                    <w:t>(2)</w:t>
                  </w:r>
                  <w:r>
                    <w:rPr>
                      <w:rFonts w:ascii="Calibri" w:eastAsia="Times New Roman" w:hAnsi="Calibri" w:cs="Times New Roman"/>
                      <w:b/>
                      <w:bCs/>
                      <w:color w:val="000000"/>
                    </w:rPr>
                    <w:br/>
                    <w:t>Month-on-month</w:t>
                  </w:r>
                </w:p>
              </w:tc>
              <w:tc>
                <w:tcPr>
                  <w:tcW w:w="66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rsidTr="00C82952">
              <w:trPr>
                <w:trHeight w:val="300"/>
              </w:trPr>
              <w:tc>
                <w:tcPr>
                  <w:tcW w:w="3660" w:type="dxa"/>
                  <w:tcBorders>
                    <w:top w:val="nil"/>
                    <w:left w:val="single" w:sz="8" w:space="0" w:color="auto"/>
                    <w:bottom w:val="single" w:sz="4" w:space="0" w:color="auto"/>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Countries</w:t>
                  </w:r>
                </w:p>
              </w:tc>
              <w:tc>
                <w:tcPr>
                  <w:tcW w:w="300" w:type="dxa"/>
                  <w:tcBorders>
                    <w:top w:val="nil"/>
                    <w:left w:val="nil"/>
                    <w:bottom w:val="single" w:sz="4" w:space="0" w:color="auto"/>
                    <w:right w:val="nil"/>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c>
                <w:tcPr>
                  <w:tcW w:w="2080" w:type="dxa"/>
                  <w:tcBorders>
                    <w:top w:val="nil"/>
                    <w:left w:val="dashed" w:sz="4" w:space="0" w:color="auto"/>
                    <w:bottom w:val="single" w:sz="4" w:space="0" w:color="auto"/>
                    <w:right w:val="dashed" w:sz="4" w:space="0" w:color="auto"/>
                  </w:tcBorders>
                  <w:shd w:val="clear" w:color="000000" w:fill="FFFFFF"/>
                  <w:vAlign w:val="bottom"/>
                  <w:hideMark/>
                </w:tcPr>
                <w:p w:rsidR="00C82952" w:rsidRPr="00C82952" w:rsidRDefault="00C82952" w:rsidP="00C82952">
                  <w:pPr>
                    <w:spacing w:after="0" w:line="240" w:lineRule="auto"/>
                    <w:jc w:val="center"/>
                    <w:rPr>
                      <w:rFonts w:ascii="Calibri" w:eastAsia="Times New Roman" w:hAnsi="Calibri" w:cs="Times New Roman"/>
                      <w:b/>
                      <w:color w:val="000000"/>
                    </w:rPr>
                  </w:pPr>
                  <w:r w:rsidRPr="00C82952">
                    <w:rPr>
                      <w:rFonts w:ascii="Calibri" w:eastAsia="Times New Roman" w:hAnsi="Calibri" w:cs="Times New Roman"/>
                      <w:b/>
                      <w:color w:val="000000"/>
                    </w:rPr>
                    <w:t>UK and Canada</w:t>
                  </w:r>
                </w:p>
              </w:tc>
              <w:tc>
                <w:tcPr>
                  <w:tcW w:w="2320" w:type="dxa"/>
                  <w:tcBorders>
                    <w:top w:val="nil"/>
                    <w:left w:val="nil"/>
                    <w:bottom w:val="single" w:sz="4" w:space="0" w:color="auto"/>
                    <w:right w:val="single" w:sz="8"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b/>
                      <w:color w:val="000000"/>
                    </w:rPr>
                  </w:pPr>
                  <w:r w:rsidRPr="00C82952">
                    <w:rPr>
                      <w:rFonts w:ascii="Calibri" w:eastAsia="Times New Roman" w:hAnsi="Calibri" w:cs="Times New Roman"/>
                      <w:b/>
                      <w:color w:val="000000"/>
                    </w:rPr>
                    <w:t>US and Korea</w:t>
                  </w:r>
                </w:p>
              </w:tc>
              <w:tc>
                <w:tcPr>
                  <w:tcW w:w="66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rsidTr="00C82952">
              <w:trPr>
                <w:trHeight w:val="300"/>
              </w:trPr>
              <w:tc>
                <w:tcPr>
                  <w:tcW w:w="3660" w:type="dxa"/>
                  <w:tcBorders>
                    <w:top w:val="nil"/>
                    <w:left w:val="single" w:sz="8" w:space="0" w:color="auto"/>
                    <w:bottom w:val="nil"/>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proofErr w:type="spellStart"/>
                  <w:r w:rsidRPr="00C82952">
                    <w:rPr>
                      <w:rFonts w:ascii="Calibri" w:eastAsia="Times New Roman" w:hAnsi="Calibri" w:cs="Times New Roman"/>
                      <w:color w:val="000000"/>
                    </w:rPr>
                    <w:t>MoM</w:t>
                  </w:r>
                  <w:proofErr w:type="spellEnd"/>
                  <w:r w:rsidRPr="00C82952">
                    <w:rPr>
                      <w:rFonts w:ascii="Calibri" w:eastAsia="Times New Roman" w:hAnsi="Calibri" w:cs="Times New Roman"/>
                      <w:color w:val="000000"/>
                    </w:rPr>
                    <w:t xml:space="preserve"> Surprise</w:t>
                  </w:r>
                  <w:r w:rsidR="00B435FC" w:rsidRPr="00B435FC">
                    <w:rPr>
                      <w:rFonts w:ascii="Calibri" w:eastAsia="Times New Roman" w:hAnsi="Calibri" w:cs="Times New Roman"/>
                      <w:color w:val="000000"/>
                    </w:rPr>
                    <w:t>†</w:t>
                  </w:r>
                </w:p>
              </w:tc>
              <w:tc>
                <w:tcPr>
                  <w:tcW w:w="30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 </w:t>
                  </w:r>
                </w:p>
              </w:tc>
              <w:tc>
                <w:tcPr>
                  <w:tcW w:w="2080" w:type="dxa"/>
                  <w:tcBorders>
                    <w:top w:val="nil"/>
                    <w:left w:val="dashed" w:sz="4" w:space="0" w:color="auto"/>
                    <w:bottom w:val="nil"/>
                    <w:right w:val="dashed" w:sz="4"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0.002</w:t>
                  </w:r>
                </w:p>
              </w:tc>
              <w:tc>
                <w:tcPr>
                  <w:tcW w:w="2320" w:type="dxa"/>
                  <w:tcBorders>
                    <w:top w:val="nil"/>
                    <w:left w:val="nil"/>
                    <w:bottom w:val="nil"/>
                    <w:right w:val="single" w:sz="8"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-0.019</w:t>
                  </w:r>
                </w:p>
              </w:tc>
              <w:tc>
                <w:tcPr>
                  <w:tcW w:w="66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rsidTr="00C82952">
              <w:trPr>
                <w:trHeight w:val="315"/>
              </w:trPr>
              <w:tc>
                <w:tcPr>
                  <w:tcW w:w="3660" w:type="dxa"/>
                  <w:tcBorders>
                    <w:top w:val="nil"/>
                    <w:left w:val="single" w:sz="8" w:space="0" w:color="auto"/>
                    <w:bottom w:val="nil"/>
                    <w:right w:val="nil"/>
                  </w:tcBorders>
                  <w:shd w:val="clear" w:color="000000" w:fill="FFFFFF"/>
                  <w:noWrap/>
                  <w:vAlign w:val="bottom"/>
                  <w:hideMark/>
                </w:tcPr>
                <w:p w:rsidR="00C82952" w:rsidRPr="00C82952" w:rsidRDefault="00C82952" w:rsidP="00B435FC">
                  <w:pPr>
                    <w:spacing w:after="0" w:line="240" w:lineRule="auto"/>
                    <w:jc w:val="right"/>
                    <w:rPr>
                      <w:rFonts w:ascii="Calibri" w:eastAsia="Times New Roman" w:hAnsi="Calibri" w:cs="Times New Roman"/>
                      <w:color w:val="000000"/>
                      <w:sz w:val="18"/>
                      <w:szCs w:val="18"/>
                    </w:rPr>
                  </w:pPr>
                </w:p>
              </w:tc>
              <w:tc>
                <w:tcPr>
                  <w:tcW w:w="30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 </w:t>
                  </w:r>
                </w:p>
              </w:tc>
              <w:tc>
                <w:tcPr>
                  <w:tcW w:w="2080" w:type="dxa"/>
                  <w:tcBorders>
                    <w:top w:val="nil"/>
                    <w:left w:val="dashed" w:sz="4" w:space="0" w:color="auto"/>
                    <w:bottom w:val="nil"/>
                    <w:right w:val="dashed" w:sz="4"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[1.09]</w:t>
                  </w:r>
                </w:p>
              </w:tc>
              <w:tc>
                <w:tcPr>
                  <w:tcW w:w="2320" w:type="dxa"/>
                  <w:tcBorders>
                    <w:top w:val="nil"/>
                    <w:left w:val="nil"/>
                    <w:bottom w:val="nil"/>
                    <w:right w:val="single" w:sz="8"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[-1.48]</w:t>
                  </w:r>
                </w:p>
              </w:tc>
              <w:tc>
                <w:tcPr>
                  <w:tcW w:w="66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rsidTr="00C82952">
              <w:trPr>
                <w:trHeight w:val="300"/>
              </w:trPr>
              <w:tc>
                <w:tcPr>
                  <w:tcW w:w="3660" w:type="dxa"/>
                  <w:tcBorders>
                    <w:top w:val="nil"/>
                    <w:left w:val="single" w:sz="8" w:space="0" w:color="auto"/>
                    <w:bottom w:val="nil"/>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proofErr w:type="spellStart"/>
                  <w:r w:rsidRPr="00C82952">
                    <w:rPr>
                      <w:rFonts w:ascii="Calibri" w:eastAsia="Times New Roman" w:hAnsi="Calibri" w:cs="Times New Roman"/>
                      <w:color w:val="000000"/>
                    </w:rPr>
                    <w:t>YoY</w:t>
                  </w:r>
                  <w:proofErr w:type="spellEnd"/>
                  <w:r w:rsidRPr="00C82952">
                    <w:rPr>
                      <w:rFonts w:ascii="Calibri" w:eastAsia="Times New Roman" w:hAnsi="Calibri" w:cs="Times New Roman"/>
                      <w:color w:val="000000"/>
                    </w:rPr>
                    <w:t xml:space="preserve"> Surprise</w:t>
                  </w:r>
                  <w:r w:rsidR="00B435FC" w:rsidRPr="00B435FC">
                    <w:rPr>
                      <w:rFonts w:ascii="Calibri" w:eastAsia="Times New Roman" w:hAnsi="Calibri" w:cs="Times New Roman"/>
                      <w:color w:val="000000"/>
                    </w:rPr>
                    <w:t>†</w:t>
                  </w:r>
                </w:p>
              </w:tc>
              <w:tc>
                <w:tcPr>
                  <w:tcW w:w="30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 </w:t>
                  </w:r>
                </w:p>
              </w:tc>
              <w:tc>
                <w:tcPr>
                  <w:tcW w:w="2080" w:type="dxa"/>
                  <w:tcBorders>
                    <w:top w:val="nil"/>
                    <w:left w:val="dashed" w:sz="4" w:space="0" w:color="auto"/>
                    <w:bottom w:val="nil"/>
                    <w:right w:val="dashed" w:sz="4"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-0.006</w:t>
                  </w:r>
                  <w:r w:rsidRPr="00C82952">
                    <w:rPr>
                      <w:rFonts w:ascii="Calibri" w:eastAsia="Times New Roman" w:hAnsi="Calibri" w:cs="Times New Roman"/>
                      <w:b/>
                      <w:bCs/>
                      <w:color w:val="000000"/>
                      <w:vertAlign w:val="superscript"/>
                    </w:rPr>
                    <w:t>***</w:t>
                  </w:r>
                </w:p>
              </w:tc>
              <w:tc>
                <w:tcPr>
                  <w:tcW w:w="2320" w:type="dxa"/>
                  <w:tcBorders>
                    <w:top w:val="nil"/>
                    <w:left w:val="nil"/>
                    <w:bottom w:val="nil"/>
                    <w:right w:val="single" w:sz="8"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0.002</w:t>
                  </w:r>
                </w:p>
              </w:tc>
              <w:tc>
                <w:tcPr>
                  <w:tcW w:w="66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rsidTr="00C82952">
              <w:trPr>
                <w:trHeight w:val="300"/>
              </w:trPr>
              <w:tc>
                <w:tcPr>
                  <w:tcW w:w="3660" w:type="dxa"/>
                  <w:tcBorders>
                    <w:top w:val="nil"/>
                    <w:left w:val="single" w:sz="8" w:space="0" w:color="auto"/>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30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2080" w:type="dxa"/>
                  <w:tcBorders>
                    <w:top w:val="nil"/>
                    <w:left w:val="dashed" w:sz="4" w:space="0" w:color="auto"/>
                    <w:bottom w:val="nil"/>
                    <w:right w:val="dashed" w:sz="4"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[-2.76]</w:t>
                  </w:r>
                </w:p>
              </w:tc>
              <w:tc>
                <w:tcPr>
                  <w:tcW w:w="2320" w:type="dxa"/>
                  <w:tcBorders>
                    <w:top w:val="nil"/>
                    <w:left w:val="nil"/>
                    <w:bottom w:val="nil"/>
                    <w:right w:val="single" w:sz="8"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[1.46]</w:t>
                  </w:r>
                </w:p>
              </w:tc>
              <w:tc>
                <w:tcPr>
                  <w:tcW w:w="66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rsidTr="00C82952">
              <w:trPr>
                <w:trHeight w:val="300"/>
              </w:trPr>
              <w:tc>
                <w:tcPr>
                  <w:tcW w:w="3660" w:type="dxa"/>
                  <w:tcBorders>
                    <w:top w:val="nil"/>
                    <w:left w:val="single" w:sz="8" w:space="0" w:color="auto"/>
                    <w:bottom w:val="nil"/>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Constant</w:t>
                  </w:r>
                </w:p>
              </w:tc>
              <w:tc>
                <w:tcPr>
                  <w:tcW w:w="30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 </w:t>
                  </w:r>
                </w:p>
              </w:tc>
              <w:tc>
                <w:tcPr>
                  <w:tcW w:w="2080" w:type="dxa"/>
                  <w:tcBorders>
                    <w:top w:val="nil"/>
                    <w:left w:val="dashed" w:sz="4" w:space="0" w:color="auto"/>
                    <w:bottom w:val="nil"/>
                    <w:right w:val="dashed" w:sz="4"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-0.0003</w:t>
                  </w:r>
                </w:p>
              </w:tc>
              <w:tc>
                <w:tcPr>
                  <w:tcW w:w="2320" w:type="dxa"/>
                  <w:tcBorders>
                    <w:top w:val="nil"/>
                    <w:left w:val="nil"/>
                    <w:bottom w:val="nil"/>
                    <w:right w:val="single" w:sz="8"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0.0002</w:t>
                  </w:r>
                </w:p>
              </w:tc>
              <w:tc>
                <w:tcPr>
                  <w:tcW w:w="66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rsidTr="00C82952">
              <w:trPr>
                <w:trHeight w:val="300"/>
              </w:trPr>
              <w:tc>
                <w:tcPr>
                  <w:tcW w:w="3660" w:type="dxa"/>
                  <w:tcBorders>
                    <w:top w:val="nil"/>
                    <w:left w:val="single" w:sz="8" w:space="0" w:color="auto"/>
                    <w:bottom w:val="double" w:sz="6" w:space="0" w:color="auto"/>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300" w:type="dxa"/>
                  <w:tcBorders>
                    <w:top w:val="nil"/>
                    <w:left w:val="nil"/>
                    <w:bottom w:val="double" w:sz="6" w:space="0" w:color="auto"/>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2080" w:type="dxa"/>
                  <w:tcBorders>
                    <w:top w:val="nil"/>
                    <w:left w:val="dashed" w:sz="4" w:space="0" w:color="auto"/>
                    <w:bottom w:val="double" w:sz="6" w:space="0" w:color="auto"/>
                    <w:right w:val="dashed" w:sz="4"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[-1.28]</w:t>
                  </w:r>
                </w:p>
              </w:tc>
              <w:tc>
                <w:tcPr>
                  <w:tcW w:w="2320" w:type="dxa"/>
                  <w:tcBorders>
                    <w:top w:val="nil"/>
                    <w:left w:val="nil"/>
                    <w:bottom w:val="double" w:sz="6" w:space="0" w:color="auto"/>
                    <w:right w:val="single" w:sz="8"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[0.61]</w:t>
                  </w:r>
                </w:p>
              </w:tc>
              <w:tc>
                <w:tcPr>
                  <w:tcW w:w="66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rsidTr="00C82952">
              <w:trPr>
                <w:trHeight w:val="315"/>
              </w:trPr>
              <w:tc>
                <w:tcPr>
                  <w:tcW w:w="3660" w:type="dxa"/>
                  <w:tcBorders>
                    <w:top w:val="nil"/>
                    <w:left w:val="single" w:sz="8" w:space="0" w:color="auto"/>
                    <w:bottom w:val="nil"/>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Number of observations</w:t>
                  </w:r>
                </w:p>
              </w:tc>
              <w:tc>
                <w:tcPr>
                  <w:tcW w:w="30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 </w:t>
                  </w:r>
                </w:p>
              </w:tc>
              <w:tc>
                <w:tcPr>
                  <w:tcW w:w="2080" w:type="dxa"/>
                  <w:tcBorders>
                    <w:top w:val="nil"/>
                    <w:left w:val="dashed" w:sz="4" w:space="0" w:color="auto"/>
                    <w:bottom w:val="nil"/>
                    <w:right w:val="dashed" w:sz="4"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267</w:t>
                  </w:r>
                </w:p>
              </w:tc>
              <w:tc>
                <w:tcPr>
                  <w:tcW w:w="2320" w:type="dxa"/>
                  <w:tcBorders>
                    <w:top w:val="nil"/>
                    <w:left w:val="nil"/>
                    <w:bottom w:val="nil"/>
                    <w:right w:val="single" w:sz="8"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259</w:t>
                  </w:r>
                </w:p>
              </w:tc>
              <w:tc>
                <w:tcPr>
                  <w:tcW w:w="66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rsidTr="00C82952">
              <w:trPr>
                <w:trHeight w:val="315"/>
              </w:trPr>
              <w:tc>
                <w:tcPr>
                  <w:tcW w:w="3660" w:type="dxa"/>
                  <w:tcBorders>
                    <w:top w:val="nil"/>
                    <w:left w:val="single" w:sz="8" w:space="0" w:color="auto"/>
                    <w:bottom w:val="nil"/>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R</w:t>
                  </w:r>
                  <w:r w:rsidRPr="00C82952">
                    <w:rPr>
                      <w:rFonts w:ascii="Calibri" w:eastAsia="Times New Roman" w:hAnsi="Calibri" w:cs="Times New Roman"/>
                      <w:color w:val="000000"/>
                      <w:vertAlign w:val="superscript"/>
                    </w:rPr>
                    <w:t>2</w:t>
                  </w:r>
                </w:p>
              </w:tc>
              <w:tc>
                <w:tcPr>
                  <w:tcW w:w="30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 </w:t>
                  </w:r>
                </w:p>
              </w:tc>
              <w:tc>
                <w:tcPr>
                  <w:tcW w:w="2080" w:type="dxa"/>
                  <w:tcBorders>
                    <w:top w:val="nil"/>
                    <w:left w:val="dashed" w:sz="4" w:space="0" w:color="auto"/>
                    <w:bottom w:val="nil"/>
                    <w:right w:val="dashed" w:sz="4"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0.06</w:t>
                  </w:r>
                </w:p>
              </w:tc>
              <w:tc>
                <w:tcPr>
                  <w:tcW w:w="2320" w:type="dxa"/>
                  <w:tcBorders>
                    <w:top w:val="nil"/>
                    <w:left w:val="nil"/>
                    <w:bottom w:val="nil"/>
                    <w:right w:val="single" w:sz="8"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w:t>
                  </w:r>
                  <w:r>
                    <w:rPr>
                      <w:rFonts w:ascii="Calibri" w:eastAsia="Times New Roman" w:hAnsi="Calibri" w:cs="Times New Roman"/>
                      <w:color w:val="000000"/>
                    </w:rPr>
                    <w:t>1</w:t>
                  </w:r>
                </w:p>
              </w:tc>
              <w:tc>
                <w:tcPr>
                  <w:tcW w:w="66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rsidTr="00C82952">
              <w:trPr>
                <w:trHeight w:val="300"/>
              </w:trPr>
              <w:tc>
                <w:tcPr>
                  <w:tcW w:w="3660" w:type="dxa"/>
                  <w:tcBorders>
                    <w:top w:val="nil"/>
                    <w:left w:val="single" w:sz="8" w:space="0" w:color="auto"/>
                    <w:bottom w:val="nil"/>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F-value</w:t>
                  </w:r>
                </w:p>
              </w:tc>
              <w:tc>
                <w:tcPr>
                  <w:tcW w:w="30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 </w:t>
                  </w:r>
                </w:p>
              </w:tc>
              <w:tc>
                <w:tcPr>
                  <w:tcW w:w="2080" w:type="dxa"/>
                  <w:tcBorders>
                    <w:top w:val="nil"/>
                    <w:left w:val="dashed" w:sz="4" w:space="0" w:color="auto"/>
                    <w:bottom w:val="nil"/>
                    <w:right w:val="dashed" w:sz="4"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7.4</w:t>
                  </w:r>
                </w:p>
              </w:tc>
              <w:tc>
                <w:tcPr>
                  <w:tcW w:w="2320" w:type="dxa"/>
                  <w:tcBorders>
                    <w:top w:val="nil"/>
                    <w:left w:val="nil"/>
                    <w:bottom w:val="nil"/>
                    <w:right w:val="single" w:sz="8"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1.1</w:t>
                  </w:r>
                </w:p>
              </w:tc>
              <w:tc>
                <w:tcPr>
                  <w:tcW w:w="66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rsidTr="00C82952">
              <w:trPr>
                <w:trHeight w:val="315"/>
              </w:trPr>
              <w:tc>
                <w:tcPr>
                  <w:tcW w:w="3660" w:type="dxa"/>
                  <w:tcBorders>
                    <w:top w:val="nil"/>
                    <w:left w:val="single" w:sz="8" w:space="0" w:color="auto"/>
                    <w:bottom w:val="single" w:sz="8" w:space="0" w:color="auto"/>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Prob &gt; F</w:t>
                  </w:r>
                </w:p>
              </w:tc>
              <w:tc>
                <w:tcPr>
                  <w:tcW w:w="300" w:type="dxa"/>
                  <w:tcBorders>
                    <w:top w:val="nil"/>
                    <w:left w:val="nil"/>
                    <w:bottom w:val="single" w:sz="8" w:space="0" w:color="auto"/>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r w:rsidRPr="00C82952">
                    <w:rPr>
                      <w:rFonts w:ascii="Calibri" w:eastAsia="Times New Roman" w:hAnsi="Calibri" w:cs="Times New Roman"/>
                      <w:color w:val="000000"/>
                    </w:rPr>
                    <w:t> </w:t>
                  </w:r>
                </w:p>
              </w:tc>
              <w:tc>
                <w:tcPr>
                  <w:tcW w:w="2080" w:type="dxa"/>
                  <w:tcBorders>
                    <w:top w:val="nil"/>
                    <w:left w:val="dashed" w:sz="4" w:space="0" w:color="auto"/>
                    <w:bottom w:val="single" w:sz="8" w:space="0" w:color="auto"/>
                    <w:right w:val="dashed" w:sz="4"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0.0007</w:t>
                  </w:r>
                </w:p>
              </w:tc>
              <w:tc>
                <w:tcPr>
                  <w:tcW w:w="2320" w:type="dxa"/>
                  <w:tcBorders>
                    <w:top w:val="nil"/>
                    <w:left w:val="nil"/>
                    <w:bottom w:val="single" w:sz="8" w:space="0" w:color="auto"/>
                    <w:right w:val="single" w:sz="8"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0.33</w:t>
                  </w:r>
                </w:p>
              </w:tc>
              <w:tc>
                <w:tcPr>
                  <w:tcW w:w="66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rsidTr="00D673BE">
              <w:trPr>
                <w:trHeight w:val="61"/>
              </w:trPr>
              <w:tc>
                <w:tcPr>
                  <w:tcW w:w="3660" w:type="dxa"/>
                  <w:tcBorders>
                    <w:top w:val="nil"/>
                    <w:left w:val="nil"/>
                    <w:bottom w:val="nil"/>
                    <w:right w:val="nil"/>
                  </w:tcBorders>
                  <w:shd w:val="clear" w:color="000000" w:fill="FFFFFF"/>
                  <w:noWrap/>
                  <w:vAlign w:val="bottom"/>
                  <w:hideMark/>
                </w:tcPr>
                <w:p w:rsidR="00C82952" w:rsidRPr="00F3687E" w:rsidRDefault="00C82952" w:rsidP="00C82952">
                  <w:pPr>
                    <w:spacing w:after="0" w:line="240" w:lineRule="auto"/>
                    <w:rPr>
                      <w:rFonts w:ascii="Calibri" w:eastAsia="Times New Roman" w:hAnsi="Calibri" w:cs="Times New Roman"/>
                      <w:color w:val="000000"/>
                      <w:sz w:val="16"/>
                      <w:szCs w:val="16"/>
                    </w:rPr>
                  </w:pPr>
                  <w:r w:rsidRPr="00F3687E">
                    <w:rPr>
                      <w:rFonts w:ascii="Calibri" w:eastAsia="Times New Roman" w:hAnsi="Calibri" w:cs="Times New Roman"/>
                      <w:color w:val="000000"/>
                      <w:sz w:val="16"/>
                      <w:szCs w:val="16"/>
                    </w:rPr>
                    <w:t> </w:t>
                  </w:r>
                </w:p>
              </w:tc>
              <w:tc>
                <w:tcPr>
                  <w:tcW w:w="300" w:type="dxa"/>
                  <w:tcBorders>
                    <w:top w:val="nil"/>
                    <w:left w:val="nil"/>
                    <w:bottom w:val="nil"/>
                    <w:right w:val="nil"/>
                  </w:tcBorders>
                  <w:shd w:val="clear" w:color="000000" w:fill="FFFFFF"/>
                  <w:noWrap/>
                  <w:vAlign w:val="bottom"/>
                  <w:hideMark/>
                </w:tcPr>
                <w:p w:rsidR="00C82952" w:rsidRPr="00F3687E" w:rsidRDefault="00C82952" w:rsidP="00C82952">
                  <w:pPr>
                    <w:spacing w:after="0" w:line="240" w:lineRule="auto"/>
                    <w:rPr>
                      <w:rFonts w:ascii="Calibri" w:eastAsia="Times New Roman" w:hAnsi="Calibri" w:cs="Times New Roman"/>
                      <w:color w:val="000000"/>
                      <w:sz w:val="16"/>
                      <w:szCs w:val="16"/>
                    </w:rPr>
                  </w:pPr>
                  <w:r w:rsidRPr="00F3687E">
                    <w:rPr>
                      <w:rFonts w:ascii="Calibri" w:eastAsia="Times New Roman" w:hAnsi="Calibri" w:cs="Times New Roman"/>
                      <w:color w:val="000000"/>
                      <w:sz w:val="16"/>
                      <w:szCs w:val="16"/>
                    </w:rPr>
                    <w:t> </w:t>
                  </w:r>
                </w:p>
              </w:tc>
              <w:tc>
                <w:tcPr>
                  <w:tcW w:w="2080" w:type="dxa"/>
                  <w:tcBorders>
                    <w:top w:val="nil"/>
                    <w:left w:val="nil"/>
                    <w:bottom w:val="nil"/>
                    <w:right w:val="nil"/>
                  </w:tcBorders>
                  <w:shd w:val="clear" w:color="000000" w:fill="FFFFFF"/>
                  <w:noWrap/>
                  <w:vAlign w:val="bottom"/>
                  <w:hideMark/>
                </w:tcPr>
                <w:p w:rsidR="00C82952" w:rsidRPr="00F3687E" w:rsidRDefault="00C82952" w:rsidP="00C82952">
                  <w:pPr>
                    <w:spacing w:after="0" w:line="240" w:lineRule="auto"/>
                    <w:jc w:val="center"/>
                    <w:rPr>
                      <w:rFonts w:ascii="Calibri" w:eastAsia="Times New Roman" w:hAnsi="Calibri" w:cs="Times New Roman"/>
                      <w:color w:val="000000"/>
                      <w:sz w:val="16"/>
                      <w:szCs w:val="16"/>
                    </w:rPr>
                  </w:pPr>
                  <w:r w:rsidRPr="00F3687E">
                    <w:rPr>
                      <w:rFonts w:ascii="Calibri" w:eastAsia="Times New Roman" w:hAnsi="Calibri" w:cs="Times New Roman"/>
                      <w:color w:val="000000"/>
                      <w:sz w:val="16"/>
                      <w:szCs w:val="16"/>
                    </w:rPr>
                    <w:t> </w:t>
                  </w:r>
                </w:p>
              </w:tc>
              <w:tc>
                <w:tcPr>
                  <w:tcW w:w="2320" w:type="dxa"/>
                  <w:tcBorders>
                    <w:top w:val="nil"/>
                    <w:left w:val="nil"/>
                    <w:bottom w:val="nil"/>
                    <w:right w:val="nil"/>
                  </w:tcBorders>
                  <w:shd w:val="clear" w:color="000000" w:fill="FFFFFF"/>
                  <w:noWrap/>
                  <w:vAlign w:val="bottom"/>
                  <w:hideMark/>
                </w:tcPr>
                <w:p w:rsidR="00C82952" w:rsidRPr="00F3687E" w:rsidRDefault="00C82952" w:rsidP="00C82952">
                  <w:pPr>
                    <w:spacing w:after="0" w:line="240" w:lineRule="auto"/>
                    <w:jc w:val="center"/>
                    <w:rPr>
                      <w:rFonts w:ascii="Calibri" w:eastAsia="Times New Roman" w:hAnsi="Calibri" w:cs="Times New Roman"/>
                      <w:color w:val="000000"/>
                      <w:sz w:val="16"/>
                      <w:szCs w:val="16"/>
                    </w:rPr>
                  </w:pPr>
                  <w:r w:rsidRPr="00F3687E">
                    <w:rPr>
                      <w:rFonts w:ascii="Calibri" w:eastAsia="Times New Roman" w:hAnsi="Calibri" w:cs="Times New Roman"/>
                      <w:color w:val="000000"/>
                      <w:sz w:val="16"/>
                      <w:szCs w:val="16"/>
                    </w:rPr>
                    <w:t> </w:t>
                  </w:r>
                </w:p>
              </w:tc>
              <w:tc>
                <w:tcPr>
                  <w:tcW w:w="66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rsidTr="00D673BE">
              <w:trPr>
                <w:trHeight w:val="66"/>
              </w:trPr>
              <w:tc>
                <w:tcPr>
                  <w:tcW w:w="8360" w:type="dxa"/>
                  <w:gridSpan w:val="4"/>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xml:space="preserve">*** Statistically significant at 1% level.              </w:t>
                  </w:r>
                  <w:r w:rsidR="00D673BE">
                    <w:rPr>
                      <w:rFonts w:ascii="Calibri" w:eastAsia="Times New Roman" w:hAnsi="Calibri" w:cs="Times New Roman"/>
                      <w:color w:val="000000"/>
                    </w:rPr>
                    <w:t xml:space="preserve">(t-statistics </w:t>
                  </w:r>
                  <w:r w:rsidRPr="00C82952">
                    <w:rPr>
                      <w:rFonts w:ascii="Calibri" w:eastAsia="Times New Roman" w:hAnsi="Calibri" w:cs="Times New Roman"/>
                      <w:color w:val="000000"/>
                    </w:rPr>
                    <w:t>are in parentheses.)</w:t>
                  </w:r>
                </w:p>
              </w:tc>
              <w:tc>
                <w:tcPr>
                  <w:tcW w:w="66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C82952" w:rsidRPr="00C82952" w:rsidTr="00D673BE">
              <w:trPr>
                <w:trHeight w:val="20"/>
              </w:trPr>
              <w:tc>
                <w:tcPr>
                  <w:tcW w:w="9020" w:type="dxa"/>
                  <w:gridSpan w:val="5"/>
                  <w:tcBorders>
                    <w:top w:val="nil"/>
                    <w:left w:val="nil"/>
                    <w:bottom w:val="nil"/>
                    <w:right w:val="nil"/>
                  </w:tcBorders>
                  <w:shd w:val="clear" w:color="000000" w:fill="FFFFFF"/>
                  <w:vAlign w:val="bottom"/>
                  <w:hideMark/>
                </w:tcPr>
                <w:p w:rsidR="00C82952" w:rsidRPr="00C82952" w:rsidRDefault="00C82952" w:rsidP="00A42E8D">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xml:space="preserve">† </w:t>
                  </w:r>
                  <w:r w:rsidR="00B435FC" w:rsidRPr="00B435FC">
                    <w:rPr>
                      <w:rFonts w:ascii="Calibri" w:eastAsia="Times New Roman" w:hAnsi="Calibri" w:cs="Times New Roman"/>
                      <w:color w:val="000000"/>
                      <w:sz w:val="20"/>
                      <w:szCs w:val="20"/>
                    </w:rPr>
                    <w:t xml:space="preserve">Surprise ≡ announcement minus forecast.  </w:t>
                  </w:r>
                  <w:r w:rsidRPr="00B435FC">
                    <w:rPr>
                      <w:rFonts w:ascii="Calibri" w:eastAsia="Times New Roman" w:hAnsi="Calibri" w:cs="Times New Roman"/>
                      <w:color w:val="000000"/>
                      <w:sz w:val="20"/>
                      <w:szCs w:val="20"/>
                    </w:rPr>
                    <w:t>Forecast is from average of analysts' for</w:t>
                  </w:r>
                  <w:r w:rsidR="00B435FC">
                    <w:rPr>
                      <w:rFonts w:ascii="Calibri" w:eastAsia="Times New Roman" w:hAnsi="Calibri" w:cs="Times New Roman"/>
                      <w:color w:val="000000"/>
                      <w:sz w:val="20"/>
                      <w:szCs w:val="20"/>
                    </w:rPr>
                    <w:t>ecasts of that number (</w:t>
                  </w:r>
                  <w:proofErr w:type="spellStart"/>
                  <w:r w:rsidR="00A42E8D">
                    <w:rPr>
                      <w:rFonts w:ascii="Calibri" w:eastAsia="Times New Roman" w:hAnsi="Calibri" w:cs="Times New Roman"/>
                      <w:color w:val="000000"/>
                      <w:sz w:val="20"/>
                      <w:szCs w:val="20"/>
                    </w:rPr>
                    <w:t>MoM</w:t>
                  </w:r>
                  <w:proofErr w:type="spellEnd"/>
                  <w:r w:rsidR="00A42E8D">
                    <w:rPr>
                      <w:rFonts w:ascii="Calibri" w:eastAsia="Times New Roman" w:hAnsi="Calibri" w:cs="Times New Roman"/>
                      <w:color w:val="000000"/>
                      <w:sz w:val="20"/>
                      <w:szCs w:val="20"/>
                    </w:rPr>
                    <w:t xml:space="preserve"> or </w:t>
                  </w:r>
                  <w:proofErr w:type="spellStart"/>
                  <w:r w:rsidR="00A42E8D">
                    <w:rPr>
                      <w:rFonts w:ascii="Calibri" w:eastAsia="Times New Roman" w:hAnsi="Calibri" w:cs="Times New Roman"/>
                      <w:color w:val="000000"/>
                      <w:sz w:val="20"/>
                      <w:szCs w:val="20"/>
                    </w:rPr>
                    <w:t>YoY</w:t>
                  </w:r>
                  <w:proofErr w:type="spellEnd"/>
                  <w:r w:rsidR="00A42E8D">
                    <w:rPr>
                      <w:rFonts w:ascii="Calibri" w:eastAsia="Times New Roman" w:hAnsi="Calibri" w:cs="Times New Roman"/>
                      <w:color w:val="000000"/>
                      <w:sz w:val="20"/>
                      <w:szCs w:val="20"/>
                    </w:rPr>
                    <w:t>) before announcement.</w:t>
                  </w:r>
                  <w:r w:rsidR="00B435FC">
                    <w:rPr>
                      <w:rFonts w:ascii="Calibri" w:eastAsia="Times New Roman" w:hAnsi="Calibri" w:cs="Times New Roman"/>
                      <w:color w:val="000000"/>
                      <w:sz w:val="20"/>
                      <w:szCs w:val="20"/>
                    </w:rPr>
                    <w:t xml:space="preserve"> The s</w:t>
                  </w:r>
                  <w:r w:rsidRPr="00B435FC">
                    <w:rPr>
                      <w:rFonts w:ascii="Calibri" w:eastAsia="Times New Roman" w:hAnsi="Calibri" w:cs="Times New Roman"/>
                      <w:color w:val="000000"/>
                      <w:sz w:val="20"/>
                      <w:szCs w:val="20"/>
                    </w:rPr>
                    <w:t>ource</w:t>
                  </w:r>
                  <w:r w:rsidR="00B435FC">
                    <w:rPr>
                      <w:rFonts w:ascii="Calibri" w:eastAsia="Times New Roman" w:hAnsi="Calibri" w:cs="Times New Roman"/>
                      <w:color w:val="000000"/>
                      <w:sz w:val="20"/>
                      <w:szCs w:val="20"/>
                    </w:rPr>
                    <w:t xml:space="preserve"> is Bloomberg.</w:t>
                  </w:r>
                </w:p>
              </w:tc>
            </w:tr>
            <w:tr w:rsidR="00D673BE" w:rsidRPr="00411273" w:rsidTr="00D673BE">
              <w:trPr>
                <w:trHeight w:val="72"/>
              </w:trPr>
              <w:tc>
                <w:tcPr>
                  <w:tcW w:w="3660" w:type="dxa"/>
                  <w:vMerge w:val="restart"/>
                  <w:tcBorders>
                    <w:top w:val="nil"/>
                    <w:left w:val="nil"/>
                    <w:right w:val="nil"/>
                  </w:tcBorders>
                  <w:shd w:val="clear" w:color="000000" w:fill="FFFFFF"/>
                  <w:noWrap/>
                  <w:vAlign w:val="bottom"/>
                  <w:hideMark/>
                </w:tcPr>
                <w:p w:rsidR="00D673BE" w:rsidRPr="00411273" w:rsidRDefault="00D673BE" w:rsidP="00C82952">
                  <w:pPr>
                    <w:spacing w:after="0" w:line="240" w:lineRule="auto"/>
                    <w:rPr>
                      <w:rFonts w:ascii="Calibri" w:eastAsia="Times New Roman" w:hAnsi="Calibri" w:cs="Times New Roman"/>
                      <w:b/>
                      <w:bCs/>
                      <w:color w:val="000000"/>
                      <w:sz w:val="20"/>
                      <w:szCs w:val="20"/>
                    </w:rPr>
                  </w:pPr>
                  <w:r w:rsidRPr="00411273">
                    <w:rPr>
                      <w:rFonts w:ascii="Calibri" w:eastAsia="Times New Roman" w:hAnsi="Calibri" w:cs="Times New Roman"/>
                      <w:b/>
                      <w:bCs/>
                      <w:color w:val="000000"/>
                      <w:sz w:val="20"/>
                      <w:szCs w:val="20"/>
                    </w:rPr>
                    <w:t>Sample period (by month of release)</w:t>
                  </w:r>
                </w:p>
                <w:p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Canada: February 2003 - August 2014</w:t>
                  </w:r>
                </w:p>
                <w:p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Korea: Feb 2004 - Dec 2013</w:t>
                  </w:r>
                </w:p>
                <w:p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UK: Dec 2003 - August 2014</w:t>
                  </w:r>
                </w:p>
                <w:p w:rsidR="00D673BE" w:rsidRPr="00411273" w:rsidRDefault="00D673BE" w:rsidP="00C82952">
                  <w:pPr>
                    <w:spacing w:after="0" w:line="240" w:lineRule="auto"/>
                    <w:rPr>
                      <w:rFonts w:ascii="Calibri" w:eastAsia="Times New Roman" w:hAnsi="Calibri" w:cs="Times New Roman"/>
                      <w:b/>
                      <w:bCs/>
                      <w:color w:val="000000"/>
                      <w:sz w:val="20"/>
                      <w:szCs w:val="20"/>
                    </w:rPr>
                  </w:pPr>
                  <w:r w:rsidRPr="00411273">
                    <w:rPr>
                      <w:rFonts w:ascii="Calibri" w:eastAsia="Times New Roman" w:hAnsi="Calibri" w:cs="Times New Roman"/>
                      <w:color w:val="000000"/>
                      <w:sz w:val="20"/>
                      <w:szCs w:val="20"/>
                    </w:rPr>
                    <w:t>US: February 2003 - August 2014</w:t>
                  </w:r>
                </w:p>
              </w:tc>
              <w:tc>
                <w:tcPr>
                  <w:tcW w:w="300" w:type="dxa"/>
                  <w:tcBorders>
                    <w:top w:val="nil"/>
                    <w:left w:val="nil"/>
                    <w:bottom w:val="nil"/>
                    <w:right w:val="nil"/>
                  </w:tcBorders>
                  <w:shd w:val="clear" w:color="000000" w:fill="FFFFFF"/>
                  <w:noWrap/>
                  <w:vAlign w:val="bottom"/>
                  <w:hideMark/>
                </w:tcPr>
                <w:p w:rsidR="00D673BE" w:rsidRPr="00411273" w:rsidRDefault="00D673BE" w:rsidP="00C82952">
                  <w:pPr>
                    <w:spacing w:after="0" w:line="240" w:lineRule="auto"/>
                    <w:rPr>
                      <w:rFonts w:ascii="Calibri" w:eastAsia="Times New Roman" w:hAnsi="Calibri" w:cs="Times New Roman"/>
                      <w:b/>
                      <w:bCs/>
                      <w:color w:val="000000"/>
                      <w:sz w:val="20"/>
                      <w:szCs w:val="20"/>
                    </w:rPr>
                  </w:pPr>
                  <w:r w:rsidRPr="00411273">
                    <w:rPr>
                      <w:rFonts w:ascii="Calibri" w:eastAsia="Times New Roman" w:hAnsi="Calibri" w:cs="Times New Roman"/>
                      <w:b/>
                      <w:bCs/>
                      <w:color w:val="000000"/>
                      <w:sz w:val="20"/>
                      <w:szCs w:val="20"/>
                    </w:rPr>
                    <w:t> </w:t>
                  </w:r>
                </w:p>
              </w:tc>
              <w:tc>
                <w:tcPr>
                  <w:tcW w:w="2080" w:type="dxa"/>
                  <w:tcBorders>
                    <w:top w:val="nil"/>
                    <w:left w:val="nil"/>
                    <w:bottom w:val="nil"/>
                    <w:right w:val="nil"/>
                  </w:tcBorders>
                  <w:shd w:val="clear" w:color="000000" w:fill="FFFFFF"/>
                  <w:noWrap/>
                  <w:vAlign w:val="bottom"/>
                  <w:hideMark/>
                </w:tcPr>
                <w:p w:rsidR="00D673BE" w:rsidRPr="00411273" w:rsidRDefault="00D673BE" w:rsidP="00C82952">
                  <w:pPr>
                    <w:spacing w:after="0" w:line="240" w:lineRule="auto"/>
                    <w:jc w:val="center"/>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2320" w:type="dxa"/>
                  <w:tcBorders>
                    <w:top w:val="nil"/>
                    <w:left w:val="nil"/>
                    <w:bottom w:val="nil"/>
                    <w:right w:val="nil"/>
                  </w:tcBorders>
                  <w:shd w:val="clear" w:color="000000" w:fill="FFFFFF"/>
                  <w:noWrap/>
                  <w:vAlign w:val="bottom"/>
                  <w:hideMark/>
                </w:tcPr>
                <w:p w:rsidR="00D673BE" w:rsidRPr="00411273" w:rsidRDefault="00D673BE" w:rsidP="00C82952">
                  <w:pPr>
                    <w:spacing w:after="0" w:line="240" w:lineRule="auto"/>
                    <w:jc w:val="center"/>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660" w:type="dxa"/>
                  <w:tcBorders>
                    <w:top w:val="nil"/>
                    <w:left w:val="nil"/>
                    <w:bottom w:val="nil"/>
                    <w:right w:val="nil"/>
                  </w:tcBorders>
                  <w:shd w:val="clear" w:color="000000" w:fill="FFFFFF"/>
                  <w:noWrap/>
                  <w:vAlign w:val="bottom"/>
                  <w:hideMark/>
                </w:tcPr>
                <w:p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r>
            <w:tr w:rsidR="00D673BE" w:rsidRPr="00411273" w:rsidTr="00D673BE">
              <w:trPr>
                <w:trHeight w:val="90"/>
              </w:trPr>
              <w:tc>
                <w:tcPr>
                  <w:tcW w:w="3660" w:type="dxa"/>
                  <w:vMerge/>
                  <w:tcBorders>
                    <w:left w:val="nil"/>
                    <w:right w:val="nil"/>
                  </w:tcBorders>
                  <w:shd w:val="clear" w:color="000000" w:fill="FFFFFF"/>
                  <w:noWrap/>
                  <w:vAlign w:val="bottom"/>
                  <w:hideMark/>
                </w:tcPr>
                <w:p w:rsidR="00D673BE" w:rsidRPr="00411273" w:rsidRDefault="00D673BE" w:rsidP="00C82952">
                  <w:pPr>
                    <w:spacing w:after="0" w:line="240" w:lineRule="auto"/>
                    <w:rPr>
                      <w:rFonts w:ascii="Calibri" w:eastAsia="Times New Roman" w:hAnsi="Calibri" w:cs="Times New Roman"/>
                      <w:color w:val="000000"/>
                      <w:sz w:val="20"/>
                      <w:szCs w:val="20"/>
                    </w:rPr>
                  </w:pPr>
                </w:p>
              </w:tc>
              <w:tc>
                <w:tcPr>
                  <w:tcW w:w="300" w:type="dxa"/>
                  <w:tcBorders>
                    <w:top w:val="nil"/>
                    <w:left w:val="nil"/>
                    <w:bottom w:val="nil"/>
                    <w:right w:val="nil"/>
                  </w:tcBorders>
                  <w:shd w:val="clear" w:color="000000" w:fill="FFFFFF"/>
                  <w:noWrap/>
                  <w:vAlign w:val="bottom"/>
                  <w:hideMark/>
                </w:tcPr>
                <w:p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2080" w:type="dxa"/>
                  <w:tcBorders>
                    <w:top w:val="nil"/>
                    <w:left w:val="nil"/>
                    <w:bottom w:val="nil"/>
                    <w:right w:val="nil"/>
                  </w:tcBorders>
                  <w:shd w:val="clear" w:color="000000" w:fill="FFFFFF"/>
                  <w:noWrap/>
                  <w:vAlign w:val="bottom"/>
                  <w:hideMark/>
                </w:tcPr>
                <w:p w:rsidR="00D673BE" w:rsidRPr="00411273" w:rsidRDefault="00D673BE" w:rsidP="00C82952">
                  <w:pPr>
                    <w:spacing w:after="0" w:line="240" w:lineRule="auto"/>
                    <w:jc w:val="center"/>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2320" w:type="dxa"/>
                  <w:tcBorders>
                    <w:top w:val="nil"/>
                    <w:left w:val="nil"/>
                    <w:bottom w:val="nil"/>
                    <w:right w:val="nil"/>
                  </w:tcBorders>
                  <w:shd w:val="clear" w:color="000000" w:fill="FFFFFF"/>
                  <w:noWrap/>
                  <w:vAlign w:val="bottom"/>
                  <w:hideMark/>
                </w:tcPr>
                <w:p w:rsidR="00D673BE" w:rsidRPr="00411273" w:rsidRDefault="00D673BE" w:rsidP="00C82952">
                  <w:pPr>
                    <w:spacing w:after="0" w:line="240" w:lineRule="auto"/>
                    <w:jc w:val="center"/>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660" w:type="dxa"/>
                  <w:tcBorders>
                    <w:top w:val="nil"/>
                    <w:left w:val="nil"/>
                    <w:bottom w:val="nil"/>
                    <w:right w:val="nil"/>
                  </w:tcBorders>
                  <w:shd w:val="clear" w:color="000000" w:fill="FFFFFF"/>
                  <w:noWrap/>
                  <w:vAlign w:val="bottom"/>
                  <w:hideMark/>
                </w:tcPr>
                <w:p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r>
            <w:tr w:rsidR="00D673BE" w:rsidRPr="00411273" w:rsidTr="00103F6D">
              <w:trPr>
                <w:trHeight w:val="300"/>
              </w:trPr>
              <w:tc>
                <w:tcPr>
                  <w:tcW w:w="3660" w:type="dxa"/>
                  <w:vMerge/>
                  <w:tcBorders>
                    <w:left w:val="nil"/>
                    <w:right w:val="nil"/>
                  </w:tcBorders>
                  <w:shd w:val="clear" w:color="000000" w:fill="FFFFFF"/>
                  <w:noWrap/>
                  <w:vAlign w:val="bottom"/>
                  <w:hideMark/>
                </w:tcPr>
                <w:p w:rsidR="00D673BE" w:rsidRPr="00411273" w:rsidRDefault="00D673BE" w:rsidP="00C82952">
                  <w:pPr>
                    <w:spacing w:after="0" w:line="240" w:lineRule="auto"/>
                    <w:rPr>
                      <w:rFonts w:ascii="Calibri" w:eastAsia="Times New Roman" w:hAnsi="Calibri" w:cs="Times New Roman"/>
                      <w:color w:val="000000"/>
                      <w:sz w:val="20"/>
                      <w:szCs w:val="20"/>
                    </w:rPr>
                  </w:pPr>
                </w:p>
              </w:tc>
              <w:tc>
                <w:tcPr>
                  <w:tcW w:w="300" w:type="dxa"/>
                  <w:tcBorders>
                    <w:top w:val="nil"/>
                    <w:left w:val="nil"/>
                    <w:bottom w:val="nil"/>
                    <w:right w:val="nil"/>
                  </w:tcBorders>
                  <w:shd w:val="clear" w:color="000000" w:fill="FFFFFF"/>
                  <w:noWrap/>
                  <w:vAlign w:val="bottom"/>
                  <w:hideMark/>
                </w:tcPr>
                <w:p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2080" w:type="dxa"/>
                  <w:tcBorders>
                    <w:top w:val="nil"/>
                    <w:left w:val="nil"/>
                    <w:bottom w:val="nil"/>
                    <w:right w:val="nil"/>
                  </w:tcBorders>
                  <w:shd w:val="clear" w:color="000000" w:fill="FFFFFF"/>
                  <w:noWrap/>
                  <w:vAlign w:val="bottom"/>
                  <w:hideMark/>
                </w:tcPr>
                <w:p w:rsidR="00D673BE" w:rsidRPr="00411273" w:rsidRDefault="00D673BE" w:rsidP="00C82952">
                  <w:pPr>
                    <w:spacing w:after="0" w:line="240" w:lineRule="auto"/>
                    <w:jc w:val="center"/>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2320" w:type="dxa"/>
                  <w:tcBorders>
                    <w:top w:val="nil"/>
                    <w:left w:val="nil"/>
                    <w:bottom w:val="nil"/>
                    <w:right w:val="nil"/>
                  </w:tcBorders>
                  <w:shd w:val="clear" w:color="000000" w:fill="FFFFFF"/>
                  <w:noWrap/>
                  <w:vAlign w:val="bottom"/>
                  <w:hideMark/>
                </w:tcPr>
                <w:p w:rsidR="00D673BE" w:rsidRPr="00411273" w:rsidRDefault="00D673BE" w:rsidP="00C82952">
                  <w:pPr>
                    <w:spacing w:after="0" w:line="240" w:lineRule="auto"/>
                    <w:jc w:val="center"/>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660" w:type="dxa"/>
                  <w:tcBorders>
                    <w:top w:val="nil"/>
                    <w:left w:val="nil"/>
                    <w:bottom w:val="nil"/>
                    <w:right w:val="nil"/>
                  </w:tcBorders>
                  <w:shd w:val="clear" w:color="000000" w:fill="FFFFFF"/>
                  <w:noWrap/>
                  <w:vAlign w:val="bottom"/>
                  <w:hideMark/>
                </w:tcPr>
                <w:p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r>
            <w:tr w:rsidR="00D673BE" w:rsidRPr="00411273" w:rsidTr="00D673BE">
              <w:trPr>
                <w:trHeight w:val="66"/>
              </w:trPr>
              <w:tc>
                <w:tcPr>
                  <w:tcW w:w="3660" w:type="dxa"/>
                  <w:vMerge/>
                  <w:tcBorders>
                    <w:left w:val="nil"/>
                    <w:right w:val="nil"/>
                  </w:tcBorders>
                  <w:shd w:val="clear" w:color="000000" w:fill="FFFFFF"/>
                  <w:noWrap/>
                  <w:vAlign w:val="bottom"/>
                  <w:hideMark/>
                </w:tcPr>
                <w:p w:rsidR="00D673BE" w:rsidRPr="00411273" w:rsidRDefault="00D673BE" w:rsidP="00C82952">
                  <w:pPr>
                    <w:spacing w:after="0" w:line="240" w:lineRule="auto"/>
                    <w:rPr>
                      <w:rFonts w:ascii="Calibri" w:eastAsia="Times New Roman" w:hAnsi="Calibri" w:cs="Times New Roman"/>
                      <w:color w:val="000000"/>
                      <w:sz w:val="20"/>
                      <w:szCs w:val="20"/>
                    </w:rPr>
                  </w:pPr>
                </w:p>
              </w:tc>
              <w:tc>
                <w:tcPr>
                  <w:tcW w:w="300" w:type="dxa"/>
                  <w:tcBorders>
                    <w:top w:val="nil"/>
                    <w:left w:val="nil"/>
                    <w:bottom w:val="nil"/>
                    <w:right w:val="nil"/>
                  </w:tcBorders>
                  <w:shd w:val="clear" w:color="000000" w:fill="FFFFFF"/>
                  <w:noWrap/>
                  <w:vAlign w:val="bottom"/>
                  <w:hideMark/>
                </w:tcPr>
                <w:p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2080" w:type="dxa"/>
                  <w:tcBorders>
                    <w:top w:val="nil"/>
                    <w:left w:val="nil"/>
                    <w:bottom w:val="nil"/>
                    <w:right w:val="nil"/>
                  </w:tcBorders>
                  <w:shd w:val="clear" w:color="000000" w:fill="FFFFFF"/>
                  <w:noWrap/>
                  <w:vAlign w:val="bottom"/>
                  <w:hideMark/>
                </w:tcPr>
                <w:p w:rsidR="00D673BE" w:rsidRPr="00411273" w:rsidRDefault="00D673BE" w:rsidP="00C82952">
                  <w:pPr>
                    <w:spacing w:after="0" w:line="240" w:lineRule="auto"/>
                    <w:jc w:val="center"/>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2320" w:type="dxa"/>
                  <w:tcBorders>
                    <w:top w:val="nil"/>
                    <w:left w:val="nil"/>
                    <w:bottom w:val="nil"/>
                    <w:right w:val="nil"/>
                  </w:tcBorders>
                  <w:shd w:val="clear" w:color="000000" w:fill="FFFFFF"/>
                  <w:noWrap/>
                  <w:vAlign w:val="bottom"/>
                  <w:hideMark/>
                </w:tcPr>
                <w:p w:rsidR="00D673BE" w:rsidRPr="00411273" w:rsidRDefault="00D673BE" w:rsidP="00C82952">
                  <w:pPr>
                    <w:spacing w:after="0" w:line="240" w:lineRule="auto"/>
                    <w:jc w:val="center"/>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660" w:type="dxa"/>
                  <w:tcBorders>
                    <w:top w:val="nil"/>
                    <w:left w:val="nil"/>
                    <w:bottom w:val="nil"/>
                    <w:right w:val="nil"/>
                  </w:tcBorders>
                  <w:shd w:val="clear" w:color="000000" w:fill="FFFFFF"/>
                  <w:noWrap/>
                  <w:vAlign w:val="bottom"/>
                  <w:hideMark/>
                </w:tcPr>
                <w:p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r>
            <w:tr w:rsidR="00D673BE" w:rsidRPr="00411273" w:rsidTr="00D673BE">
              <w:trPr>
                <w:trHeight w:val="66"/>
              </w:trPr>
              <w:tc>
                <w:tcPr>
                  <w:tcW w:w="3660" w:type="dxa"/>
                  <w:vMerge/>
                  <w:tcBorders>
                    <w:left w:val="nil"/>
                    <w:bottom w:val="nil"/>
                    <w:right w:val="nil"/>
                  </w:tcBorders>
                  <w:shd w:val="clear" w:color="000000" w:fill="FFFFFF"/>
                  <w:noWrap/>
                  <w:vAlign w:val="bottom"/>
                  <w:hideMark/>
                </w:tcPr>
                <w:p w:rsidR="00D673BE" w:rsidRPr="00411273" w:rsidRDefault="00D673BE" w:rsidP="00C82952">
                  <w:pPr>
                    <w:spacing w:after="0" w:line="240" w:lineRule="auto"/>
                    <w:rPr>
                      <w:rFonts w:ascii="Calibri" w:eastAsia="Times New Roman" w:hAnsi="Calibri" w:cs="Times New Roman"/>
                      <w:color w:val="000000"/>
                      <w:sz w:val="20"/>
                      <w:szCs w:val="20"/>
                    </w:rPr>
                  </w:pPr>
                </w:p>
              </w:tc>
              <w:tc>
                <w:tcPr>
                  <w:tcW w:w="300" w:type="dxa"/>
                  <w:tcBorders>
                    <w:top w:val="nil"/>
                    <w:left w:val="nil"/>
                    <w:bottom w:val="nil"/>
                    <w:right w:val="nil"/>
                  </w:tcBorders>
                  <w:shd w:val="clear" w:color="000000" w:fill="FFFFFF"/>
                  <w:noWrap/>
                  <w:vAlign w:val="bottom"/>
                  <w:hideMark/>
                </w:tcPr>
                <w:p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2080" w:type="dxa"/>
                  <w:tcBorders>
                    <w:top w:val="nil"/>
                    <w:left w:val="nil"/>
                    <w:bottom w:val="nil"/>
                    <w:right w:val="nil"/>
                  </w:tcBorders>
                  <w:shd w:val="clear" w:color="000000" w:fill="FFFFFF"/>
                  <w:noWrap/>
                  <w:vAlign w:val="bottom"/>
                  <w:hideMark/>
                </w:tcPr>
                <w:p w:rsidR="00D673BE" w:rsidRPr="00411273" w:rsidRDefault="00D673BE" w:rsidP="00C82952">
                  <w:pPr>
                    <w:spacing w:after="0" w:line="240" w:lineRule="auto"/>
                    <w:jc w:val="center"/>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2320" w:type="dxa"/>
                  <w:tcBorders>
                    <w:top w:val="nil"/>
                    <w:left w:val="nil"/>
                    <w:bottom w:val="nil"/>
                    <w:right w:val="nil"/>
                  </w:tcBorders>
                  <w:shd w:val="clear" w:color="000000" w:fill="FFFFFF"/>
                  <w:noWrap/>
                  <w:vAlign w:val="bottom"/>
                  <w:hideMark/>
                </w:tcPr>
                <w:p w:rsidR="00D673BE" w:rsidRPr="00411273" w:rsidRDefault="00D673BE" w:rsidP="00C82952">
                  <w:pPr>
                    <w:spacing w:after="0" w:line="240" w:lineRule="auto"/>
                    <w:jc w:val="center"/>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c>
                <w:tcPr>
                  <w:tcW w:w="660" w:type="dxa"/>
                  <w:tcBorders>
                    <w:top w:val="nil"/>
                    <w:left w:val="nil"/>
                    <w:bottom w:val="nil"/>
                    <w:right w:val="nil"/>
                  </w:tcBorders>
                  <w:shd w:val="clear" w:color="000000" w:fill="FFFFFF"/>
                  <w:noWrap/>
                  <w:vAlign w:val="bottom"/>
                  <w:hideMark/>
                </w:tcPr>
                <w:p w:rsidR="00D673BE" w:rsidRPr="00411273" w:rsidRDefault="00D673BE" w:rsidP="00C82952">
                  <w:pPr>
                    <w:spacing w:after="0" w:line="240" w:lineRule="auto"/>
                    <w:rPr>
                      <w:rFonts w:ascii="Calibri" w:eastAsia="Times New Roman" w:hAnsi="Calibri" w:cs="Times New Roman"/>
                      <w:color w:val="000000"/>
                      <w:sz w:val="20"/>
                      <w:szCs w:val="20"/>
                    </w:rPr>
                  </w:pPr>
                  <w:r w:rsidRPr="00411273">
                    <w:rPr>
                      <w:rFonts w:ascii="Calibri" w:eastAsia="Times New Roman" w:hAnsi="Calibri" w:cs="Times New Roman"/>
                      <w:color w:val="000000"/>
                      <w:sz w:val="20"/>
                      <w:szCs w:val="20"/>
                    </w:rPr>
                    <w:t> </w:t>
                  </w:r>
                </w:p>
              </w:tc>
            </w:tr>
          </w:tbl>
          <w:p w:rsidR="00C82952" w:rsidRDefault="00C82952" w:rsidP="00B027B1">
            <w:pPr>
              <w:spacing w:after="0" w:line="240" w:lineRule="auto"/>
              <w:rPr>
                <w:rFonts w:ascii="Calibri" w:eastAsia="Times New Roman" w:hAnsi="Calibri" w:cs="Times New Roman"/>
                <w:color w:val="000000"/>
              </w:rPr>
            </w:pPr>
          </w:p>
          <w:p w:rsidR="00C82952" w:rsidRDefault="00C82952" w:rsidP="00B027B1">
            <w:pPr>
              <w:spacing w:after="0" w:line="240" w:lineRule="auto"/>
              <w:rPr>
                <w:rFonts w:ascii="Calibri" w:eastAsia="Times New Roman" w:hAnsi="Calibri" w:cs="Times New Roman"/>
                <w:color w:val="000000"/>
              </w:rPr>
            </w:pPr>
          </w:p>
          <w:p w:rsidR="00D673BE" w:rsidRDefault="00D673BE" w:rsidP="00B027B1">
            <w:pPr>
              <w:spacing w:after="0" w:line="240" w:lineRule="auto"/>
              <w:rPr>
                <w:rFonts w:ascii="Calibri" w:eastAsia="Times New Roman" w:hAnsi="Calibri" w:cs="Times New Roman"/>
                <w:color w:val="000000"/>
              </w:rPr>
            </w:pPr>
          </w:p>
          <w:p w:rsidR="00C82952" w:rsidRPr="00131134" w:rsidRDefault="00C82952" w:rsidP="00B027B1">
            <w:pPr>
              <w:spacing w:after="0" w:line="240" w:lineRule="auto"/>
              <w:rPr>
                <w:rFonts w:ascii="Calibri" w:eastAsia="Times New Roman" w:hAnsi="Calibri" w:cs="Times New Roman"/>
                <w:color w:val="000000"/>
              </w:rPr>
            </w:pPr>
          </w:p>
        </w:tc>
      </w:tr>
    </w:tbl>
    <w:p w:rsidR="00C82952" w:rsidRDefault="00C82952" w:rsidP="00C82952">
      <w:pPr>
        <w:ind w:firstLine="720"/>
      </w:pPr>
      <w:r>
        <w:lastRenderedPageBreak/>
        <w:t xml:space="preserve">This table offers some </w:t>
      </w:r>
      <w:r w:rsidR="003D46E7">
        <w:t xml:space="preserve">preliminary </w:t>
      </w:r>
      <w:r>
        <w:t>support for the hypothesis.  In Canada and the UK</w:t>
      </w:r>
      <w:r w:rsidR="001427EF">
        <w:t xml:space="preserve"> t</w:t>
      </w:r>
      <w:r>
        <w:t xml:space="preserve">he expected reaction – the bond market falls when inflation is higher than expected – comes entirely with respect to the 12-month number, which is the one that these authorities headline.  The coefficient is negative and significant.  But given that, they pay no attention to the month-on-month number; its coefficient is insignificant and </w:t>
      </w:r>
      <w:r w:rsidR="001427EF">
        <w:t xml:space="preserve">the sign is </w:t>
      </w:r>
      <w:r>
        <w:t>wrong.   In the US and Korea, the signs are the other way around</w:t>
      </w:r>
      <w:r w:rsidR="001427EF">
        <w:t>:  t</w:t>
      </w:r>
      <w:r>
        <w:t xml:space="preserve">he negative reaction of bond markets to inflation news comes in the form of the reaction to the information about the latest month, though it misses being statistically significant.   </w:t>
      </w:r>
    </w:p>
    <w:p w:rsidR="0097077A" w:rsidRPr="0023575D" w:rsidRDefault="00DC46FE" w:rsidP="004C38C9">
      <w:pPr>
        <w:ind w:firstLine="720"/>
      </w:pPr>
      <w:r>
        <w:t>We have also estimated the equation for each country individually</w:t>
      </w:r>
      <w:r w:rsidR="00A42E8D">
        <w:t xml:space="preserve"> (Appendix Table 2B</w:t>
      </w:r>
      <w:r w:rsidR="00FC1953">
        <w:t xml:space="preserve">).  The findings are </w:t>
      </w:r>
      <w:r w:rsidR="003D46E7">
        <w:t>qualitatively similar</w:t>
      </w:r>
      <w:r w:rsidR="001031BA">
        <w:t>.</w:t>
      </w:r>
      <w:r w:rsidR="003D46E7">
        <w:t xml:space="preserve">   In the UK, it is again the 12-month number that has a statistically significant negative effect, with higher significance </w:t>
      </w:r>
      <w:r w:rsidR="001031BA">
        <w:t>now that the country</w:t>
      </w:r>
      <w:r w:rsidR="003D46E7">
        <w:t xml:space="preserve"> is considered on its own.  But the significance of this coefficient in the case of Canada diminishes, compared to Table 2 where the data were grouped together with the UK.   In the US and Korea it is again the month-on-month number that has the negative effect on bond pric</w:t>
      </w:r>
      <w:r w:rsidR="001427EF">
        <w:t>es, as</w:t>
      </w:r>
      <w:r w:rsidR="00CF043C">
        <w:t xml:space="preserve"> hypothesized</w:t>
      </w:r>
      <w:r w:rsidR="003D46E7">
        <w:t>.  The significance level goes up slightly for Korea and down slightly for the US, compared to Table 2 where the two were grouped together</w:t>
      </w:r>
      <w:r w:rsidR="003D46E7" w:rsidRPr="0023575D">
        <w:t>.  The need for data that will allow a test with high power is evident.</w:t>
      </w:r>
      <w:r w:rsidR="00A42E8D">
        <w:t xml:space="preserve">  Recall that studies with intra-daily data </w:t>
      </w:r>
      <w:proofErr w:type="gramStart"/>
      <w:r w:rsidR="00A42E8D">
        <w:t>have</w:t>
      </w:r>
      <w:proofErr w:type="gramEnd"/>
      <w:r w:rsidR="00A42E8D">
        <w:t xml:space="preserve"> found highly significant reactions to the statistical releases; we are just trying to pin down whether the framing affects the reaction.</w:t>
      </w:r>
    </w:p>
    <w:p w:rsidR="0097077A" w:rsidRDefault="00FC1953" w:rsidP="004D2615">
      <w:pPr>
        <w:ind w:firstLine="720"/>
      </w:pPr>
      <w:r>
        <w:t>These result</w:t>
      </w:r>
      <w:r w:rsidR="0097077A">
        <w:t xml:space="preserve">s are </w:t>
      </w:r>
      <w:r w:rsidR="000C4494">
        <w:t>preliminary.  Further research could extend the tests to other statistical releases (</w:t>
      </w:r>
      <w:r w:rsidR="00DC46FE">
        <w:t xml:space="preserve">measures of economic </w:t>
      </w:r>
      <w:r w:rsidR="00D673BE">
        <w:t>activity such</w:t>
      </w:r>
      <w:r w:rsidR="00DC46FE">
        <w:t xml:space="preserve"> as </w:t>
      </w:r>
      <w:r w:rsidR="003D46E7">
        <w:t xml:space="preserve">growth in </w:t>
      </w:r>
      <w:r w:rsidR="000C4494">
        <w:t>GDP</w:t>
      </w:r>
      <w:r w:rsidR="00DC46FE">
        <w:t>, industrial production,</w:t>
      </w:r>
      <w:r w:rsidR="000C4494">
        <w:t xml:space="preserve"> and </w:t>
      </w:r>
      <w:r w:rsidR="003D46E7">
        <w:t>employment</w:t>
      </w:r>
      <w:r w:rsidR="000C4494">
        <w:t xml:space="preserve">) and to reactions in other markets (equities and foreign exchange).  </w:t>
      </w:r>
    </w:p>
    <w:p w:rsidR="000C4494" w:rsidRDefault="000C4494" w:rsidP="004D2615">
      <w:pPr>
        <w:ind w:firstLine="720"/>
      </w:pPr>
      <w:r>
        <w:t xml:space="preserve">The highest priority should be to obtain data observed at a higher frequency:  over an hour </w:t>
      </w:r>
      <w:r w:rsidR="00CF043C">
        <w:t xml:space="preserve">or half-hour </w:t>
      </w:r>
      <w:r>
        <w:t xml:space="preserve">interval, before and after each announcement.  So far we only have data </w:t>
      </w:r>
      <w:r w:rsidR="00CF043C">
        <w:t>observed from one day to the next</w:t>
      </w:r>
      <w:r>
        <w:t>.  But we know from the existing literature that reactions that are strong over a short interval can get swallowed up over a one-day interval, because a lot of other things happen in the course of the day in addition to the statistical release.</w:t>
      </w:r>
      <w:r>
        <w:rPr>
          <w:rStyle w:val="FootnoteReference"/>
        </w:rPr>
        <w:footnoteReference w:id="8"/>
      </w:r>
      <w:r w:rsidR="00B7365F">
        <w:t xml:space="preserve">  </w:t>
      </w:r>
      <w:r w:rsidR="00B7365F" w:rsidRPr="003C6F4C">
        <w:rPr>
          <w:rFonts w:eastAsiaTheme="minorEastAsia" w:cs="Lucida Sans Unicode"/>
          <w:bCs/>
          <w:color w:val="000000"/>
        </w:rPr>
        <w:t>Bartolini, Goldberg and Sacarny</w:t>
      </w:r>
      <w:r w:rsidR="00B7365F" w:rsidRPr="003C6F4C">
        <w:rPr>
          <w:rFonts w:eastAsiaTheme="minorEastAsia" w:cs="Lucida Sans Unicode"/>
          <w:bCs/>
          <w:color w:val="000000"/>
          <w:sz w:val="20"/>
          <w:szCs w:val="20"/>
        </w:rPr>
        <w:t xml:space="preserve"> </w:t>
      </w:r>
      <w:r w:rsidR="00B7365F" w:rsidRPr="003C6F4C">
        <w:rPr>
          <w:rFonts w:eastAsiaTheme="minorEastAsia" w:cs="Lucida Sans Unicode"/>
          <w:bCs/>
          <w:color w:val="000000"/>
        </w:rPr>
        <w:t>(2008), for example</w:t>
      </w:r>
      <w:r w:rsidR="003C6F4C">
        <w:rPr>
          <w:rFonts w:eastAsiaTheme="minorEastAsia" w:cs="Lucida Sans Unicode"/>
          <w:bCs/>
          <w:color w:val="000000"/>
        </w:rPr>
        <w:t>,</w:t>
      </w:r>
      <w:r w:rsidR="00B7365F" w:rsidRPr="003C6F4C">
        <w:rPr>
          <w:rFonts w:eastAsiaTheme="minorEastAsia" w:cs="Lucida Sans Unicode"/>
          <w:bCs/>
          <w:color w:val="000000"/>
        </w:rPr>
        <w:t xml:space="preserve"> find that the size and significance of the effect diminishes as one moves from the half-hour reaction, to a mid-day observation, to end-of-trading day, let alone over a 24-hour window: </w:t>
      </w:r>
      <w:r w:rsidR="0092114C" w:rsidRPr="003C6F4C">
        <w:rPr>
          <w:rFonts w:eastAsiaTheme="minorEastAsia" w:cs="Lucida Sans Unicode"/>
          <w:bCs/>
          <w:color w:val="000000"/>
        </w:rPr>
        <w:t>“the immediate effect can generally be measured more pre</w:t>
      </w:r>
      <w:r w:rsidR="00E21434">
        <w:rPr>
          <w:rFonts w:eastAsiaTheme="minorEastAsia" w:cs="Lucida Sans Unicode"/>
          <w:bCs/>
          <w:color w:val="000000"/>
        </w:rPr>
        <w:t>cisely than the full-day impact</w:t>
      </w:r>
      <w:r w:rsidR="0092114C" w:rsidRPr="003C6F4C">
        <w:rPr>
          <w:rFonts w:eastAsiaTheme="minorEastAsia" w:cs="Lucida Sans Unicode"/>
          <w:bCs/>
          <w:color w:val="000000"/>
        </w:rPr>
        <w:t>”</w:t>
      </w:r>
      <w:r w:rsidR="00E21434">
        <w:rPr>
          <w:rFonts w:eastAsiaTheme="minorEastAsia" w:cs="Lucida Sans Unicode"/>
          <w:bCs/>
          <w:color w:val="000000"/>
        </w:rPr>
        <w:t xml:space="preserve"> and “…the immediate effects of economic news on asset prices are easier to assess than the full-day effects, because the accumulation of other shocks </w:t>
      </w:r>
      <w:r w:rsidR="00841796">
        <w:rPr>
          <w:rFonts w:eastAsiaTheme="minorEastAsia" w:cs="Lucida Sans Unicode"/>
          <w:bCs/>
          <w:color w:val="000000"/>
        </w:rPr>
        <w:t>to</w:t>
      </w:r>
      <w:r w:rsidR="00E21434">
        <w:rPr>
          <w:rFonts w:eastAsiaTheme="minorEastAsia" w:cs="Lucida Sans Unicode"/>
          <w:bCs/>
          <w:color w:val="000000"/>
        </w:rPr>
        <w:t xml:space="preserve"> asset prices through the business day makes the identification of persistent effects more difficult.” (p.5).</w:t>
      </w:r>
    </w:p>
    <w:p w:rsidR="0055069D" w:rsidRDefault="0055069D" w:rsidP="000C4494">
      <w:pPr>
        <w:ind w:left="720" w:hanging="720"/>
        <w:rPr>
          <w:b/>
        </w:rPr>
      </w:pPr>
    </w:p>
    <w:p w:rsidR="00D673BE" w:rsidRDefault="00D673BE" w:rsidP="000C4494">
      <w:pPr>
        <w:ind w:left="720" w:hanging="720"/>
        <w:rPr>
          <w:b/>
        </w:rPr>
      </w:pPr>
    </w:p>
    <w:p w:rsidR="004D2615" w:rsidRPr="004D2615" w:rsidRDefault="004D2615" w:rsidP="000C4494">
      <w:pPr>
        <w:ind w:left="720" w:hanging="720"/>
        <w:rPr>
          <w:b/>
        </w:rPr>
      </w:pPr>
      <w:r w:rsidRPr="004D2615">
        <w:rPr>
          <w:b/>
        </w:rPr>
        <w:t>Implications</w:t>
      </w:r>
    </w:p>
    <w:p w:rsidR="004D2615" w:rsidRDefault="004D2615" w:rsidP="004D2615">
      <w:pPr>
        <w:ind w:firstLine="720"/>
      </w:pPr>
      <w:r>
        <w:t>No doubt these res</w:t>
      </w:r>
      <w:r w:rsidR="00766502">
        <w:t>ults require qualification. One</w:t>
      </w:r>
      <w:r>
        <w:t xml:space="preserve"> theor</w:t>
      </w:r>
      <w:r w:rsidR="00766502">
        <w:t>etical possibility is that</w:t>
      </w:r>
      <w:r>
        <w:t xml:space="preserve"> the most recent observation could carry relatively more genuine information </w:t>
      </w:r>
      <w:r w:rsidR="00766502">
        <w:t xml:space="preserve">about the economy </w:t>
      </w:r>
      <w:r>
        <w:t>in some countries than in others, and the statistical agencies could tailor their reporting tendencies in response to this.</w:t>
      </w:r>
      <w:r w:rsidR="00966AAF">
        <w:rPr>
          <w:rStyle w:val="FootnoteReference"/>
        </w:rPr>
        <w:footnoteReference w:id="9"/>
      </w:r>
      <w:r w:rsidR="00A917ED">
        <w:t xml:space="preserve">  But at this stage, the biggest qualification is that</w:t>
      </w:r>
      <w:r w:rsidR="003D46E7">
        <w:t xml:space="preserve"> the data used here do not allow a sufficiently powerful test.</w:t>
      </w:r>
      <w:r w:rsidR="00A917ED">
        <w:t xml:space="preserve"> </w:t>
      </w:r>
      <w:r w:rsidR="003D46E7">
        <w:t>T</w:t>
      </w:r>
      <w:r w:rsidR="00A917ED">
        <w:t xml:space="preserve">he hypothesis needs to be tested more extensively, especially on higher-frequency data sets.  It is also important to test </w:t>
      </w:r>
      <w:r w:rsidR="00503E63">
        <w:t xml:space="preserve">the difference in impacts of </w:t>
      </w:r>
      <w:r w:rsidR="00A917ED">
        <w:t xml:space="preserve">GDP </w:t>
      </w:r>
      <w:r w:rsidR="003D46E7">
        <w:t xml:space="preserve">and Industrial Production </w:t>
      </w:r>
      <w:r w:rsidR="00A917ED">
        <w:t>announcements.</w:t>
      </w:r>
    </w:p>
    <w:p w:rsidR="008B5AAB" w:rsidRDefault="00A917ED" w:rsidP="00FD0483">
      <w:pPr>
        <w:ind w:firstLine="720"/>
      </w:pPr>
      <w:r>
        <w:t>If the results in Table 2 do turn out to hold</w:t>
      </w:r>
      <w:r w:rsidR="00C95627">
        <w:t xml:space="preserve"> </w:t>
      </w:r>
      <w:r>
        <w:t xml:space="preserve">up, then the implications will be striking.   As positive social science, the hypothesis is consistent with theories of framing and anchoring that come from psychology.  </w:t>
      </w:r>
    </w:p>
    <w:p w:rsidR="008B5AAB" w:rsidRDefault="00A917ED" w:rsidP="00FD0483">
      <w:pPr>
        <w:ind w:firstLine="720"/>
      </w:pPr>
      <w:r>
        <w:t xml:space="preserve">But it also implies a remarkably practical policy recommendation for </w:t>
      </w:r>
      <w:r w:rsidR="009C167E">
        <w:t xml:space="preserve">the US Bureau of Labor Statistics and Bureau of Economic Analysis and other </w:t>
      </w:r>
      <w:r>
        <w:t>official statistical agencies</w:t>
      </w:r>
      <w:r w:rsidR="009C167E">
        <w:t xml:space="preserve"> around the world</w:t>
      </w:r>
      <w:r>
        <w:t xml:space="preserve">.  The limited word space in a </w:t>
      </w:r>
      <w:r w:rsidR="004D3D07">
        <w:t xml:space="preserve">newspaper </w:t>
      </w:r>
      <w:r>
        <w:t xml:space="preserve">headline and limited cognitive space in human </w:t>
      </w:r>
      <w:r w:rsidR="004D3D07">
        <w:t xml:space="preserve">mental </w:t>
      </w:r>
      <w:r>
        <w:t>capacities are presumably the reason</w:t>
      </w:r>
      <w:r w:rsidR="004D3D07">
        <w:t>s</w:t>
      </w:r>
      <w:r>
        <w:t xml:space="preserve"> for the observed tendency for agencies and news services to choose </w:t>
      </w:r>
      <w:r w:rsidR="004D3D07">
        <w:t xml:space="preserve">to focus on </w:t>
      </w:r>
      <w:r>
        <w:t>one measure</w:t>
      </w:r>
      <w:r w:rsidR="004D3D07">
        <w:t xml:space="preserve"> above others:</w:t>
      </w:r>
      <w:r>
        <w:t xml:space="preserve"> either the latest period or the 12-month average.  Which </w:t>
      </w:r>
      <w:r w:rsidR="004D3D07">
        <w:t xml:space="preserve">focus </w:t>
      </w:r>
      <w:r>
        <w:t xml:space="preserve">is </w:t>
      </w:r>
      <w:r w:rsidR="00FC1953">
        <w:t>“</w:t>
      </w:r>
      <w:r>
        <w:t>best practice</w:t>
      </w:r>
      <w:r w:rsidR="00FC1953">
        <w:t>”</w:t>
      </w:r>
      <w:r>
        <w:t xml:space="preserve">?   </w:t>
      </w:r>
      <w:r w:rsidR="009749A6">
        <w:t>There are reasons to deem t</w:t>
      </w:r>
      <w:r>
        <w:t xml:space="preserve">he one-year average </w:t>
      </w:r>
      <w:r w:rsidR="009749A6">
        <w:t xml:space="preserve">more informative.  It contains the </w:t>
      </w:r>
      <w:r>
        <w:t xml:space="preserve">information </w:t>
      </w:r>
      <w:r w:rsidR="009749A6">
        <w:t xml:space="preserve">in </w:t>
      </w:r>
      <w:r>
        <w:t>the latest month or quarter</w:t>
      </w:r>
      <w:r w:rsidR="009749A6">
        <w:t xml:space="preserve"> and more beyond that</w:t>
      </w:r>
      <w:r>
        <w:t xml:space="preserve">.   Even in a world of full rationality, </w:t>
      </w:r>
      <w:r w:rsidR="009749A6">
        <w:t xml:space="preserve">the announcement of </w:t>
      </w:r>
      <w:r>
        <w:t xml:space="preserve">a 4-quarter average of GDP growth or a 12-month average of </w:t>
      </w:r>
      <w:r w:rsidR="009749A6">
        <w:t>employment growth contains important new information in addition to the latest period’s number: revisions in the preceding quarters or months,</w:t>
      </w:r>
      <w:r w:rsidR="00766502">
        <w:t xml:space="preserve"> which are often substantial.  </w:t>
      </w:r>
      <w:r w:rsidR="009749A6">
        <w:t>Of course these revisions are available elsewhere in the stati</w:t>
      </w:r>
      <w:r w:rsidR="00766502">
        <w:t>stical release.  But</w:t>
      </w:r>
      <w:r w:rsidR="009749A6">
        <w:t xml:space="preserve"> the hypothesis, and the supporting evidence in Table 1, suggests that a single headline number receives far more attention tha</w:t>
      </w:r>
      <w:r w:rsidR="00766502">
        <w:t>n other numbers in the release.</w:t>
      </w:r>
    </w:p>
    <w:p w:rsidR="008740BC" w:rsidRDefault="009749A6" w:rsidP="00FD0483">
      <w:pPr>
        <w:ind w:firstLine="720"/>
      </w:pPr>
      <w:r>
        <w:t>In addition, once we admit the likelihood of departures from full rationality</w:t>
      </w:r>
      <w:r w:rsidR="000E3CA6">
        <w:t>, we</w:t>
      </w:r>
      <w:r w:rsidR="00D617AE">
        <w:t xml:space="preserve"> must recognize that even if figures from previous months or quarters have not been revised, they may fade from people’s awareness more quickly than is rational.  W</w:t>
      </w:r>
      <w:r w:rsidR="004D3D07">
        <w:t xml:space="preserve">e must consider that a focus on the most recent month or quarter </w:t>
      </w:r>
      <w:r w:rsidR="00D617AE">
        <w:t>may lead</w:t>
      </w:r>
      <w:r w:rsidR="004D3D07">
        <w:t xml:space="preserve"> financial </w:t>
      </w:r>
      <w:r w:rsidR="008771D1">
        <w:t xml:space="preserve">market participants and others </w:t>
      </w:r>
      <w:r w:rsidR="00766502">
        <w:t>to p</w:t>
      </w:r>
      <w:r w:rsidR="004D3D07">
        <w:t xml:space="preserve">ut too much weight on highly noisy short-term </w:t>
      </w:r>
      <w:r w:rsidR="00D617AE">
        <w:t xml:space="preserve">numbers, and to lose sight of the more meaningful medium-term trend.  A one-year average is an efficient way to convey the recent trend.   That much of the information in it was already available in the previous period’s announcement of the one-year trend at that time does not necessarily mean that observers do not need to be reminded of it, </w:t>
      </w:r>
      <w:r w:rsidR="0055069D">
        <w:t xml:space="preserve">in order </w:t>
      </w:r>
      <w:r w:rsidR="00D617AE">
        <w:t>to gain a good fact-</w:t>
      </w:r>
      <w:r w:rsidR="000E3CA6">
        <w:t>based perspective</w:t>
      </w:r>
      <w:r w:rsidR="00D617AE">
        <w:t>.</w:t>
      </w:r>
      <w:r w:rsidR="0055069D">
        <w:t xml:space="preserve">  A 12-month or 4-quarter </w:t>
      </w:r>
      <w:r w:rsidR="00592665">
        <w:t xml:space="preserve">change </w:t>
      </w:r>
      <w:r w:rsidR="00766502">
        <w:t xml:space="preserve">also </w:t>
      </w:r>
      <w:r w:rsidR="0055069D">
        <w:t>carries the extra advantage of avoiding problems of seasonal adjustment, which can sometimes be problematic.</w:t>
      </w:r>
    </w:p>
    <w:p w:rsidR="00A034D9" w:rsidRDefault="00A034D9" w:rsidP="00A17D69">
      <w:pPr>
        <w:ind w:firstLine="720"/>
      </w:pPr>
      <w:r>
        <w:t xml:space="preserve">If government statistical announcements could be made more informative, that could have implications well beyond the financial markets studies in this paper.  Firms’ hiring and investment decisions depend on their perceptions of the current state of the economy.  There is even evidence that </w:t>
      </w:r>
      <w:r>
        <w:lastRenderedPageBreak/>
        <w:t>such decisions may respond more to the initial GDP releases, for example, than to the “true” state of economic activity as captured by the final GDP numbers.</w:t>
      </w:r>
      <w:r>
        <w:rPr>
          <w:rStyle w:val="FootnoteReference"/>
        </w:rPr>
        <w:footnoteReference w:id="10"/>
      </w:r>
    </w:p>
    <w:p w:rsidR="00B43938" w:rsidRDefault="006B60C6" w:rsidP="00A17D69">
      <w:pPr>
        <w:ind w:firstLine="720"/>
      </w:pPr>
      <w:r>
        <w:t>Making it easier for the public to gain perspective on the state of the eco</w:t>
      </w:r>
      <w:r w:rsidR="00A034D9">
        <w:t>nomy could have benefits</w:t>
      </w:r>
      <w:r>
        <w:t xml:space="preserve"> </w:t>
      </w:r>
      <w:r w:rsidR="00A034D9">
        <w:t xml:space="preserve">as well </w:t>
      </w:r>
      <w:r>
        <w:t xml:space="preserve">for </w:t>
      </w:r>
      <w:r w:rsidR="00A034D9">
        <w:t xml:space="preserve">the participation of </w:t>
      </w:r>
      <w:r>
        <w:t xml:space="preserve">ordinary citizens </w:t>
      </w:r>
      <w:r w:rsidR="00A034D9">
        <w:t>in the political process</w:t>
      </w:r>
      <w:r>
        <w:t xml:space="preserve">.  </w:t>
      </w:r>
      <w:r w:rsidR="00A17D69">
        <w:t xml:space="preserve">It is possible that most people do not even bother to follow economic statistics because the short-term noise is so great in what they hear or read that there is not much value in trying. </w:t>
      </w:r>
      <w:r>
        <w:t xml:space="preserve"> </w:t>
      </w:r>
      <w:r w:rsidR="00A55480">
        <w:t xml:space="preserve">Polls indicate that 4 ½ </w:t>
      </w:r>
      <w:r w:rsidR="008771D1">
        <w:t xml:space="preserve">years after the </w:t>
      </w:r>
      <w:r w:rsidR="008740BC">
        <w:t>end of the great recession</w:t>
      </w:r>
      <w:r w:rsidR="008771D1">
        <w:t xml:space="preserve"> in mid-2009</w:t>
      </w:r>
      <w:r w:rsidR="008740BC">
        <w:t>,</w:t>
      </w:r>
      <w:r w:rsidR="00A55480">
        <w:t xml:space="preserve"> </w:t>
      </w:r>
      <w:hyperlink r:id="rId29" w:history="1">
        <w:r w:rsidR="00A55480">
          <w:rPr>
            <w:rStyle w:val="Hyperlink"/>
          </w:rPr>
          <w:t>from 74</w:t>
        </w:r>
        <w:r w:rsidR="00A55480" w:rsidRPr="00A55480">
          <w:rPr>
            <w:rStyle w:val="Hyperlink"/>
          </w:rPr>
          <w:t>%</w:t>
        </w:r>
      </w:hyperlink>
      <w:r w:rsidR="00A55480">
        <w:t xml:space="preserve"> to</w:t>
      </w:r>
      <w:r w:rsidR="008740BC">
        <w:t xml:space="preserve"> </w:t>
      </w:r>
      <w:hyperlink r:id="rId30" w:history="1">
        <w:r w:rsidR="008740BC" w:rsidRPr="008740BC">
          <w:rPr>
            <w:rStyle w:val="Hyperlink"/>
          </w:rPr>
          <w:t>nearly 80</w:t>
        </w:r>
      </w:hyperlink>
      <w:r w:rsidR="00052452">
        <w:t xml:space="preserve"> per cent of </w:t>
      </w:r>
      <w:r w:rsidR="008740BC">
        <w:t>Americans thought</w:t>
      </w:r>
      <w:r w:rsidR="00052452">
        <w:t xml:space="preserve"> that the country was</w:t>
      </w:r>
      <w:r w:rsidR="008740BC">
        <w:t xml:space="preserve"> still in recession.  As of June 1, 2014, only </w:t>
      </w:r>
      <w:hyperlink r:id="rId31" w:history="1">
        <w:r w:rsidR="008740BC" w:rsidRPr="008740BC">
          <w:rPr>
            <w:rStyle w:val="Hyperlink"/>
          </w:rPr>
          <w:t>43 per cent</w:t>
        </w:r>
      </w:hyperlink>
      <w:r w:rsidR="008740BC">
        <w:t xml:space="preserve"> th</w:t>
      </w:r>
      <w:r w:rsidR="001E1046">
        <w:t>ought that the U.S. economy had</w:t>
      </w:r>
      <w:r w:rsidR="008740BC">
        <w:t xml:space="preserve"> even </w:t>
      </w:r>
      <w:r w:rsidR="008740BC" w:rsidRPr="008740BC">
        <w:rPr>
          <w:i/>
        </w:rPr>
        <w:t>begun</w:t>
      </w:r>
      <w:r w:rsidR="008740BC">
        <w:t xml:space="preserve"> to recover.</w:t>
      </w:r>
      <w:r w:rsidR="00A55480">
        <w:t xml:space="preserve">   One could give </w:t>
      </w:r>
      <w:r w:rsidR="008740BC">
        <w:t>other examples</w:t>
      </w:r>
      <w:r>
        <w:t xml:space="preserve"> of unawareness of economic statistics</w:t>
      </w:r>
      <w:r w:rsidR="00A55480">
        <w:t xml:space="preserve">, from other stages in the business cycle </w:t>
      </w:r>
      <w:r w:rsidR="00A17D69">
        <w:t>(</w:t>
      </w:r>
      <w:r w:rsidR="00A55480">
        <w:t xml:space="preserve">and </w:t>
      </w:r>
      <w:r w:rsidR="00766502">
        <w:t xml:space="preserve">from </w:t>
      </w:r>
      <w:r w:rsidR="00A55480">
        <w:t>other presidents’ terms</w:t>
      </w:r>
      <w:r w:rsidR="00A17D69">
        <w:t>)</w:t>
      </w:r>
      <w:r w:rsidR="008740BC">
        <w:t>.</w:t>
      </w:r>
      <w:r w:rsidR="00A17D69">
        <w:t xml:space="preserve"> </w:t>
      </w:r>
      <w:r w:rsidR="001E1046">
        <w:t xml:space="preserve"> But what looks like ignorance may be a result of “rational inattention.”</w:t>
      </w:r>
      <w:r w:rsidR="00A17D69">
        <w:t xml:space="preserve"> </w:t>
      </w:r>
      <w:r w:rsidR="00766502">
        <w:rPr>
          <w:rStyle w:val="FootnoteReference"/>
        </w:rPr>
        <w:footnoteReference w:id="11"/>
      </w:r>
      <w:r w:rsidR="00766502">
        <w:t xml:space="preserve">  </w:t>
      </w:r>
      <w:r w:rsidR="00A17D69">
        <w:t>If it were made easier for the public to get a genuine reading on the state of the economy, it might help them in their lives as individual decision-makers in the economy and as voters in a well-functioning democracy.</w:t>
      </w:r>
      <w:r w:rsidR="00530BE2">
        <w:rPr>
          <w:rStyle w:val="FootnoteReference"/>
        </w:rPr>
        <w:footnoteReference w:id="12"/>
      </w:r>
      <w:r w:rsidR="008740BC">
        <w:t xml:space="preserve"> </w:t>
      </w:r>
      <w:r w:rsidR="00A17D69">
        <w:t xml:space="preserve">  </w:t>
      </w:r>
      <w:r w:rsidR="009A5FC6">
        <w:br/>
      </w:r>
    </w:p>
    <w:p w:rsidR="00B43938" w:rsidRPr="00575CC1" w:rsidRDefault="00575CC1" w:rsidP="00260E10">
      <w:r>
        <w:t>References</w:t>
      </w: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r w:rsidRPr="00B47B3A">
        <w:rPr>
          <w:rFonts w:cs="Lucida Sans Unicode"/>
          <w:bCs/>
          <w:color w:val="000000"/>
          <w:sz w:val="18"/>
          <w:szCs w:val="18"/>
        </w:rPr>
        <w:t>Andersen, Torben, Tim</w:t>
      </w:r>
      <w:r w:rsidRPr="00B00025">
        <w:rPr>
          <w:rFonts w:cs="Lucida Sans Unicode"/>
          <w:bCs/>
          <w:color w:val="000000"/>
          <w:sz w:val="18"/>
          <w:szCs w:val="18"/>
        </w:rPr>
        <w:t xml:space="preserve"> </w:t>
      </w:r>
      <w:r w:rsidRPr="00B47B3A">
        <w:rPr>
          <w:rFonts w:cs="Lucida Sans Unicode"/>
          <w:bCs/>
          <w:color w:val="000000"/>
          <w:sz w:val="18"/>
          <w:szCs w:val="18"/>
        </w:rPr>
        <w:t>Bollerslev, Francis</w:t>
      </w:r>
      <w:r>
        <w:rPr>
          <w:rFonts w:cs="Lucida Sans Unicode"/>
          <w:bCs/>
          <w:color w:val="000000"/>
          <w:sz w:val="18"/>
          <w:szCs w:val="18"/>
        </w:rPr>
        <w:t xml:space="preserve"> </w:t>
      </w:r>
      <w:r w:rsidRPr="00B47B3A">
        <w:rPr>
          <w:rFonts w:cs="Lucida Sans Unicode"/>
          <w:bCs/>
          <w:color w:val="000000"/>
          <w:sz w:val="18"/>
          <w:szCs w:val="18"/>
        </w:rPr>
        <w:t>Diebold</w:t>
      </w:r>
      <w:r>
        <w:rPr>
          <w:rFonts w:cs="Lucida Sans Unicode"/>
          <w:bCs/>
          <w:color w:val="000000"/>
          <w:sz w:val="18"/>
          <w:szCs w:val="18"/>
        </w:rPr>
        <w:t>,</w:t>
      </w:r>
      <w:r w:rsidRPr="00B47B3A">
        <w:rPr>
          <w:rFonts w:cs="Lucida Sans Unicode"/>
          <w:bCs/>
          <w:color w:val="000000"/>
          <w:sz w:val="18"/>
          <w:szCs w:val="18"/>
        </w:rPr>
        <w:t xml:space="preserve"> and Clara </w:t>
      </w:r>
      <w:r>
        <w:rPr>
          <w:rFonts w:cs="Lucida Sans Unicode"/>
          <w:bCs/>
          <w:color w:val="000000"/>
          <w:sz w:val="18"/>
          <w:szCs w:val="18"/>
        </w:rPr>
        <w:t xml:space="preserve">Vega </w:t>
      </w:r>
      <w:r w:rsidRPr="00B47B3A">
        <w:rPr>
          <w:rFonts w:cs="Lucida Sans Unicode"/>
          <w:bCs/>
          <w:color w:val="000000"/>
          <w:sz w:val="18"/>
          <w:szCs w:val="18"/>
        </w:rPr>
        <w:t xml:space="preserve">(2007), </w:t>
      </w:r>
      <w:r w:rsidRPr="00B47B3A">
        <w:rPr>
          <w:rFonts w:cs="Lucida Sans Unicode"/>
          <w:bCs/>
          <w:sz w:val="18"/>
          <w:szCs w:val="18"/>
        </w:rPr>
        <w:t>“Real-Time Price Discovery in Global Stock, Bond and Foreign Exchange Markets,”</w:t>
      </w:r>
      <w:r w:rsidRPr="00B47B3A">
        <w:rPr>
          <w:rFonts w:cs="Lucida Sans Unicode"/>
          <w:bCs/>
          <w:color w:val="000000"/>
          <w:sz w:val="18"/>
          <w:szCs w:val="18"/>
        </w:rPr>
        <w:t xml:space="preserve"> </w:t>
      </w:r>
      <w:r w:rsidRPr="00B47B3A">
        <w:rPr>
          <w:rFonts w:cs="Lucida Sans Unicode"/>
          <w:bCs/>
          <w:i/>
          <w:color w:val="000000"/>
          <w:sz w:val="18"/>
          <w:szCs w:val="18"/>
        </w:rPr>
        <w:t xml:space="preserve">Journal of International Economics, </w:t>
      </w:r>
      <w:r w:rsidRPr="00B47B3A">
        <w:rPr>
          <w:rFonts w:cs="Lucida Sans Unicode"/>
          <w:bCs/>
          <w:color w:val="000000"/>
          <w:sz w:val="18"/>
          <w:szCs w:val="18"/>
        </w:rPr>
        <w:t xml:space="preserve">73(2), pp. 251 – 277. </w:t>
      </w: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r w:rsidRPr="00B47B3A">
        <w:rPr>
          <w:rFonts w:cs="Arial"/>
          <w:color w:val="222222"/>
          <w:sz w:val="18"/>
          <w:szCs w:val="18"/>
          <w:shd w:val="clear" w:color="auto" w:fill="FFFFFF"/>
        </w:rPr>
        <w:t xml:space="preserve">Barberis, Nicholas, </w:t>
      </w:r>
      <w:r w:rsidRPr="00F05BDD">
        <w:rPr>
          <w:rFonts w:cs="Arial"/>
          <w:color w:val="222222"/>
          <w:sz w:val="18"/>
          <w:szCs w:val="18"/>
          <w:shd w:val="clear" w:color="auto" w:fill="FFFFFF"/>
        </w:rPr>
        <w:t>Ming Huang</w:t>
      </w:r>
      <w:r>
        <w:rPr>
          <w:rFonts w:cs="Arial"/>
          <w:color w:val="222222"/>
          <w:sz w:val="18"/>
          <w:szCs w:val="18"/>
          <w:shd w:val="clear" w:color="auto" w:fill="FFFFFF"/>
        </w:rPr>
        <w:t xml:space="preserve">, </w:t>
      </w:r>
      <w:r w:rsidRPr="00B47B3A">
        <w:rPr>
          <w:rFonts w:cs="Arial"/>
          <w:color w:val="222222"/>
          <w:sz w:val="18"/>
          <w:szCs w:val="18"/>
          <w:shd w:val="clear" w:color="auto" w:fill="FFFFFF"/>
        </w:rPr>
        <w:t>and Tano Santos (2001)</w:t>
      </w:r>
      <w:r w:rsidRPr="00B47B3A">
        <w:rPr>
          <w:rFonts w:cs="Lucida Sans Unicode"/>
          <w:bCs/>
          <w:color w:val="000000"/>
          <w:sz w:val="18"/>
          <w:szCs w:val="18"/>
        </w:rPr>
        <w:t>,</w:t>
      </w:r>
      <w:r w:rsidRPr="00B47B3A">
        <w:rPr>
          <w:rFonts w:cs="Arial"/>
          <w:color w:val="222222"/>
          <w:sz w:val="18"/>
          <w:szCs w:val="18"/>
          <w:shd w:val="clear" w:color="auto" w:fill="FFFFFF"/>
        </w:rPr>
        <w:t xml:space="preserve"> "Prospect Theory And Asset Prices</w:t>
      </w:r>
      <w:r>
        <w:rPr>
          <w:rFonts w:cs="Arial"/>
          <w:color w:val="222222"/>
          <w:sz w:val="18"/>
          <w:szCs w:val="18"/>
          <w:shd w:val="clear" w:color="auto" w:fill="FFFFFF"/>
        </w:rPr>
        <w:t>,</w:t>
      </w:r>
      <w:r w:rsidRPr="00B47B3A">
        <w:rPr>
          <w:rFonts w:cs="Arial"/>
          <w:color w:val="222222"/>
          <w:sz w:val="18"/>
          <w:szCs w:val="18"/>
          <w:shd w:val="clear" w:color="auto" w:fill="FFFFFF"/>
        </w:rPr>
        <w:t>"</w:t>
      </w:r>
      <w:r w:rsidRPr="00B47B3A">
        <w:rPr>
          <w:rStyle w:val="apple-converted-space"/>
          <w:rFonts w:cs="Arial"/>
          <w:color w:val="222222"/>
          <w:sz w:val="18"/>
          <w:szCs w:val="18"/>
          <w:shd w:val="clear" w:color="auto" w:fill="FFFFFF"/>
        </w:rPr>
        <w:t> </w:t>
      </w:r>
      <w:r w:rsidRPr="00B47B3A">
        <w:rPr>
          <w:rFonts w:cs="Arial"/>
          <w:i/>
          <w:iCs/>
          <w:color w:val="222222"/>
          <w:sz w:val="18"/>
          <w:szCs w:val="18"/>
          <w:shd w:val="clear" w:color="auto" w:fill="FFFFFF"/>
        </w:rPr>
        <w:t>The Quarterly Journal of Economics</w:t>
      </w:r>
      <w:r>
        <w:rPr>
          <w:rFonts w:cs="Arial"/>
          <w:i/>
          <w:iCs/>
          <w:color w:val="222222"/>
          <w:sz w:val="18"/>
          <w:szCs w:val="18"/>
          <w:shd w:val="clear" w:color="auto" w:fill="FFFFFF"/>
        </w:rPr>
        <w:t>,</w:t>
      </w:r>
      <w:r w:rsidRPr="00B47B3A">
        <w:rPr>
          <w:rStyle w:val="apple-converted-space"/>
          <w:rFonts w:cs="Arial"/>
          <w:color w:val="222222"/>
          <w:sz w:val="18"/>
          <w:szCs w:val="18"/>
          <w:shd w:val="clear" w:color="auto" w:fill="FFFFFF"/>
        </w:rPr>
        <w:t> </w:t>
      </w:r>
      <w:r>
        <w:rPr>
          <w:rFonts w:cs="Arial"/>
          <w:color w:val="222222"/>
          <w:sz w:val="18"/>
          <w:szCs w:val="18"/>
          <w:shd w:val="clear" w:color="auto" w:fill="FFFFFF"/>
        </w:rPr>
        <w:t>116(1), pp.</w:t>
      </w:r>
      <w:r w:rsidRPr="00B47B3A">
        <w:rPr>
          <w:rFonts w:cs="Arial"/>
          <w:color w:val="222222"/>
          <w:sz w:val="18"/>
          <w:szCs w:val="18"/>
          <w:shd w:val="clear" w:color="auto" w:fill="FFFFFF"/>
        </w:rPr>
        <w:t>1-53.</w:t>
      </w: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p>
    <w:p w:rsidR="001A2647" w:rsidRPr="00B47B3A" w:rsidRDefault="00D673BE" w:rsidP="001A2647">
      <w:pPr>
        <w:shd w:val="clear" w:color="auto" w:fill="FFFFFF"/>
        <w:spacing w:after="0" w:line="240" w:lineRule="auto"/>
        <w:textAlignment w:val="baseline"/>
        <w:rPr>
          <w:rFonts w:cs="Lucida Sans Unicode"/>
          <w:bCs/>
          <w:color w:val="000000"/>
          <w:sz w:val="18"/>
          <w:szCs w:val="18"/>
        </w:rPr>
      </w:pPr>
      <w:r w:rsidRPr="00B47B3A">
        <w:rPr>
          <w:rFonts w:cs="Arial"/>
          <w:color w:val="222222"/>
          <w:sz w:val="18"/>
          <w:szCs w:val="18"/>
          <w:shd w:val="clear" w:color="auto" w:fill="FFFFFF"/>
        </w:rPr>
        <w:t>Barberis, Nicholas, Andrei Shleifer</w:t>
      </w:r>
      <w:r>
        <w:rPr>
          <w:rFonts w:cs="Arial"/>
          <w:color w:val="222222"/>
          <w:sz w:val="18"/>
          <w:szCs w:val="18"/>
          <w:shd w:val="clear" w:color="auto" w:fill="FFFFFF"/>
        </w:rPr>
        <w:t>,</w:t>
      </w:r>
      <w:r w:rsidRPr="00B47B3A">
        <w:rPr>
          <w:rFonts w:cs="Arial"/>
          <w:color w:val="222222"/>
          <w:sz w:val="18"/>
          <w:szCs w:val="18"/>
          <w:shd w:val="clear" w:color="auto" w:fill="FFFFFF"/>
        </w:rPr>
        <w:t xml:space="preserve"> and Robert Vishny (1998), "A model of </w:t>
      </w:r>
      <w:r>
        <w:rPr>
          <w:rFonts w:cs="Arial"/>
          <w:color w:val="222222"/>
          <w:sz w:val="18"/>
          <w:szCs w:val="18"/>
          <w:shd w:val="clear" w:color="auto" w:fill="FFFFFF"/>
        </w:rPr>
        <w:t>I</w:t>
      </w:r>
      <w:r w:rsidRPr="00B47B3A">
        <w:rPr>
          <w:rFonts w:cs="Arial"/>
          <w:color w:val="222222"/>
          <w:sz w:val="18"/>
          <w:szCs w:val="18"/>
          <w:shd w:val="clear" w:color="auto" w:fill="FFFFFF"/>
        </w:rPr>
        <w:t xml:space="preserve">nvestor </w:t>
      </w:r>
      <w:r>
        <w:rPr>
          <w:rFonts w:cs="Arial"/>
          <w:color w:val="222222"/>
          <w:sz w:val="18"/>
          <w:szCs w:val="18"/>
          <w:shd w:val="clear" w:color="auto" w:fill="FFFFFF"/>
        </w:rPr>
        <w:t>S</w:t>
      </w:r>
      <w:r w:rsidRPr="00B47B3A">
        <w:rPr>
          <w:rFonts w:cs="Arial"/>
          <w:color w:val="222222"/>
          <w:sz w:val="18"/>
          <w:szCs w:val="18"/>
          <w:shd w:val="clear" w:color="auto" w:fill="FFFFFF"/>
        </w:rPr>
        <w:t>entiment</w:t>
      </w:r>
      <w:r>
        <w:rPr>
          <w:rFonts w:cs="Arial"/>
          <w:color w:val="222222"/>
          <w:sz w:val="18"/>
          <w:szCs w:val="18"/>
          <w:shd w:val="clear" w:color="auto" w:fill="FFFFFF"/>
        </w:rPr>
        <w:t>,</w:t>
      </w:r>
      <w:r w:rsidRPr="00B47B3A">
        <w:rPr>
          <w:rFonts w:cs="Arial"/>
          <w:color w:val="222222"/>
          <w:sz w:val="18"/>
          <w:szCs w:val="18"/>
          <w:shd w:val="clear" w:color="auto" w:fill="FFFFFF"/>
        </w:rPr>
        <w:t xml:space="preserve">" </w:t>
      </w:r>
      <w:r w:rsidRPr="00B47B3A">
        <w:rPr>
          <w:rFonts w:cs="Arial"/>
          <w:i/>
          <w:iCs/>
          <w:color w:val="222222"/>
          <w:sz w:val="18"/>
          <w:szCs w:val="18"/>
          <w:shd w:val="clear" w:color="auto" w:fill="FFFFFF"/>
        </w:rPr>
        <w:t xml:space="preserve">Journal of </w:t>
      </w:r>
      <w:r>
        <w:rPr>
          <w:rFonts w:cs="Arial"/>
          <w:i/>
          <w:iCs/>
          <w:color w:val="222222"/>
          <w:sz w:val="18"/>
          <w:szCs w:val="18"/>
          <w:shd w:val="clear" w:color="auto" w:fill="FFFFFF"/>
        </w:rPr>
        <w:t>Financial E</w:t>
      </w:r>
      <w:r w:rsidRPr="00B47B3A">
        <w:rPr>
          <w:rFonts w:cs="Arial"/>
          <w:i/>
          <w:iCs/>
          <w:color w:val="222222"/>
          <w:sz w:val="18"/>
          <w:szCs w:val="18"/>
          <w:shd w:val="clear" w:color="auto" w:fill="FFFFFF"/>
        </w:rPr>
        <w:t>conomics</w:t>
      </w:r>
      <w:r w:rsidRPr="00B47B3A">
        <w:rPr>
          <w:rStyle w:val="apple-converted-space"/>
          <w:rFonts w:cs="Arial"/>
          <w:color w:val="222222"/>
          <w:sz w:val="18"/>
          <w:szCs w:val="18"/>
          <w:shd w:val="clear" w:color="auto" w:fill="FFFFFF"/>
        </w:rPr>
        <w:t> </w:t>
      </w:r>
      <w:r w:rsidRPr="00B47B3A">
        <w:rPr>
          <w:rFonts w:cs="Arial"/>
          <w:color w:val="222222"/>
          <w:sz w:val="18"/>
          <w:szCs w:val="18"/>
          <w:shd w:val="clear" w:color="auto" w:fill="FFFFFF"/>
        </w:rPr>
        <w:t>49</w:t>
      </w:r>
      <w:r>
        <w:rPr>
          <w:rFonts w:cs="Arial"/>
          <w:color w:val="222222"/>
          <w:sz w:val="18"/>
          <w:szCs w:val="18"/>
          <w:shd w:val="clear" w:color="auto" w:fill="FFFFFF"/>
        </w:rPr>
        <w:t>(</w:t>
      </w:r>
      <w:r w:rsidRPr="00B47B3A">
        <w:rPr>
          <w:rFonts w:cs="Arial"/>
          <w:color w:val="222222"/>
          <w:sz w:val="18"/>
          <w:szCs w:val="18"/>
          <w:shd w:val="clear" w:color="auto" w:fill="FFFFFF"/>
        </w:rPr>
        <w:t>3</w:t>
      </w:r>
      <w:r>
        <w:rPr>
          <w:rFonts w:cs="Arial"/>
          <w:color w:val="222222"/>
          <w:sz w:val="18"/>
          <w:szCs w:val="18"/>
          <w:shd w:val="clear" w:color="auto" w:fill="FFFFFF"/>
        </w:rPr>
        <w:t>), pp.</w:t>
      </w:r>
      <w:r w:rsidRPr="00B47B3A">
        <w:rPr>
          <w:rFonts w:cs="Arial"/>
          <w:color w:val="222222"/>
          <w:sz w:val="18"/>
          <w:szCs w:val="18"/>
          <w:shd w:val="clear" w:color="auto" w:fill="FFFFFF"/>
        </w:rPr>
        <w:t>307-343.</w:t>
      </w:r>
    </w:p>
    <w:p w:rsidR="001A2647" w:rsidRPr="00B47B3A" w:rsidRDefault="001A2647" w:rsidP="001A2647">
      <w:pPr>
        <w:shd w:val="clear" w:color="auto" w:fill="FFFFFF"/>
        <w:spacing w:after="0" w:line="240" w:lineRule="auto"/>
        <w:textAlignment w:val="baseline"/>
        <w:rPr>
          <w:rFonts w:cs="Arial"/>
          <w:color w:val="222222"/>
          <w:sz w:val="18"/>
          <w:szCs w:val="18"/>
          <w:shd w:val="clear" w:color="auto" w:fill="FFFFFF"/>
        </w:rPr>
      </w:pP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r w:rsidRPr="00B47B3A">
        <w:rPr>
          <w:rFonts w:cs="Arial"/>
          <w:color w:val="222222"/>
          <w:sz w:val="18"/>
          <w:szCs w:val="18"/>
          <w:shd w:val="clear" w:color="auto" w:fill="FFFFFF"/>
        </w:rPr>
        <w:t>Barberis, Nicholas</w:t>
      </w:r>
      <w:r>
        <w:rPr>
          <w:rFonts w:cs="Arial"/>
          <w:color w:val="222222"/>
          <w:sz w:val="18"/>
          <w:szCs w:val="18"/>
          <w:shd w:val="clear" w:color="auto" w:fill="FFFFFF"/>
        </w:rPr>
        <w:t>,</w:t>
      </w:r>
      <w:r w:rsidRPr="00B47B3A">
        <w:rPr>
          <w:rFonts w:cs="Arial"/>
          <w:color w:val="222222"/>
          <w:sz w:val="18"/>
          <w:szCs w:val="18"/>
          <w:shd w:val="clear" w:color="auto" w:fill="FFFFFF"/>
        </w:rPr>
        <w:t xml:space="preserve"> and Richard Thaler (2003)</w:t>
      </w:r>
      <w:r w:rsidRPr="00B47B3A">
        <w:rPr>
          <w:rFonts w:cs="Lucida Sans Unicode"/>
          <w:bCs/>
          <w:color w:val="000000"/>
          <w:sz w:val="18"/>
          <w:szCs w:val="18"/>
        </w:rPr>
        <w:t xml:space="preserve"> ,</w:t>
      </w:r>
      <w:r w:rsidRPr="00B47B3A">
        <w:rPr>
          <w:rFonts w:cs="Arial"/>
          <w:color w:val="222222"/>
          <w:sz w:val="18"/>
          <w:szCs w:val="18"/>
          <w:shd w:val="clear" w:color="auto" w:fill="FFFFFF"/>
        </w:rPr>
        <w:t xml:space="preserve"> "A Survey of Behavioral Finance</w:t>
      </w:r>
      <w:r>
        <w:rPr>
          <w:rFonts w:cs="Arial"/>
          <w:color w:val="222222"/>
          <w:sz w:val="18"/>
          <w:szCs w:val="18"/>
          <w:shd w:val="clear" w:color="auto" w:fill="FFFFFF"/>
        </w:rPr>
        <w:t>,</w:t>
      </w:r>
      <w:r w:rsidRPr="00B47B3A">
        <w:rPr>
          <w:rFonts w:cs="Arial"/>
          <w:color w:val="222222"/>
          <w:sz w:val="18"/>
          <w:szCs w:val="18"/>
          <w:shd w:val="clear" w:color="auto" w:fill="FFFFFF"/>
        </w:rPr>
        <w:t xml:space="preserve">" </w:t>
      </w:r>
      <w:r w:rsidRPr="00B47B3A">
        <w:rPr>
          <w:rFonts w:cs="Arial"/>
          <w:iCs/>
          <w:color w:val="222222"/>
          <w:sz w:val="18"/>
          <w:szCs w:val="18"/>
          <w:shd w:val="clear" w:color="auto" w:fill="FFFFFF"/>
        </w:rPr>
        <w:t xml:space="preserve">in </w:t>
      </w:r>
      <w:r w:rsidRPr="00B47B3A">
        <w:rPr>
          <w:rFonts w:cs="Arial"/>
          <w:color w:val="222222"/>
          <w:sz w:val="18"/>
          <w:szCs w:val="18"/>
          <w:shd w:val="clear" w:color="auto" w:fill="FFFFFF"/>
        </w:rPr>
        <w:t xml:space="preserve">M. Constantinides &amp; M. Harris &amp; R. Stulz (ed.), </w:t>
      </w:r>
      <w:r w:rsidRPr="00B47B3A">
        <w:rPr>
          <w:rFonts w:cs="Arial"/>
          <w:i/>
          <w:color w:val="222222"/>
          <w:sz w:val="18"/>
          <w:szCs w:val="18"/>
          <w:shd w:val="clear" w:color="auto" w:fill="FFFFFF"/>
        </w:rPr>
        <w:t>Handbook of the Economics of Finance</w:t>
      </w:r>
      <w:r w:rsidRPr="00B47B3A">
        <w:rPr>
          <w:rFonts w:cs="Arial"/>
          <w:color w:val="222222"/>
          <w:sz w:val="18"/>
          <w:szCs w:val="18"/>
          <w:shd w:val="clear" w:color="auto" w:fill="FFFFFF"/>
        </w:rPr>
        <w:t>, Edition 1, volume 1, Chapter 18, pp. 1053-1128.</w:t>
      </w: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p>
    <w:p w:rsidR="001A2647" w:rsidRPr="00B47B3A" w:rsidRDefault="001A2647" w:rsidP="001A2647">
      <w:pPr>
        <w:shd w:val="clear" w:color="auto" w:fill="FFFFFF"/>
        <w:spacing w:after="0" w:line="240" w:lineRule="auto"/>
        <w:textAlignment w:val="baseline"/>
        <w:rPr>
          <w:bCs/>
          <w:sz w:val="18"/>
          <w:szCs w:val="18"/>
        </w:rPr>
      </w:pPr>
      <w:r w:rsidRPr="00B47B3A">
        <w:rPr>
          <w:rFonts w:cs="Lucida Sans Unicode"/>
          <w:bCs/>
          <w:color w:val="000000"/>
          <w:sz w:val="18"/>
          <w:szCs w:val="18"/>
        </w:rPr>
        <w:t xml:space="preserve">Bartolini, Leonardo, </w:t>
      </w:r>
      <w:r>
        <w:rPr>
          <w:rFonts w:cs="Lucida Sans Unicode"/>
          <w:bCs/>
          <w:color w:val="000000"/>
          <w:sz w:val="18"/>
          <w:szCs w:val="18"/>
        </w:rPr>
        <w:t>Linda Goldberg,</w:t>
      </w:r>
      <w:r w:rsidRPr="00B47B3A">
        <w:rPr>
          <w:rFonts w:cs="Lucida Sans Unicode"/>
          <w:bCs/>
          <w:color w:val="000000"/>
          <w:sz w:val="18"/>
          <w:szCs w:val="18"/>
        </w:rPr>
        <w:t xml:space="preserve"> and Adam Sacarny (2008), “</w:t>
      </w:r>
      <w:r w:rsidRPr="00B47B3A">
        <w:rPr>
          <w:rFonts w:cs="Lucida Sans Unicode"/>
          <w:bCs/>
          <w:sz w:val="18"/>
          <w:szCs w:val="18"/>
        </w:rPr>
        <w:t>How Economic News Moves Markets</w:t>
      </w:r>
      <w:r w:rsidRPr="00B47B3A">
        <w:rPr>
          <w:rFonts w:cs="Lucida Sans Unicode"/>
          <w:bCs/>
          <w:color w:val="000000"/>
          <w:sz w:val="18"/>
          <w:szCs w:val="18"/>
        </w:rPr>
        <w:t xml:space="preserve">,” </w:t>
      </w:r>
      <w:r w:rsidRPr="00B47B3A">
        <w:rPr>
          <w:rFonts w:cs="Lucida Sans Unicode"/>
          <w:bCs/>
          <w:i/>
          <w:color w:val="000000"/>
          <w:sz w:val="18"/>
          <w:szCs w:val="18"/>
        </w:rPr>
        <w:t xml:space="preserve">Current Issues in Economics and Finance </w:t>
      </w:r>
      <w:r w:rsidRPr="00B47B3A">
        <w:rPr>
          <w:rFonts w:cs="Lucida Sans Unicode"/>
          <w:bCs/>
          <w:color w:val="000000"/>
          <w:sz w:val="18"/>
          <w:szCs w:val="18"/>
        </w:rPr>
        <w:t>(Federal Reserve Bank of New York), 4(6)</w:t>
      </w:r>
      <w:r>
        <w:rPr>
          <w:rFonts w:cs="Lucida Sans Unicode"/>
          <w:bCs/>
          <w:color w:val="000000"/>
          <w:sz w:val="18"/>
          <w:szCs w:val="18"/>
        </w:rPr>
        <w:t>.</w:t>
      </w:r>
      <w:r w:rsidRPr="00B47B3A">
        <w:rPr>
          <w:rFonts w:cs="Lucida Sans Unicode"/>
          <w:bCs/>
          <w:color w:val="000000"/>
          <w:sz w:val="18"/>
          <w:szCs w:val="18"/>
        </w:rPr>
        <w:br/>
      </w:r>
    </w:p>
    <w:p w:rsidR="001A2647" w:rsidRPr="00B47B3A" w:rsidRDefault="001A2647" w:rsidP="001A2647">
      <w:pPr>
        <w:shd w:val="clear" w:color="auto" w:fill="FFFFFF"/>
        <w:spacing w:after="0" w:line="240" w:lineRule="auto"/>
        <w:textAlignment w:val="baseline"/>
        <w:rPr>
          <w:bCs/>
          <w:sz w:val="18"/>
          <w:szCs w:val="18"/>
        </w:rPr>
      </w:pPr>
      <w:r w:rsidRPr="00B47B3A">
        <w:rPr>
          <w:bCs/>
          <w:sz w:val="18"/>
          <w:szCs w:val="18"/>
        </w:rPr>
        <w:t>Baumohl</w:t>
      </w:r>
      <w:r>
        <w:rPr>
          <w:bCs/>
          <w:sz w:val="18"/>
          <w:szCs w:val="18"/>
        </w:rPr>
        <w:t>,</w:t>
      </w:r>
      <w:r w:rsidRPr="00E3627F">
        <w:rPr>
          <w:bCs/>
          <w:sz w:val="18"/>
          <w:szCs w:val="18"/>
        </w:rPr>
        <w:t xml:space="preserve"> </w:t>
      </w:r>
      <w:r w:rsidRPr="00B47B3A">
        <w:rPr>
          <w:bCs/>
          <w:sz w:val="18"/>
          <w:szCs w:val="18"/>
        </w:rPr>
        <w:t xml:space="preserve">Bernard (2012), </w:t>
      </w:r>
      <w:r w:rsidRPr="0028427E">
        <w:rPr>
          <w:bCs/>
          <w:i/>
          <w:sz w:val="18"/>
          <w:szCs w:val="18"/>
        </w:rPr>
        <w:t>The Secrets of Economic Indicators: Hidden Clues to Future Economic Trends and Investment Opportunities</w:t>
      </w:r>
      <w:r w:rsidRPr="00B47B3A">
        <w:rPr>
          <w:bCs/>
          <w:sz w:val="18"/>
          <w:szCs w:val="18"/>
        </w:rPr>
        <w:t xml:space="preserve"> (3rd Edition), FT Press. </w:t>
      </w:r>
      <w:r w:rsidRPr="00B47B3A">
        <w:rPr>
          <w:bCs/>
          <w:sz w:val="18"/>
          <w:szCs w:val="18"/>
        </w:rPr>
        <w:tab/>
      </w:r>
    </w:p>
    <w:p w:rsidR="001A2647" w:rsidRPr="00B47B3A" w:rsidRDefault="001A2647" w:rsidP="001A2647">
      <w:pPr>
        <w:shd w:val="clear" w:color="auto" w:fill="FFFFFF"/>
        <w:spacing w:after="0" w:line="240" w:lineRule="auto"/>
        <w:textAlignment w:val="baseline"/>
        <w:rPr>
          <w:bCs/>
          <w:sz w:val="18"/>
          <w:szCs w:val="18"/>
        </w:rPr>
      </w:pPr>
    </w:p>
    <w:p w:rsidR="001A2647" w:rsidRPr="00B47B3A" w:rsidRDefault="001A2647" w:rsidP="001A2647">
      <w:pPr>
        <w:shd w:val="clear" w:color="auto" w:fill="FFFFFF"/>
        <w:spacing w:after="0" w:line="240" w:lineRule="auto"/>
        <w:textAlignment w:val="baseline"/>
        <w:rPr>
          <w:rFonts w:eastAsia="Times New Roman" w:cs="Arial"/>
          <w:bCs/>
          <w:color w:val="222222"/>
          <w:sz w:val="18"/>
          <w:szCs w:val="18"/>
        </w:rPr>
      </w:pPr>
      <w:r w:rsidRPr="00B47B3A">
        <w:rPr>
          <w:bCs/>
          <w:sz w:val="18"/>
          <w:szCs w:val="18"/>
        </w:rPr>
        <w:t>Benartzi, Shlomo</w:t>
      </w:r>
      <w:r>
        <w:rPr>
          <w:bCs/>
          <w:sz w:val="18"/>
          <w:szCs w:val="18"/>
        </w:rPr>
        <w:t>,</w:t>
      </w:r>
      <w:r w:rsidRPr="00B47B3A">
        <w:rPr>
          <w:bCs/>
          <w:sz w:val="18"/>
          <w:szCs w:val="18"/>
        </w:rPr>
        <w:t xml:space="preserve"> and</w:t>
      </w:r>
      <w:r w:rsidRPr="00B47B3A">
        <w:rPr>
          <w:rStyle w:val="apple-converted-space"/>
          <w:bCs/>
          <w:sz w:val="18"/>
          <w:szCs w:val="18"/>
        </w:rPr>
        <w:t> </w:t>
      </w:r>
      <w:r w:rsidRPr="00B47B3A">
        <w:rPr>
          <w:sz w:val="18"/>
          <w:szCs w:val="18"/>
        </w:rPr>
        <w:t>Richard Thaler</w:t>
      </w:r>
      <w:r>
        <w:rPr>
          <w:sz w:val="18"/>
          <w:szCs w:val="18"/>
        </w:rPr>
        <w:t xml:space="preserve"> (</w:t>
      </w:r>
      <w:r w:rsidRPr="00B47B3A">
        <w:rPr>
          <w:bCs/>
          <w:color w:val="333333"/>
          <w:sz w:val="18"/>
          <w:szCs w:val="18"/>
          <w:shd w:val="clear" w:color="auto" w:fill="FFFFFF"/>
        </w:rPr>
        <w:t>1995</w:t>
      </w:r>
      <w:r>
        <w:rPr>
          <w:bCs/>
          <w:color w:val="333333"/>
          <w:sz w:val="18"/>
          <w:szCs w:val="18"/>
          <w:shd w:val="clear" w:color="auto" w:fill="FFFFFF"/>
        </w:rPr>
        <w:t>)</w:t>
      </w:r>
      <w:r w:rsidRPr="00B47B3A">
        <w:rPr>
          <w:bCs/>
          <w:color w:val="333333"/>
          <w:sz w:val="18"/>
          <w:szCs w:val="18"/>
          <w:shd w:val="clear" w:color="auto" w:fill="FFFFFF"/>
        </w:rPr>
        <w:t>, “</w:t>
      </w:r>
      <w:hyperlink r:id="rId32" w:history="1">
        <w:r w:rsidRPr="00834DD1">
          <w:rPr>
            <w:rStyle w:val="Hyperlink"/>
            <w:rFonts w:eastAsia="Times New Roman" w:cs="Arial"/>
            <w:sz w:val="18"/>
            <w:szCs w:val="18"/>
          </w:rPr>
          <w:t>Myopic Loss Aversion</w:t>
        </w:r>
        <w:r w:rsidRPr="00834DD1">
          <w:rPr>
            <w:rStyle w:val="Hyperlink"/>
            <w:rFonts w:eastAsia="Times New Roman" w:cs="Arial"/>
            <w:bCs/>
            <w:sz w:val="18"/>
            <w:szCs w:val="18"/>
          </w:rPr>
          <w:t> and the Equity Premium Puzzle</w:t>
        </w:r>
      </w:hyperlink>
      <w:r w:rsidRPr="00B47B3A">
        <w:rPr>
          <w:bCs/>
          <w:color w:val="333333"/>
          <w:sz w:val="18"/>
          <w:szCs w:val="18"/>
          <w:shd w:val="clear" w:color="auto" w:fill="FFFFFF"/>
        </w:rPr>
        <w:t xml:space="preserve">” </w:t>
      </w:r>
      <w:r w:rsidRPr="00B47B3A">
        <w:rPr>
          <w:bCs/>
          <w:i/>
          <w:color w:val="333333"/>
          <w:sz w:val="18"/>
          <w:szCs w:val="18"/>
          <w:shd w:val="clear" w:color="auto" w:fill="FFFFFF"/>
        </w:rPr>
        <w:t>Quarterly Journal of Economics</w:t>
      </w:r>
      <w:r>
        <w:rPr>
          <w:bCs/>
          <w:i/>
          <w:color w:val="333333"/>
          <w:sz w:val="18"/>
          <w:szCs w:val="18"/>
          <w:shd w:val="clear" w:color="auto" w:fill="FFFFFF"/>
        </w:rPr>
        <w:t xml:space="preserve">, </w:t>
      </w:r>
      <w:r w:rsidRPr="00B47B3A">
        <w:rPr>
          <w:color w:val="333333"/>
          <w:sz w:val="18"/>
          <w:szCs w:val="18"/>
          <w:shd w:val="clear" w:color="auto" w:fill="FFFFFF"/>
        </w:rPr>
        <w:t>110</w:t>
      </w:r>
      <w:r>
        <w:rPr>
          <w:color w:val="333333"/>
          <w:sz w:val="18"/>
          <w:szCs w:val="18"/>
          <w:shd w:val="clear" w:color="auto" w:fill="FFFFFF"/>
        </w:rPr>
        <w:t>(1)</w:t>
      </w:r>
      <w:r w:rsidRPr="00B47B3A">
        <w:rPr>
          <w:color w:val="333333"/>
          <w:sz w:val="18"/>
          <w:szCs w:val="18"/>
          <w:shd w:val="clear" w:color="auto" w:fill="FFFFFF"/>
        </w:rPr>
        <w:t>, February, pp.</w:t>
      </w:r>
      <w:r w:rsidRPr="00B47B3A">
        <w:rPr>
          <w:rStyle w:val="apple-converted-space"/>
          <w:color w:val="333333"/>
          <w:sz w:val="18"/>
          <w:szCs w:val="18"/>
          <w:shd w:val="clear" w:color="auto" w:fill="FFFFFF"/>
        </w:rPr>
        <w:t> </w:t>
      </w:r>
      <w:r w:rsidRPr="00B47B3A">
        <w:rPr>
          <w:color w:val="333333"/>
          <w:sz w:val="18"/>
          <w:szCs w:val="18"/>
          <w:shd w:val="clear" w:color="auto" w:fill="FFFFFF"/>
        </w:rPr>
        <w:t xml:space="preserve">73-92.  </w:t>
      </w:r>
      <w:r>
        <w:rPr>
          <w:color w:val="333333"/>
          <w:sz w:val="18"/>
          <w:szCs w:val="18"/>
          <w:shd w:val="clear" w:color="auto" w:fill="FFFFFF"/>
        </w:rPr>
        <w:t xml:space="preserve">Also </w:t>
      </w:r>
      <w:r w:rsidRPr="00B47B3A">
        <w:rPr>
          <w:rFonts w:cs="Tahoma"/>
          <w:bCs/>
          <w:color w:val="000000"/>
          <w:sz w:val="18"/>
          <w:szCs w:val="18"/>
        </w:rPr>
        <w:t>NBER WP 4369.</w:t>
      </w: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r w:rsidRPr="00B47B3A">
        <w:rPr>
          <w:rFonts w:eastAsia="Times New Roman" w:cs="Lucida Sans Unicode"/>
          <w:bCs/>
          <w:sz w:val="18"/>
          <w:szCs w:val="18"/>
          <w:bdr w:val="none" w:sz="0" w:space="0" w:color="auto" w:frame="1"/>
        </w:rPr>
        <w:t>Bolton, Patrick</w:t>
      </w:r>
      <w:r>
        <w:rPr>
          <w:rFonts w:eastAsia="Times New Roman" w:cs="Lucida Sans Unicode"/>
          <w:bCs/>
          <w:sz w:val="18"/>
          <w:szCs w:val="18"/>
          <w:bdr w:val="none" w:sz="0" w:space="0" w:color="auto" w:frame="1"/>
        </w:rPr>
        <w:t>,</w:t>
      </w:r>
      <w:r w:rsidRPr="00B47B3A">
        <w:rPr>
          <w:rFonts w:eastAsia="Times New Roman" w:cs="Lucida Sans Unicode"/>
          <w:bCs/>
          <w:sz w:val="18"/>
          <w:szCs w:val="18"/>
          <w:bdr w:val="none" w:sz="0" w:space="0" w:color="auto" w:frame="1"/>
        </w:rPr>
        <w:t xml:space="preserve"> </w:t>
      </w:r>
      <w:r w:rsidRPr="00B47B3A">
        <w:rPr>
          <w:rFonts w:cs="Lucida Sans Unicode"/>
          <w:bCs/>
          <w:sz w:val="18"/>
          <w:szCs w:val="18"/>
          <w:bdr w:val="none" w:sz="0" w:space="0" w:color="auto" w:frame="1"/>
        </w:rPr>
        <w:t>José</w:t>
      </w:r>
      <w:r>
        <w:rPr>
          <w:rFonts w:cs="Lucida Sans Unicode"/>
          <w:bCs/>
          <w:sz w:val="18"/>
          <w:szCs w:val="18"/>
          <w:bdr w:val="none" w:sz="0" w:space="0" w:color="auto" w:frame="1"/>
        </w:rPr>
        <w:t xml:space="preserve"> </w:t>
      </w:r>
      <w:r w:rsidRPr="00B47B3A">
        <w:rPr>
          <w:rFonts w:cs="Lucida Sans Unicode"/>
          <w:bCs/>
          <w:sz w:val="18"/>
          <w:szCs w:val="18"/>
          <w:bdr w:val="none" w:sz="0" w:space="0" w:color="auto" w:frame="1"/>
        </w:rPr>
        <w:t xml:space="preserve">Scheinkman, </w:t>
      </w:r>
      <w:r w:rsidRPr="00B47B3A">
        <w:rPr>
          <w:rFonts w:cs="Lucida Sans Unicode"/>
          <w:bCs/>
          <w:sz w:val="18"/>
          <w:szCs w:val="18"/>
        </w:rPr>
        <w:t>and</w:t>
      </w:r>
      <w:r w:rsidRPr="00B47B3A">
        <w:rPr>
          <w:rStyle w:val="apple-converted-space"/>
          <w:rFonts w:cs="Lucida Sans Unicode"/>
          <w:bCs/>
          <w:sz w:val="18"/>
          <w:szCs w:val="18"/>
        </w:rPr>
        <w:t> </w:t>
      </w:r>
      <w:r w:rsidRPr="00B47B3A">
        <w:rPr>
          <w:rFonts w:cs="Lucida Sans Unicode"/>
          <w:bCs/>
          <w:sz w:val="18"/>
          <w:szCs w:val="18"/>
          <w:bdr w:val="none" w:sz="0" w:space="0" w:color="auto" w:frame="1"/>
        </w:rPr>
        <w:t>Wei</w:t>
      </w:r>
      <w:r w:rsidRPr="00B47B3A">
        <w:rPr>
          <w:rFonts w:eastAsia="Times New Roman" w:cs="Lucida Sans Unicode"/>
          <w:bCs/>
          <w:sz w:val="18"/>
          <w:szCs w:val="18"/>
          <w:bdr w:val="none" w:sz="0" w:space="0" w:color="auto" w:frame="1"/>
        </w:rPr>
        <w:t xml:space="preserve"> </w:t>
      </w:r>
      <w:r w:rsidRPr="00B47B3A">
        <w:rPr>
          <w:rFonts w:cs="Lucida Sans Unicode"/>
          <w:bCs/>
          <w:sz w:val="18"/>
          <w:szCs w:val="18"/>
          <w:bdr w:val="none" w:sz="0" w:space="0" w:color="auto" w:frame="1"/>
        </w:rPr>
        <w:t>Xiong</w:t>
      </w:r>
      <w:r w:rsidRPr="00B47B3A">
        <w:rPr>
          <w:rFonts w:eastAsia="Times New Roman" w:cs="Lucida Sans Unicode"/>
          <w:bCs/>
          <w:sz w:val="18"/>
          <w:szCs w:val="18"/>
          <w:bdr w:val="none" w:sz="0" w:space="0" w:color="auto" w:frame="1"/>
        </w:rPr>
        <w:t xml:space="preserve"> (2006),</w:t>
      </w:r>
      <w:r w:rsidRPr="00B47B3A">
        <w:rPr>
          <w:rFonts w:eastAsia="Times New Roman" w:cs="Lucida Sans Unicode"/>
          <w:bCs/>
          <w:color w:val="000000"/>
          <w:sz w:val="18"/>
          <w:szCs w:val="18"/>
          <w:bdr w:val="none" w:sz="0" w:space="0" w:color="auto" w:frame="1"/>
        </w:rPr>
        <w:t xml:space="preserve"> “</w:t>
      </w:r>
      <w:r w:rsidRPr="00B47B3A">
        <w:rPr>
          <w:rFonts w:eastAsia="Times New Roman"/>
          <w:bCs/>
          <w:color w:val="000000"/>
          <w:kern w:val="36"/>
          <w:sz w:val="18"/>
          <w:szCs w:val="18"/>
        </w:rPr>
        <w:t>Executive Compensation and Short-Term</w:t>
      </w:r>
      <w:r>
        <w:rPr>
          <w:rFonts w:eastAsia="Times New Roman"/>
          <w:bCs/>
          <w:color w:val="000000"/>
          <w:kern w:val="36"/>
          <w:sz w:val="18"/>
          <w:szCs w:val="18"/>
        </w:rPr>
        <w:t>ist</w:t>
      </w:r>
      <w:r w:rsidRPr="00B47B3A">
        <w:rPr>
          <w:rFonts w:eastAsia="Times New Roman"/>
          <w:bCs/>
          <w:color w:val="000000"/>
          <w:kern w:val="36"/>
          <w:sz w:val="18"/>
          <w:szCs w:val="18"/>
        </w:rPr>
        <w:t xml:space="preserve"> Behavior in Speculative Markets,” </w:t>
      </w:r>
      <w:r w:rsidRPr="00B47B3A">
        <w:rPr>
          <w:rFonts w:eastAsia="Times New Roman"/>
          <w:i/>
          <w:sz w:val="18"/>
          <w:szCs w:val="18"/>
          <w:bdr w:val="none" w:sz="0" w:space="0" w:color="auto" w:frame="1"/>
        </w:rPr>
        <w:t>Review of Economic Studies</w:t>
      </w:r>
      <w:r w:rsidRPr="00B47B3A">
        <w:rPr>
          <w:rFonts w:eastAsia="Times New Roman"/>
          <w:sz w:val="18"/>
          <w:szCs w:val="18"/>
        </w:rPr>
        <w:t xml:space="preserve">, </w:t>
      </w:r>
      <w:r w:rsidRPr="00B47B3A">
        <w:rPr>
          <w:rFonts w:eastAsia="Times New Roman"/>
          <w:sz w:val="18"/>
          <w:szCs w:val="18"/>
          <w:bdr w:val="none" w:sz="0" w:space="0" w:color="auto" w:frame="1"/>
        </w:rPr>
        <w:t>73(3)</w:t>
      </w:r>
      <w:r w:rsidRPr="00B47B3A">
        <w:rPr>
          <w:rFonts w:eastAsia="Times New Roman"/>
          <w:color w:val="000000"/>
          <w:sz w:val="18"/>
          <w:szCs w:val="18"/>
        </w:rPr>
        <w:t>, pp. </w:t>
      </w:r>
      <w:r w:rsidRPr="00B47B3A">
        <w:rPr>
          <w:rFonts w:eastAsia="Times New Roman"/>
          <w:color w:val="000000"/>
          <w:sz w:val="18"/>
          <w:szCs w:val="18"/>
          <w:bdr w:val="none" w:sz="0" w:space="0" w:color="auto" w:frame="1"/>
        </w:rPr>
        <w:t>577-610.</w:t>
      </w: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r w:rsidRPr="00B47B3A">
        <w:rPr>
          <w:color w:val="000000"/>
          <w:sz w:val="18"/>
          <w:szCs w:val="18"/>
        </w:rPr>
        <w:t>Campbell, John</w:t>
      </w:r>
      <w:r>
        <w:rPr>
          <w:color w:val="000000"/>
          <w:sz w:val="18"/>
          <w:szCs w:val="18"/>
        </w:rPr>
        <w:t>,</w:t>
      </w:r>
      <w:r w:rsidRPr="00B47B3A">
        <w:rPr>
          <w:color w:val="000000"/>
          <w:sz w:val="18"/>
          <w:szCs w:val="18"/>
        </w:rPr>
        <w:t xml:space="preserve"> Kermit Schoenholtz and Robert Shiller (1983), “Forward Rates and Future Policy: Interpreting the Term Structure of Interest Rates,”  </w:t>
      </w:r>
      <w:r w:rsidRPr="00B47B3A">
        <w:rPr>
          <w:i/>
          <w:color w:val="000000"/>
          <w:sz w:val="18"/>
          <w:szCs w:val="18"/>
        </w:rPr>
        <w:t>Brookings Papers on Economic Activity</w:t>
      </w:r>
      <w:r w:rsidRPr="00B47B3A">
        <w:rPr>
          <w:color w:val="000000"/>
          <w:sz w:val="18"/>
          <w:szCs w:val="18"/>
        </w:rPr>
        <w:t>, 1, pp.173-217.</w:t>
      </w:r>
      <w:r w:rsidRPr="00B47B3A">
        <w:rPr>
          <w:color w:val="000000"/>
          <w:sz w:val="18"/>
          <w:szCs w:val="18"/>
        </w:rPr>
        <w:br/>
      </w: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r w:rsidRPr="00B47B3A">
        <w:rPr>
          <w:color w:val="000000"/>
          <w:sz w:val="18"/>
          <w:szCs w:val="18"/>
        </w:rPr>
        <w:t xml:space="preserve">Cornell, Bradford (1982), “Money Supply Announcements, Interest Rates, and Foreign Exchange,” </w:t>
      </w:r>
      <w:r w:rsidRPr="00B47B3A">
        <w:rPr>
          <w:i/>
          <w:color w:val="000000"/>
          <w:sz w:val="18"/>
          <w:szCs w:val="18"/>
        </w:rPr>
        <w:t xml:space="preserve">Journal of International Money and Finance </w:t>
      </w:r>
      <w:r w:rsidRPr="00B47B3A">
        <w:rPr>
          <w:color w:val="000000"/>
          <w:sz w:val="18"/>
          <w:szCs w:val="18"/>
        </w:rPr>
        <w:t xml:space="preserve">1, pp. 201-208. </w:t>
      </w:r>
    </w:p>
    <w:p w:rsidR="001A2647" w:rsidRPr="00B47B3A" w:rsidRDefault="001A2647" w:rsidP="001A2647">
      <w:pPr>
        <w:shd w:val="clear" w:color="auto" w:fill="FFFFFF"/>
        <w:spacing w:after="0" w:line="240" w:lineRule="auto"/>
        <w:textAlignment w:val="baseline"/>
        <w:rPr>
          <w:rFonts w:cs="Arial"/>
          <w:color w:val="222222"/>
          <w:sz w:val="18"/>
          <w:szCs w:val="18"/>
          <w:shd w:val="clear" w:color="auto" w:fill="FFFFFF"/>
        </w:rPr>
      </w:pPr>
    </w:p>
    <w:p w:rsidR="001A2647" w:rsidRPr="00B47B3A" w:rsidRDefault="001A2647" w:rsidP="001A2647">
      <w:pPr>
        <w:shd w:val="clear" w:color="auto" w:fill="FFFFFF"/>
        <w:spacing w:after="0" w:line="240" w:lineRule="auto"/>
        <w:textAlignment w:val="baseline"/>
        <w:rPr>
          <w:rFonts w:cs="Arial"/>
          <w:color w:val="222222"/>
          <w:sz w:val="18"/>
          <w:szCs w:val="18"/>
          <w:shd w:val="clear" w:color="auto" w:fill="FFFFFF"/>
        </w:rPr>
      </w:pPr>
      <w:r w:rsidRPr="00B47B3A">
        <w:rPr>
          <w:rFonts w:cs="Arial"/>
          <w:color w:val="222222"/>
          <w:sz w:val="18"/>
          <w:szCs w:val="18"/>
          <w:shd w:val="clear" w:color="auto" w:fill="FFFFFF"/>
        </w:rPr>
        <w:t>Daniel, Kent</w:t>
      </w:r>
      <w:r>
        <w:rPr>
          <w:rFonts w:cs="Arial"/>
          <w:color w:val="222222"/>
          <w:sz w:val="18"/>
          <w:szCs w:val="18"/>
          <w:shd w:val="clear" w:color="auto" w:fill="FFFFFF"/>
        </w:rPr>
        <w:t>,</w:t>
      </w:r>
      <w:r w:rsidRPr="00B47B3A">
        <w:rPr>
          <w:rFonts w:cs="Arial"/>
          <w:color w:val="222222"/>
          <w:sz w:val="18"/>
          <w:szCs w:val="18"/>
          <w:shd w:val="clear" w:color="auto" w:fill="FFFFFF"/>
        </w:rPr>
        <w:t xml:space="preserve"> </w:t>
      </w:r>
      <w:r>
        <w:rPr>
          <w:rFonts w:cs="Arial"/>
          <w:color w:val="222222"/>
          <w:sz w:val="18"/>
          <w:szCs w:val="18"/>
          <w:shd w:val="clear" w:color="auto" w:fill="FFFFFF"/>
        </w:rPr>
        <w:t xml:space="preserve">David </w:t>
      </w:r>
      <w:r w:rsidRPr="00B47B3A">
        <w:rPr>
          <w:rFonts w:cs="Arial"/>
          <w:color w:val="222222"/>
          <w:sz w:val="18"/>
          <w:szCs w:val="18"/>
          <w:shd w:val="clear" w:color="auto" w:fill="FFFFFF"/>
        </w:rPr>
        <w:t xml:space="preserve">Hirshleifer, and Avanidhar Subrahmanyam (1998), "Investor </w:t>
      </w:r>
      <w:r>
        <w:rPr>
          <w:rFonts w:cs="Arial"/>
          <w:color w:val="222222"/>
          <w:sz w:val="18"/>
          <w:szCs w:val="18"/>
          <w:shd w:val="clear" w:color="auto" w:fill="FFFFFF"/>
        </w:rPr>
        <w:t>P</w:t>
      </w:r>
      <w:r w:rsidRPr="00B47B3A">
        <w:rPr>
          <w:rFonts w:cs="Arial"/>
          <w:color w:val="222222"/>
          <w:sz w:val="18"/>
          <w:szCs w:val="18"/>
          <w:shd w:val="clear" w:color="auto" w:fill="FFFFFF"/>
        </w:rPr>
        <w:t xml:space="preserve">sychology and </w:t>
      </w:r>
      <w:r>
        <w:rPr>
          <w:rFonts w:cs="Arial"/>
          <w:color w:val="222222"/>
          <w:sz w:val="18"/>
          <w:szCs w:val="18"/>
          <w:shd w:val="clear" w:color="auto" w:fill="FFFFFF"/>
        </w:rPr>
        <w:t>S</w:t>
      </w:r>
      <w:r w:rsidRPr="00B47B3A">
        <w:rPr>
          <w:rFonts w:cs="Arial"/>
          <w:color w:val="222222"/>
          <w:sz w:val="18"/>
          <w:szCs w:val="18"/>
          <w:shd w:val="clear" w:color="auto" w:fill="FFFFFF"/>
        </w:rPr>
        <w:t xml:space="preserve">ecurity </w:t>
      </w:r>
      <w:r>
        <w:rPr>
          <w:rFonts w:cs="Arial"/>
          <w:color w:val="222222"/>
          <w:sz w:val="18"/>
          <w:szCs w:val="18"/>
          <w:shd w:val="clear" w:color="auto" w:fill="FFFFFF"/>
        </w:rPr>
        <w:t>M</w:t>
      </w:r>
      <w:r w:rsidRPr="00B47B3A">
        <w:rPr>
          <w:rFonts w:cs="Arial"/>
          <w:color w:val="222222"/>
          <w:sz w:val="18"/>
          <w:szCs w:val="18"/>
          <w:shd w:val="clear" w:color="auto" w:fill="FFFFFF"/>
        </w:rPr>
        <w:t xml:space="preserve">arket </w:t>
      </w:r>
      <w:r>
        <w:rPr>
          <w:rFonts w:cs="Arial"/>
          <w:color w:val="222222"/>
          <w:sz w:val="18"/>
          <w:szCs w:val="18"/>
          <w:shd w:val="clear" w:color="auto" w:fill="FFFFFF"/>
        </w:rPr>
        <w:t>U</w:t>
      </w:r>
      <w:r w:rsidRPr="00B47B3A">
        <w:rPr>
          <w:rFonts w:cs="Arial"/>
          <w:color w:val="222222"/>
          <w:sz w:val="18"/>
          <w:szCs w:val="18"/>
          <w:shd w:val="clear" w:color="auto" w:fill="FFFFFF"/>
        </w:rPr>
        <w:t>nder</w:t>
      </w:r>
      <w:r w:rsidRPr="00B47B3A">
        <w:rPr>
          <w:rFonts w:cs="Cambria Math"/>
          <w:color w:val="222222"/>
          <w:sz w:val="18"/>
          <w:szCs w:val="18"/>
          <w:shd w:val="clear" w:color="auto" w:fill="FFFFFF"/>
        </w:rPr>
        <w:t>‐</w:t>
      </w:r>
      <w:r w:rsidRPr="00B47B3A">
        <w:rPr>
          <w:rFonts w:cs="Arial"/>
          <w:color w:val="222222"/>
          <w:sz w:val="18"/>
          <w:szCs w:val="18"/>
          <w:shd w:val="clear" w:color="auto" w:fill="FFFFFF"/>
        </w:rPr>
        <w:t>and overreactions</w:t>
      </w:r>
      <w:r>
        <w:rPr>
          <w:rFonts w:cs="Arial"/>
          <w:color w:val="222222"/>
          <w:sz w:val="18"/>
          <w:szCs w:val="18"/>
          <w:shd w:val="clear" w:color="auto" w:fill="FFFFFF"/>
        </w:rPr>
        <w:t>,</w:t>
      </w:r>
      <w:r w:rsidRPr="00B47B3A">
        <w:rPr>
          <w:rFonts w:cs="Arial"/>
          <w:color w:val="222222"/>
          <w:sz w:val="18"/>
          <w:szCs w:val="18"/>
          <w:shd w:val="clear" w:color="auto" w:fill="FFFFFF"/>
        </w:rPr>
        <w:t>"</w:t>
      </w:r>
      <w:r w:rsidRPr="00B47B3A">
        <w:rPr>
          <w:rStyle w:val="apple-converted-space"/>
          <w:rFonts w:cs="Arial"/>
          <w:color w:val="222222"/>
          <w:sz w:val="18"/>
          <w:szCs w:val="18"/>
          <w:shd w:val="clear" w:color="auto" w:fill="FFFFFF"/>
        </w:rPr>
        <w:t> </w:t>
      </w:r>
      <w:r>
        <w:rPr>
          <w:rFonts w:cs="Arial"/>
          <w:i/>
          <w:iCs/>
          <w:color w:val="222222"/>
          <w:sz w:val="18"/>
          <w:szCs w:val="18"/>
          <w:shd w:val="clear" w:color="auto" w:fill="FFFFFF"/>
        </w:rPr>
        <w:t>T</w:t>
      </w:r>
      <w:r w:rsidRPr="00B47B3A">
        <w:rPr>
          <w:rFonts w:cs="Arial"/>
          <w:i/>
          <w:iCs/>
          <w:color w:val="222222"/>
          <w:sz w:val="18"/>
          <w:szCs w:val="18"/>
          <w:shd w:val="clear" w:color="auto" w:fill="FFFFFF"/>
        </w:rPr>
        <w:t>he Journal of Finance</w:t>
      </w:r>
      <w:r w:rsidRPr="00B47B3A">
        <w:rPr>
          <w:rStyle w:val="apple-converted-space"/>
          <w:rFonts w:cs="Arial"/>
          <w:color w:val="222222"/>
          <w:sz w:val="18"/>
          <w:szCs w:val="18"/>
          <w:shd w:val="clear" w:color="auto" w:fill="FFFFFF"/>
        </w:rPr>
        <w:t> </w:t>
      </w:r>
      <w:r w:rsidRPr="00B47B3A">
        <w:rPr>
          <w:rFonts w:cs="Arial"/>
          <w:color w:val="222222"/>
          <w:sz w:val="18"/>
          <w:szCs w:val="18"/>
          <w:shd w:val="clear" w:color="auto" w:fill="FFFFFF"/>
        </w:rPr>
        <w:t>53</w:t>
      </w:r>
      <w:r>
        <w:rPr>
          <w:rFonts w:cs="Arial"/>
          <w:color w:val="222222"/>
          <w:sz w:val="18"/>
          <w:szCs w:val="18"/>
          <w:shd w:val="clear" w:color="auto" w:fill="FFFFFF"/>
        </w:rPr>
        <w:t>(</w:t>
      </w:r>
      <w:r w:rsidRPr="00B47B3A">
        <w:rPr>
          <w:rFonts w:cs="Arial"/>
          <w:color w:val="222222"/>
          <w:sz w:val="18"/>
          <w:szCs w:val="18"/>
          <w:shd w:val="clear" w:color="auto" w:fill="FFFFFF"/>
        </w:rPr>
        <w:t>6</w:t>
      </w:r>
      <w:r>
        <w:rPr>
          <w:rFonts w:cs="Arial"/>
          <w:color w:val="222222"/>
          <w:sz w:val="18"/>
          <w:szCs w:val="18"/>
          <w:shd w:val="clear" w:color="auto" w:fill="FFFFFF"/>
        </w:rPr>
        <w:t>)</w:t>
      </w:r>
      <w:r w:rsidRPr="00B47B3A">
        <w:rPr>
          <w:rFonts w:cs="Arial"/>
          <w:color w:val="222222"/>
          <w:sz w:val="18"/>
          <w:szCs w:val="18"/>
          <w:shd w:val="clear" w:color="auto" w:fill="FFFFFF"/>
        </w:rPr>
        <w:t>, pp. 1839-1885.</w:t>
      </w:r>
    </w:p>
    <w:p w:rsidR="001A2647" w:rsidRPr="00B47B3A" w:rsidRDefault="001A2647" w:rsidP="001A2647">
      <w:pPr>
        <w:shd w:val="clear" w:color="auto" w:fill="FFFFFF"/>
        <w:spacing w:after="0" w:line="240" w:lineRule="auto"/>
        <w:textAlignment w:val="baseline"/>
        <w:rPr>
          <w:rFonts w:cs="Arial"/>
          <w:color w:val="222222"/>
          <w:sz w:val="18"/>
          <w:szCs w:val="18"/>
          <w:shd w:val="clear" w:color="auto" w:fill="FFFFFF"/>
        </w:rPr>
      </w:pPr>
    </w:p>
    <w:p w:rsidR="001A2647" w:rsidRPr="00B47B3A" w:rsidRDefault="001A2647" w:rsidP="001A2647">
      <w:pPr>
        <w:shd w:val="clear" w:color="auto" w:fill="FFFFFF"/>
        <w:spacing w:after="0" w:line="240" w:lineRule="auto"/>
        <w:textAlignment w:val="baseline"/>
        <w:rPr>
          <w:rFonts w:cs="Arial"/>
          <w:color w:val="222222"/>
          <w:sz w:val="18"/>
          <w:szCs w:val="18"/>
          <w:shd w:val="clear" w:color="auto" w:fill="FFFFFF"/>
        </w:rPr>
      </w:pPr>
      <w:r>
        <w:rPr>
          <w:rFonts w:cs="Arial"/>
          <w:color w:val="222222"/>
          <w:sz w:val="18"/>
          <w:szCs w:val="18"/>
          <w:shd w:val="clear" w:color="auto" w:fill="FFFFFF"/>
        </w:rPr>
        <w:t xml:space="preserve">Daniel, </w:t>
      </w:r>
      <w:r w:rsidR="004020DE">
        <w:rPr>
          <w:rFonts w:cs="Arial"/>
          <w:color w:val="222222"/>
          <w:sz w:val="18"/>
          <w:szCs w:val="18"/>
          <w:shd w:val="clear" w:color="auto" w:fill="FFFFFF"/>
        </w:rPr>
        <w:t xml:space="preserve">Kent, </w:t>
      </w:r>
      <w:r>
        <w:rPr>
          <w:rFonts w:cs="Arial"/>
          <w:color w:val="222222"/>
          <w:sz w:val="18"/>
          <w:szCs w:val="18"/>
          <w:shd w:val="clear" w:color="auto" w:fill="FFFFFF"/>
        </w:rPr>
        <w:t xml:space="preserve">David </w:t>
      </w:r>
      <w:r w:rsidRPr="00B47B3A">
        <w:rPr>
          <w:rFonts w:cs="Arial"/>
          <w:color w:val="222222"/>
          <w:sz w:val="18"/>
          <w:szCs w:val="18"/>
          <w:shd w:val="clear" w:color="auto" w:fill="FFFFFF"/>
        </w:rPr>
        <w:t xml:space="preserve">Hirshleifer and Siew Hong Teoh (2002), "Investor </w:t>
      </w:r>
      <w:r>
        <w:rPr>
          <w:rFonts w:cs="Arial"/>
          <w:color w:val="222222"/>
          <w:sz w:val="18"/>
          <w:szCs w:val="18"/>
          <w:shd w:val="clear" w:color="auto" w:fill="FFFFFF"/>
        </w:rPr>
        <w:t>P</w:t>
      </w:r>
      <w:r w:rsidRPr="00B47B3A">
        <w:rPr>
          <w:rFonts w:cs="Arial"/>
          <w:color w:val="222222"/>
          <w:sz w:val="18"/>
          <w:szCs w:val="18"/>
          <w:shd w:val="clear" w:color="auto" w:fill="FFFFFF"/>
        </w:rPr>
        <w:t xml:space="preserve">sychology in </w:t>
      </w:r>
      <w:r>
        <w:rPr>
          <w:rFonts w:cs="Arial"/>
          <w:color w:val="222222"/>
          <w:sz w:val="18"/>
          <w:szCs w:val="18"/>
          <w:shd w:val="clear" w:color="auto" w:fill="FFFFFF"/>
        </w:rPr>
        <w:t>C</w:t>
      </w:r>
      <w:r w:rsidRPr="00B47B3A">
        <w:rPr>
          <w:rFonts w:cs="Arial"/>
          <w:color w:val="222222"/>
          <w:sz w:val="18"/>
          <w:szCs w:val="18"/>
          <w:shd w:val="clear" w:color="auto" w:fill="FFFFFF"/>
        </w:rPr>
        <w:t xml:space="preserve">apital </w:t>
      </w:r>
      <w:r>
        <w:rPr>
          <w:rFonts w:cs="Arial"/>
          <w:color w:val="222222"/>
          <w:sz w:val="18"/>
          <w:szCs w:val="18"/>
          <w:shd w:val="clear" w:color="auto" w:fill="FFFFFF"/>
        </w:rPr>
        <w:t>M</w:t>
      </w:r>
      <w:r w:rsidRPr="00B47B3A">
        <w:rPr>
          <w:rFonts w:cs="Arial"/>
          <w:color w:val="222222"/>
          <w:sz w:val="18"/>
          <w:szCs w:val="18"/>
          <w:shd w:val="clear" w:color="auto" w:fill="FFFFFF"/>
        </w:rPr>
        <w:t xml:space="preserve">arkets: Evidence and </w:t>
      </w:r>
      <w:r>
        <w:rPr>
          <w:rFonts w:cs="Arial"/>
          <w:color w:val="222222"/>
          <w:sz w:val="18"/>
          <w:szCs w:val="18"/>
          <w:shd w:val="clear" w:color="auto" w:fill="FFFFFF"/>
        </w:rPr>
        <w:t>P</w:t>
      </w:r>
      <w:r w:rsidRPr="00B47B3A">
        <w:rPr>
          <w:rFonts w:cs="Arial"/>
          <w:color w:val="222222"/>
          <w:sz w:val="18"/>
          <w:szCs w:val="18"/>
          <w:shd w:val="clear" w:color="auto" w:fill="FFFFFF"/>
        </w:rPr>
        <w:t xml:space="preserve">olicy </w:t>
      </w:r>
      <w:r>
        <w:rPr>
          <w:rFonts w:cs="Arial"/>
          <w:color w:val="222222"/>
          <w:sz w:val="18"/>
          <w:szCs w:val="18"/>
          <w:shd w:val="clear" w:color="auto" w:fill="FFFFFF"/>
        </w:rPr>
        <w:t>I</w:t>
      </w:r>
      <w:r w:rsidRPr="00B47B3A">
        <w:rPr>
          <w:rFonts w:cs="Arial"/>
          <w:color w:val="222222"/>
          <w:sz w:val="18"/>
          <w:szCs w:val="18"/>
          <w:shd w:val="clear" w:color="auto" w:fill="FFFFFF"/>
        </w:rPr>
        <w:t>mplications</w:t>
      </w:r>
      <w:r>
        <w:rPr>
          <w:rFonts w:cs="Arial"/>
          <w:color w:val="222222"/>
          <w:sz w:val="18"/>
          <w:szCs w:val="18"/>
          <w:shd w:val="clear" w:color="auto" w:fill="FFFFFF"/>
        </w:rPr>
        <w:t>,</w:t>
      </w:r>
      <w:r w:rsidRPr="00B47B3A">
        <w:rPr>
          <w:rFonts w:cs="Arial"/>
          <w:color w:val="222222"/>
          <w:sz w:val="18"/>
          <w:szCs w:val="18"/>
          <w:shd w:val="clear" w:color="auto" w:fill="FFFFFF"/>
        </w:rPr>
        <w:t>"</w:t>
      </w:r>
      <w:r w:rsidRPr="00B47B3A">
        <w:rPr>
          <w:rStyle w:val="apple-converted-space"/>
          <w:rFonts w:cs="Arial"/>
          <w:color w:val="222222"/>
          <w:sz w:val="18"/>
          <w:szCs w:val="18"/>
          <w:shd w:val="clear" w:color="auto" w:fill="FFFFFF"/>
        </w:rPr>
        <w:t> </w:t>
      </w:r>
      <w:r w:rsidRPr="00B47B3A">
        <w:rPr>
          <w:rFonts w:cs="Arial"/>
          <w:i/>
          <w:iCs/>
          <w:color w:val="222222"/>
          <w:sz w:val="18"/>
          <w:szCs w:val="18"/>
          <w:shd w:val="clear" w:color="auto" w:fill="FFFFFF"/>
        </w:rPr>
        <w:t>Journal of Monetary Economics</w:t>
      </w:r>
      <w:r>
        <w:rPr>
          <w:rFonts w:cs="Arial"/>
          <w:i/>
          <w:iCs/>
          <w:color w:val="222222"/>
          <w:sz w:val="18"/>
          <w:szCs w:val="18"/>
          <w:shd w:val="clear" w:color="auto" w:fill="FFFFFF"/>
        </w:rPr>
        <w:t>,</w:t>
      </w:r>
      <w:r w:rsidRPr="00B47B3A">
        <w:rPr>
          <w:rStyle w:val="apple-converted-space"/>
          <w:rFonts w:cs="Arial"/>
          <w:color w:val="222222"/>
          <w:sz w:val="18"/>
          <w:szCs w:val="18"/>
          <w:shd w:val="clear" w:color="auto" w:fill="FFFFFF"/>
        </w:rPr>
        <w:t> </w:t>
      </w:r>
      <w:r w:rsidRPr="00B47B3A">
        <w:rPr>
          <w:rFonts w:cs="Arial"/>
          <w:color w:val="222222"/>
          <w:sz w:val="18"/>
          <w:szCs w:val="18"/>
          <w:shd w:val="clear" w:color="auto" w:fill="FFFFFF"/>
        </w:rPr>
        <w:t>49</w:t>
      </w:r>
      <w:r>
        <w:rPr>
          <w:rFonts w:cs="Arial"/>
          <w:color w:val="222222"/>
          <w:sz w:val="18"/>
          <w:szCs w:val="18"/>
          <w:shd w:val="clear" w:color="auto" w:fill="FFFFFF"/>
        </w:rPr>
        <w:t>(</w:t>
      </w:r>
      <w:r w:rsidRPr="00B47B3A">
        <w:rPr>
          <w:rFonts w:cs="Arial"/>
          <w:color w:val="222222"/>
          <w:sz w:val="18"/>
          <w:szCs w:val="18"/>
          <w:shd w:val="clear" w:color="auto" w:fill="FFFFFF"/>
        </w:rPr>
        <w:t>1</w:t>
      </w:r>
      <w:r>
        <w:rPr>
          <w:rFonts w:cs="Arial"/>
          <w:color w:val="222222"/>
          <w:sz w:val="18"/>
          <w:szCs w:val="18"/>
          <w:shd w:val="clear" w:color="auto" w:fill="FFFFFF"/>
        </w:rPr>
        <w:t>)</w:t>
      </w:r>
      <w:r w:rsidRPr="00B47B3A">
        <w:rPr>
          <w:rFonts w:cs="Arial"/>
          <w:color w:val="222222"/>
          <w:sz w:val="18"/>
          <w:szCs w:val="18"/>
          <w:shd w:val="clear" w:color="auto" w:fill="FFFFFF"/>
        </w:rPr>
        <w:t>, pp. 139-209.</w:t>
      </w:r>
    </w:p>
    <w:p w:rsidR="001A2647" w:rsidRPr="00B47B3A" w:rsidRDefault="001A2647" w:rsidP="001A2647">
      <w:pPr>
        <w:shd w:val="clear" w:color="auto" w:fill="FFFFFF"/>
        <w:spacing w:after="0" w:line="240" w:lineRule="auto"/>
        <w:textAlignment w:val="baseline"/>
        <w:rPr>
          <w:rFonts w:cs="Arial"/>
          <w:color w:val="222222"/>
          <w:sz w:val="18"/>
          <w:szCs w:val="18"/>
          <w:shd w:val="clear" w:color="auto" w:fill="FFFFFF"/>
        </w:rPr>
      </w:pP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r w:rsidRPr="00B47B3A">
        <w:rPr>
          <w:rFonts w:cs="Arial"/>
          <w:color w:val="222222"/>
          <w:sz w:val="18"/>
          <w:szCs w:val="18"/>
          <w:shd w:val="clear" w:color="auto" w:fill="FFFFFF"/>
        </w:rPr>
        <w:t>De Bondt, Werner F.M</w:t>
      </w:r>
      <w:r>
        <w:rPr>
          <w:rFonts w:cs="Arial"/>
          <w:color w:val="222222"/>
          <w:sz w:val="18"/>
          <w:szCs w:val="18"/>
          <w:shd w:val="clear" w:color="auto" w:fill="FFFFFF"/>
        </w:rPr>
        <w:t>,</w:t>
      </w:r>
      <w:r w:rsidRPr="00B47B3A">
        <w:rPr>
          <w:rFonts w:cs="Arial"/>
          <w:color w:val="222222"/>
          <w:sz w:val="18"/>
          <w:szCs w:val="18"/>
          <w:shd w:val="clear" w:color="auto" w:fill="FFFFFF"/>
        </w:rPr>
        <w:t xml:space="preserve"> and Richard H Thaler (1996),</w:t>
      </w:r>
      <w:r w:rsidRPr="00B47B3A">
        <w:rPr>
          <w:rStyle w:val="apple-converted-space"/>
          <w:rFonts w:cs="Arial"/>
          <w:color w:val="222222"/>
          <w:sz w:val="18"/>
          <w:szCs w:val="18"/>
          <w:shd w:val="clear" w:color="auto" w:fill="FFFFFF"/>
        </w:rPr>
        <w:t> “</w:t>
      </w:r>
      <w:r w:rsidRPr="00B47B3A">
        <w:rPr>
          <w:rFonts w:cs="Arial"/>
          <w:iCs/>
          <w:color w:val="222222"/>
          <w:sz w:val="18"/>
          <w:szCs w:val="18"/>
          <w:shd w:val="clear" w:color="auto" w:fill="FFFFFF"/>
        </w:rPr>
        <w:t>Financial Decision-making in Markets and Firms: A Behavioral Perspective</w:t>
      </w:r>
      <w:r w:rsidRPr="00B47B3A">
        <w:rPr>
          <w:rFonts w:cs="Arial"/>
          <w:color w:val="222222"/>
          <w:sz w:val="18"/>
          <w:szCs w:val="18"/>
          <w:shd w:val="clear" w:color="auto" w:fill="FFFFFF"/>
        </w:rPr>
        <w:t xml:space="preserve">,” </w:t>
      </w:r>
      <w:r w:rsidRPr="00B47B3A">
        <w:rPr>
          <w:i/>
          <w:color w:val="333333"/>
          <w:sz w:val="18"/>
          <w:szCs w:val="18"/>
          <w:shd w:val="clear" w:color="auto" w:fill="FFFFFF"/>
        </w:rPr>
        <w:t>Handbook in Operations Research and Management Science</w:t>
      </w:r>
      <w:r w:rsidRPr="00B47B3A">
        <w:rPr>
          <w:color w:val="333333"/>
          <w:sz w:val="18"/>
          <w:szCs w:val="18"/>
          <w:shd w:val="clear" w:color="auto" w:fill="FFFFFF"/>
        </w:rPr>
        <w:t>, Vol. 9, Finance.</w:t>
      </w:r>
      <w:r w:rsidRPr="00B47B3A">
        <w:rPr>
          <w:rFonts w:cs="Arial"/>
          <w:color w:val="222222"/>
          <w:sz w:val="18"/>
          <w:szCs w:val="18"/>
          <w:shd w:val="clear" w:color="auto" w:fill="FFFFFF"/>
        </w:rPr>
        <w:t xml:space="preserve">  Also NBER WP no. 4777. </w:t>
      </w: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r w:rsidRPr="00B47B3A">
        <w:rPr>
          <w:rFonts w:cs="Lucida Sans Unicode"/>
          <w:bCs/>
          <w:color w:val="000000"/>
          <w:sz w:val="18"/>
          <w:szCs w:val="18"/>
        </w:rPr>
        <w:t>Ehrmann, Michael</w:t>
      </w:r>
      <w:r>
        <w:rPr>
          <w:rFonts w:cs="Lucida Sans Unicode"/>
          <w:bCs/>
          <w:color w:val="000000"/>
          <w:sz w:val="18"/>
          <w:szCs w:val="18"/>
        </w:rPr>
        <w:t>,</w:t>
      </w:r>
      <w:r w:rsidRPr="00B47B3A">
        <w:rPr>
          <w:rFonts w:cs="Lucida Sans Unicode"/>
          <w:bCs/>
          <w:color w:val="000000"/>
          <w:sz w:val="18"/>
          <w:szCs w:val="18"/>
        </w:rPr>
        <w:t xml:space="preserve"> and Marcel Fratzscher (2005), “Equal Size, Equal Role? Interest Rate Interdependence between the Euro Area and the United States</w:t>
      </w:r>
      <w:r>
        <w:rPr>
          <w:rFonts w:cs="Lucida Sans Unicode"/>
          <w:bCs/>
          <w:color w:val="000000"/>
          <w:sz w:val="18"/>
          <w:szCs w:val="18"/>
        </w:rPr>
        <w:t>,</w:t>
      </w:r>
      <w:r w:rsidRPr="00B47B3A">
        <w:rPr>
          <w:rFonts w:cs="Lucida Sans Unicode"/>
          <w:bCs/>
          <w:color w:val="000000"/>
          <w:sz w:val="18"/>
          <w:szCs w:val="18"/>
        </w:rPr>
        <w:t xml:space="preserve">” </w:t>
      </w:r>
      <w:r w:rsidRPr="00B47B3A">
        <w:rPr>
          <w:rFonts w:cs="Lucida Sans Unicode"/>
          <w:bCs/>
          <w:i/>
          <w:color w:val="000000"/>
          <w:sz w:val="18"/>
          <w:szCs w:val="18"/>
        </w:rPr>
        <w:t>Economic Journal</w:t>
      </w:r>
      <w:r w:rsidRPr="00B47B3A">
        <w:rPr>
          <w:rFonts w:cs="Lucida Sans Unicode"/>
          <w:bCs/>
          <w:color w:val="000000"/>
          <w:sz w:val="18"/>
          <w:szCs w:val="18"/>
        </w:rPr>
        <w:t>, 115(506), pp. 930-</w:t>
      </w:r>
      <w:r>
        <w:rPr>
          <w:rFonts w:cs="Lucida Sans Unicode"/>
          <w:bCs/>
          <w:color w:val="000000"/>
          <w:sz w:val="18"/>
          <w:szCs w:val="18"/>
        </w:rPr>
        <w:t>9</w:t>
      </w:r>
      <w:r w:rsidRPr="00B47B3A">
        <w:rPr>
          <w:rFonts w:cs="Lucida Sans Unicode"/>
          <w:bCs/>
          <w:color w:val="000000"/>
          <w:sz w:val="18"/>
          <w:szCs w:val="18"/>
        </w:rPr>
        <w:t>50.</w:t>
      </w:r>
    </w:p>
    <w:p w:rsidR="001A2647" w:rsidRPr="00B47B3A" w:rsidRDefault="001A2647" w:rsidP="001A2647">
      <w:pPr>
        <w:shd w:val="clear" w:color="auto" w:fill="FFFFFF"/>
        <w:spacing w:after="0" w:line="240" w:lineRule="auto"/>
        <w:ind w:left="-2"/>
        <w:textAlignment w:val="baseline"/>
        <w:rPr>
          <w:rFonts w:cs="Lucida Sans Unicode"/>
          <w:bCs/>
          <w:color w:val="000000"/>
          <w:sz w:val="18"/>
          <w:szCs w:val="18"/>
        </w:rPr>
      </w:pPr>
    </w:p>
    <w:p w:rsidR="001A2647" w:rsidRPr="00B47B3A" w:rsidRDefault="001A2647" w:rsidP="001A2647">
      <w:pPr>
        <w:shd w:val="clear" w:color="auto" w:fill="FFFFFF"/>
        <w:spacing w:after="0" w:line="240" w:lineRule="auto"/>
        <w:ind w:left="-2"/>
        <w:textAlignment w:val="baseline"/>
        <w:rPr>
          <w:rFonts w:eastAsia="Times New Roman" w:cs="Tahoma"/>
          <w:color w:val="000000"/>
          <w:sz w:val="18"/>
          <w:szCs w:val="18"/>
          <w:lang w:eastAsia="ko-KR"/>
        </w:rPr>
      </w:pPr>
      <w:r w:rsidRPr="00B47B3A">
        <w:rPr>
          <w:rFonts w:eastAsia="Times New Roman" w:cs="Tahoma"/>
          <w:color w:val="000000"/>
          <w:sz w:val="18"/>
          <w:szCs w:val="18"/>
          <w:lang w:eastAsia="ko-KR"/>
        </w:rPr>
        <w:t>Engel, Charles</w:t>
      </w:r>
      <w:r>
        <w:rPr>
          <w:rFonts w:eastAsia="Times New Roman" w:cs="Tahoma"/>
          <w:color w:val="000000"/>
          <w:sz w:val="18"/>
          <w:szCs w:val="18"/>
          <w:lang w:eastAsia="ko-KR"/>
        </w:rPr>
        <w:t>,</w:t>
      </w:r>
      <w:r w:rsidRPr="00B47B3A">
        <w:rPr>
          <w:rFonts w:eastAsia="Times New Roman" w:cs="Tahoma"/>
          <w:color w:val="000000"/>
          <w:sz w:val="18"/>
          <w:szCs w:val="18"/>
          <w:lang w:eastAsia="ko-KR"/>
        </w:rPr>
        <w:t xml:space="preserve"> and Jeffrey Frankel (1982), "Why Money Announcements Move Interest Rates: an Answer </w:t>
      </w:r>
      <w:proofErr w:type="gramStart"/>
      <w:r w:rsidRPr="00B47B3A">
        <w:rPr>
          <w:rFonts w:eastAsia="Times New Roman" w:cs="Tahoma"/>
          <w:color w:val="000000"/>
          <w:sz w:val="18"/>
          <w:szCs w:val="18"/>
          <w:lang w:eastAsia="ko-KR"/>
        </w:rPr>
        <w:t>From</w:t>
      </w:r>
      <w:proofErr w:type="gramEnd"/>
      <w:r w:rsidRPr="00B47B3A">
        <w:rPr>
          <w:rFonts w:eastAsia="Times New Roman" w:cs="Tahoma"/>
          <w:color w:val="000000"/>
          <w:sz w:val="18"/>
          <w:szCs w:val="18"/>
          <w:lang w:eastAsia="ko-KR"/>
        </w:rPr>
        <w:t xml:space="preserve"> the Foreign Exchange Market," </w:t>
      </w:r>
      <w:r w:rsidRPr="00B47B3A">
        <w:rPr>
          <w:rFonts w:eastAsia="Times New Roman" w:cs="Tahoma"/>
          <w:i/>
          <w:color w:val="000000"/>
          <w:sz w:val="18"/>
          <w:szCs w:val="18"/>
          <w:lang w:eastAsia="ko-KR"/>
        </w:rPr>
        <w:t>Proceedings</w:t>
      </w:r>
      <w:r w:rsidRPr="00B47B3A">
        <w:rPr>
          <w:rFonts w:eastAsia="Times New Roman" w:cs="Tahoma"/>
          <w:color w:val="000000"/>
          <w:sz w:val="18"/>
          <w:szCs w:val="18"/>
          <w:lang w:eastAsia="ko-KR"/>
        </w:rPr>
        <w:t>, Federal Reserve</w:t>
      </w:r>
      <w:r w:rsidR="00D673BE">
        <w:rPr>
          <w:rFonts w:eastAsia="Times New Roman" w:cs="Tahoma"/>
          <w:color w:val="000000"/>
          <w:sz w:val="18"/>
          <w:szCs w:val="18"/>
          <w:lang w:eastAsia="ko-KR"/>
        </w:rPr>
        <w:t xml:space="preserve"> Bank of San Francisco, Nov.,</w:t>
      </w:r>
      <w:r w:rsidRPr="00B47B3A">
        <w:rPr>
          <w:rFonts w:eastAsia="Times New Roman" w:cs="Tahoma"/>
          <w:color w:val="000000"/>
          <w:sz w:val="18"/>
          <w:szCs w:val="18"/>
          <w:lang w:eastAsia="ko-KR"/>
        </w:rPr>
        <w:t xml:space="preserve"> pp.1-36.  Also </w:t>
      </w:r>
      <w:r w:rsidRPr="00B47B3A">
        <w:rPr>
          <w:rFonts w:eastAsia="Times New Roman" w:cs="Tahoma"/>
          <w:sz w:val="18"/>
          <w:szCs w:val="18"/>
          <w:lang w:eastAsia="ko-KR"/>
        </w:rPr>
        <w:t>NBER WP 1049</w:t>
      </w:r>
      <w:r>
        <w:rPr>
          <w:rFonts w:eastAsia="Times New Roman" w:cs="Tahoma"/>
          <w:color w:val="000000"/>
          <w:sz w:val="18"/>
          <w:szCs w:val="18"/>
          <w:lang w:eastAsia="ko-KR"/>
        </w:rPr>
        <w:t xml:space="preserve">. </w:t>
      </w:r>
    </w:p>
    <w:p w:rsidR="001A2647" w:rsidRPr="00B47B3A" w:rsidRDefault="001A2647" w:rsidP="001A2647">
      <w:pPr>
        <w:shd w:val="clear" w:color="auto" w:fill="FFFFFF"/>
        <w:spacing w:after="0" w:line="240" w:lineRule="auto"/>
        <w:ind w:left="-2"/>
        <w:textAlignment w:val="baseline"/>
        <w:rPr>
          <w:rFonts w:eastAsia="Times New Roman" w:cs="Tahoma"/>
          <w:color w:val="000000"/>
          <w:sz w:val="18"/>
          <w:szCs w:val="18"/>
          <w:lang w:eastAsia="ko-KR"/>
        </w:rPr>
      </w:pPr>
    </w:p>
    <w:p w:rsidR="001A2647" w:rsidRPr="00B47B3A" w:rsidRDefault="001A2647" w:rsidP="001A2647">
      <w:pPr>
        <w:shd w:val="clear" w:color="auto" w:fill="FFFFFF"/>
        <w:spacing w:after="0" w:line="240" w:lineRule="auto"/>
        <w:ind w:left="-2"/>
        <w:textAlignment w:val="baseline"/>
        <w:rPr>
          <w:rFonts w:cs="Lucida Sans Unicode"/>
          <w:bCs/>
          <w:color w:val="000000"/>
          <w:sz w:val="18"/>
          <w:szCs w:val="18"/>
        </w:rPr>
      </w:pPr>
      <w:r w:rsidRPr="00B47B3A">
        <w:rPr>
          <w:rFonts w:eastAsia="Times New Roman" w:cs="Tahoma"/>
          <w:color w:val="000000"/>
          <w:sz w:val="18"/>
          <w:szCs w:val="18"/>
          <w:lang w:eastAsia="ko-KR"/>
        </w:rPr>
        <w:t>Engel, Charles</w:t>
      </w:r>
      <w:r>
        <w:rPr>
          <w:rFonts w:eastAsia="Times New Roman" w:cs="Tahoma"/>
          <w:color w:val="000000"/>
          <w:sz w:val="18"/>
          <w:szCs w:val="18"/>
          <w:lang w:eastAsia="ko-KR"/>
        </w:rPr>
        <w:t>,</w:t>
      </w:r>
      <w:r w:rsidRPr="00B47B3A">
        <w:rPr>
          <w:rFonts w:eastAsia="Times New Roman" w:cs="Tahoma"/>
          <w:color w:val="000000"/>
          <w:sz w:val="18"/>
          <w:szCs w:val="18"/>
          <w:lang w:eastAsia="ko-KR"/>
        </w:rPr>
        <w:t xml:space="preserve"> and Jeffrey Frankel (1984), "Why Interest Rates React to Money Announcements: An Explanation </w:t>
      </w:r>
      <w:r>
        <w:rPr>
          <w:rFonts w:eastAsia="Times New Roman" w:cs="Tahoma"/>
          <w:color w:val="000000"/>
          <w:sz w:val="18"/>
          <w:szCs w:val="18"/>
          <w:lang w:eastAsia="ko-KR"/>
        </w:rPr>
        <w:t>F</w:t>
      </w:r>
      <w:r w:rsidRPr="00B47B3A">
        <w:rPr>
          <w:rFonts w:eastAsia="Times New Roman" w:cs="Tahoma"/>
          <w:color w:val="000000"/>
          <w:sz w:val="18"/>
          <w:szCs w:val="18"/>
          <w:lang w:eastAsia="ko-KR"/>
        </w:rPr>
        <w:t xml:space="preserve">rom the Foreign Exchange Market," </w:t>
      </w:r>
      <w:r w:rsidRPr="00B47B3A">
        <w:rPr>
          <w:rFonts w:eastAsia="Times New Roman" w:cs="Tahoma"/>
          <w:i/>
          <w:color w:val="000000"/>
          <w:sz w:val="18"/>
          <w:szCs w:val="18"/>
          <w:lang w:eastAsia="ko-KR"/>
        </w:rPr>
        <w:t>Journal of Monetary Economics</w:t>
      </w:r>
      <w:r w:rsidRPr="00B47B3A">
        <w:rPr>
          <w:rFonts w:eastAsia="Times New Roman" w:cs="Tahoma"/>
          <w:color w:val="000000"/>
          <w:sz w:val="18"/>
          <w:szCs w:val="18"/>
          <w:lang w:eastAsia="ko-KR"/>
        </w:rPr>
        <w:t xml:space="preserve">, 13(1), pp. 31-39. </w:t>
      </w:r>
    </w:p>
    <w:p w:rsidR="001A2647" w:rsidRPr="009D7F45" w:rsidRDefault="009D7F45" w:rsidP="001A2647">
      <w:pPr>
        <w:shd w:val="clear" w:color="auto" w:fill="FFFFFF"/>
        <w:spacing w:after="0" w:line="240" w:lineRule="auto"/>
        <w:textAlignment w:val="baseline"/>
        <w:rPr>
          <w:rFonts w:cs="Lucida Sans Unicode"/>
          <w:bCs/>
          <w:color w:val="000000"/>
          <w:sz w:val="18"/>
          <w:szCs w:val="18"/>
        </w:rPr>
      </w:pPr>
      <w:r w:rsidRPr="009D7F45">
        <w:rPr>
          <w:rFonts w:cs="Lucida Sans Unicode"/>
          <w:bCs/>
          <w:color w:val="000000"/>
          <w:sz w:val="18"/>
          <w:szCs w:val="18"/>
        </w:rPr>
        <w:br/>
      </w:r>
      <w:r w:rsidRPr="009D7F45">
        <w:rPr>
          <w:rFonts w:cs="Arial"/>
          <w:color w:val="222222"/>
          <w:sz w:val="20"/>
          <w:szCs w:val="20"/>
          <w:shd w:val="clear" w:color="auto" w:fill="FFFFFF"/>
        </w:rPr>
        <w:t>E</w:t>
      </w:r>
      <w:r>
        <w:rPr>
          <w:rFonts w:cs="Arial"/>
          <w:color w:val="222222"/>
          <w:sz w:val="20"/>
          <w:szCs w:val="20"/>
          <w:shd w:val="clear" w:color="auto" w:fill="FFFFFF"/>
        </w:rPr>
        <w:t>vans, Martin, and Richard Lyons (2005), "Do C</w:t>
      </w:r>
      <w:r w:rsidRPr="009D7F45">
        <w:rPr>
          <w:rFonts w:cs="Arial"/>
          <w:color w:val="222222"/>
          <w:sz w:val="20"/>
          <w:szCs w:val="20"/>
          <w:shd w:val="clear" w:color="auto" w:fill="FFFFFF"/>
        </w:rPr>
        <w:t xml:space="preserve">urrency </w:t>
      </w:r>
      <w:r>
        <w:rPr>
          <w:rFonts w:cs="Arial"/>
          <w:color w:val="222222"/>
          <w:sz w:val="20"/>
          <w:szCs w:val="20"/>
          <w:shd w:val="clear" w:color="auto" w:fill="FFFFFF"/>
        </w:rPr>
        <w:t>M</w:t>
      </w:r>
      <w:r w:rsidRPr="009D7F45">
        <w:rPr>
          <w:rFonts w:cs="Arial"/>
          <w:color w:val="222222"/>
          <w:sz w:val="20"/>
          <w:szCs w:val="20"/>
          <w:shd w:val="clear" w:color="auto" w:fill="FFFFFF"/>
        </w:rPr>
        <w:t xml:space="preserve">arkets </w:t>
      </w:r>
      <w:r>
        <w:rPr>
          <w:rFonts w:cs="Arial"/>
          <w:color w:val="222222"/>
          <w:sz w:val="20"/>
          <w:szCs w:val="20"/>
          <w:shd w:val="clear" w:color="auto" w:fill="FFFFFF"/>
        </w:rPr>
        <w:t>A</w:t>
      </w:r>
      <w:r w:rsidRPr="009D7F45">
        <w:rPr>
          <w:rFonts w:cs="Arial"/>
          <w:color w:val="222222"/>
          <w:sz w:val="20"/>
          <w:szCs w:val="20"/>
          <w:shd w:val="clear" w:color="auto" w:fill="FFFFFF"/>
        </w:rPr>
        <w:t xml:space="preserve">bsorb </w:t>
      </w:r>
      <w:r>
        <w:rPr>
          <w:rFonts w:cs="Arial"/>
          <w:color w:val="222222"/>
          <w:sz w:val="20"/>
          <w:szCs w:val="20"/>
          <w:shd w:val="clear" w:color="auto" w:fill="FFFFFF"/>
        </w:rPr>
        <w:t>N</w:t>
      </w:r>
      <w:r w:rsidRPr="009D7F45">
        <w:rPr>
          <w:rFonts w:cs="Arial"/>
          <w:color w:val="222222"/>
          <w:sz w:val="20"/>
          <w:szCs w:val="20"/>
          <w:shd w:val="clear" w:color="auto" w:fill="FFFFFF"/>
        </w:rPr>
        <w:t xml:space="preserve">ews </w:t>
      </w:r>
      <w:r>
        <w:rPr>
          <w:rFonts w:cs="Arial"/>
          <w:color w:val="222222"/>
          <w:sz w:val="20"/>
          <w:szCs w:val="20"/>
          <w:shd w:val="clear" w:color="auto" w:fill="FFFFFF"/>
        </w:rPr>
        <w:t>Q</w:t>
      </w:r>
      <w:r w:rsidRPr="009D7F45">
        <w:rPr>
          <w:rFonts w:cs="Arial"/>
          <w:color w:val="222222"/>
          <w:sz w:val="20"/>
          <w:szCs w:val="20"/>
          <w:shd w:val="clear" w:color="auto" w:fill="FFFFFF"/>
        </w:rPr>
        <w:t>uickly</w:t>
      </w:r>
      <w:proofErr w:type="gramStart"/>
      <w:r w:rsidRPr="009D7F45">
        <w:rPr>
          <w:rFonts w:cs="Arial"/>
          <w:color w:val="222222"/>
          <w:sz w:val="20"/>
          <w:szCs w:val="20"/>
          <w:shd w:val="clear" w:color="auto" w:fill="FFFFFF"/>
        </w:rPr>
        <w:t>?.</w:t>
      </w:r>
      <w:proofErr w:type="gramEnd"/>
      <w:r w:rsidRPr="009D7F45">
        <w:rPr>
          <w:rFonts w:cs="Arial"/>
          <w:color w:val="222222"/>
          <w:sz w:val="20"/>
          <w:szCs w:val="20"/>
          <w:shd w:val="clear" w:color="auto" w:fill="FFFFFF"/>
        </w:rPr>
        <w:t>"</w:t>
      </w:r>
      <w:r w:rsidRPr="009D7F45">
        <w:rPr>
          <w:rStyle w:val="apple-converted-space"/>
          <w:rFonts w:cs="Arial"/>
          <w:color w:val="222222"/>
          <w:sz w:val="20"/>
          <w:szCs w:val="20"/>
          <w:shd w:val="clear" w:color="auto" w:fill="FFFFFF"/>
        </w:rPr>
        <w:t> </w:t>
      </w:r>
      <w:r w:rsidRPr="009D7F45">
        <w:rPr>
          <w:rFonts w:cs="Arial"/>
          <w:i/>
          <w:iCs/>
          <w:color w:val="222222"/>
          <w:sz w:val="20"/>
          <w:szCs w:val="20"/>
          <w:shd w:val="clear" w:color="auto" w:fill="FFFFFF"/>
        </w:rPr>
        <w:t>Journal of International Money and Finance</w:t>
      </w:r>
      <w:r w:rsidRPr="009D7F45">
        <w:rPr>
          <w:rStyle w:val="apple-converted-space"/>
          <w:rFonts w:cs="Arial"/>
          <w:color w:val="222222"/>
          <w:sz w:val="20"/>
          <w:szCs w:val="20"/>
          <w:shd w:val="clear" w:color="auto" w:fill="FFFFFF"/>
        </w:rPr>
        <w:t> </w:t>
      </w:r>
      <w:r>
        <w:rPr>
          <w:rFonts w:cs="Arial"/>
          <w:color w:val="222222"/>
          <w:sz w:val="20"/>
          <w:szCs w:val="20"/>
          <w:shd w:val="clear" w:color="auto" w:fill="FFFFFF"/>
        </w:rPr>
        <w:t>24 (2), pp/</w:t>
      </w:r>
      <w:r w:rsidRPr="009D7F45">
        <w:rPr>
          <w:rFonts w:cs="Arial"/>
          <w:color w:val="222222"/>
          <w:sz w:val="20"/>
          <w:szCs w:val="20"/>
          <w:shd w:val="clear" w:color="auto" w:fill="FFFFFF"/>
        </w:rPr>
        <w:t xml:space="preserve"> 197-217.</w:t>
      </w:r>
      <w:r w:rsidRPr="009D7F45">
        <w:rPr>
          <w:rFonts w:cs="Lucida Sans Unicode"/>
          <w:bCs/>
          <w:color w:val="000000"/>
          <w:sz w:val="18"/>
          <w:szCs w:val="18"/>
        </w:rPr>
        <w:br/>
      </w: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r w:rsidRPr="00B47B3A">
        <w:rPr>
          <w:rFonts w:cs="Lucida Sans Unicode"/>
          <w:bCs/>
          <w:color w:val="000000"/>
          <w:sz w:val="18"/>
          <w:szCs w:val="18"/>
        </w:rPr>
        <w:t>Faust, Jon</w:t>
      </w:r>
      <w:r>
        <w:rPr>
          <w:rFonts w:cs="Lucida Sans Unicode"/>
          <w:bCs/>
          <w:color w:val="000000"/>
          <w:sz w:val="18"/>
          <w:szCs w:val="18"/>
        </w:rPr>
        <w:t>,</w:t>
      </w:r>
      <w:r w:rsidRPr="00B47B3A">
        <w:rPr>
          <w:rFonts w:cs="Lucida Sans Unicode"/>
          <w:bCs/>
          <w:color w:val="000000"/>
          <w:sz w:val="18"/>
          <w:szCs w:val="18"/>
        </w:rPr>
        <w:t xml:space="preserve"> John</w:t>
      </w:r>
      <w:r w:rsidRPr="005A1888">
        <w:rPr>
          <w:rFonts w:cs="Lucida Sans Unicode"/>
          <w:bCs/>
          <w:color w:val="000000"/>
          <w:sz w:val="18"/>
          <w:szCs w:val="18"/>
        </w:rPr>
        <w:t xml:space="preserve"> </w:t>
      </w:r>
      <w:r w:rsidRPr="00B47B3A">
        <w:rPr>
          <w:rFonts w:cs="Lucida Sans Unicode"/>
          <w:bCs/>
          <w:color w:val="000000"/>
          <w:sz w:val="18"/>
          <w:szCs w:val="18"/>
        </w:rPr>
        <w:t>Rogers, Shing-Yi</w:t>
      </w:r>
      <w:r>
        <w:rPr>
          <w:rFonts w:cs="Lucida Sans Unicode"/>
          <w:bCs/>
          <w:color w:val="000000"/>
          <w:sz w:val="18"/>
          <w:szCs w:val="18"/>
        </w:rPr>
        <w:t xml:space="preserve"> </w:t>
      </w:r>
      <w:r w:rsidRPr="00B47B3A">
        <w:rPr>
          <w:rFonts w:cs="Lucida Sans Unicode"/>
          <w:bCs/>
          <w:color w:val="000000"/>
          <w:sz w:val="18"/>
          <w:szCs w:val="18"/>
        </w:rPr>
        <w:t>Wang</w:t>
      </w:r>
      <w:r>
        <w:rPr>
          <w:rFonts w:cs="Lucida Sans Unicode"/>
          <w:bCs/>
          <w:color w:val="000000"/>
          <w:sz w:val="18"/>
          <w:szCs w:val="18"/>
        </w:rPr>
        <w:t>,</w:t>
      </w:r>
      <w:r w:rsidRPr="00B47B3A">
        <w:rPr>
          <w:rFonts w:cs="Lucida Sans Unicode"/>
          <w:bCs/>
          <w:color w:val="000000"/>
          <w:sz w:val="18"/>
          <w:szCs w:val="18"/>
        </w:rPr>
        <w:t xml:space="preserve"> and Jonathan Wright (2007), “The High-Frequency Response of Exchange Rates and Interest Rates to Macroeconomic Announcements</w:t>
      </w:r>
      <w:r>
        <w:rPr>
          <w:rFonts w:cs="Lucida Sans Unicode"/>
          <w:bCs/>
          <w:color w:val="000000"/>
          <w:sz w:val="18"/>
          <w:szCs w:val="18"/>
        </w:rPr>
        <w:t>,</w:t>
      </w:r>
      <w:r w:rsidRPr="00B47B3A">
        <w:rPr>
          <w:rFonts w:cs="Lucida Sans Unicode"/>
          <w:bCs/>
          <w:color w:val="000000"/>
          <w:sz w:val="18"/>
          <w:szCs w:val="18"/>
        </w:rPr>
        <w:t xml:space="preserve">” </w:t>
      </w:r>
      <w:r w:rsidRPr="00B47B3A">
        <w:rPr>
          <w:rFonts w:cs="Lucida Sans Unicode"/>
          <w:bCs/>
          <w:i/>
          <w:color w:val="000000"/>
          <w:sz w:val="18"/>
          <w:szCs w:val="18"/>
        </w:rPr>
        <w:t>Journal of Monetary Economics</w:t>
      </w:r>
      <w:r w:rsidRPr="00B47B3A">
        <w:rPr>
          <w:rFonts w:cs="Lucida Sans Unicode"/>
          <w:bCs/>
          <w:color w:val="000000"/>
          <w:sz w:val="18"/>
          <w:szCs w:val="18"/>
        </w:rPr>
        <w:t xml:space="preserve"> 54(4</w:t>
      </w:r>
      <w:proofErr w:type="gramStart"/>
      <w:r w:rsidRPr="00B47B3A">
        <w:rPr>
          <w:rFonts w:cs="Lucida Sans Unicode"/>
          <w:bCs/>
          <w:color w:val="000000"/>
          <w:sz w:val="18"/>
          <w:szCs w:val="18"/>
        </w:rPr>
        <w:t>) ,</w:t>
      </w:r>
      <w:proofErr w:type="gramEnd"/>
      <w:r w:rsidRPr="00B47B3A">
        <w:rPr>
          <w:rFonts w:cs="Lucida Sans Unicode"/>
          <w:bCs/>
          <w:color w:val="000000"/>
          <w:sz w:val="18"/>
          <w:szCs w:val="18"/>
        </w:rPr>
        <w:t xml:space="preserve"> pp. 1051-1068.</w:t>
      </w:r>
    </w:p>
    <w:p w:rsidR="001A2647" w:rsidRPr="00B47B3A" w:rsidRDefault="001A2647" w:rsidP="001A2647">
      <w:pPr>
        <w:shd w:val="clear" w:color="auto" w:fill="FFFFFF"/>
        <w:spacing w:after="0" w:line="240" w:lineRule="auto"/>
        <w:textAlignment w:val="baseline"/>
        <w:rPr>
          <w:rFonts w:cs="Lucida Sans Unicode"/>
          <w:bCs/>
          <w:color w:val="000000" w:themeColor="text1"/>
          <w:sz w:val="18"/>
          <w:szCs w:val="18"/>
        </w:rPr>
      </w:pPr>
    </w:p>
    <w:p w:rsidR="001A2647" w:rsidRPr="00B47B3A" w:rsidRDefault="001A2647" w:rsidP="001A2647">
      <w:pPr>
        <w:shd w:val="clear" w:color="auto" w:fill="FFFFFF"/>
        <w:spacing w:after="0" w:line="240" w:lineRule="auto"/>
        <w:textAlignment w:val="baseline"/>
        <w:rPr>
          <w:rFonts w:cs="Lucida Sans Unicode"/>
          <w:bCs/>
          <w:color w:val="000000" w:themeColor="text1"/>
          <w:sz w:val="18"/>
          <w:szCs w:val="18"/>
        </w:rPr>
      </w:pPr>
      <w:r w:rsidRPr="00B47B3A">
        <w:rPr>
          <w:rFonts w:cs="Lucida Sans Unicode"/>
          <w:bCs/>
          <w:color w:val="000000" w:themeColor="text1"/>
          <w:sz w:val="18"/>
          <w:szCs w:val="18"/>
        </w:rPr>
        <w:t>F</w:t>
      </w:r>
      <w:r>
        <w:rPr>
          <w:color w:val="000000" w:themeColor="text1"/>
          <w:sz w:val="18"/>
          <w:szCs w:val="18"/>
        </w:rPr>
        <w:t>aust, Jon,</w:t>
      </w:r>
      <w:r w:rsidRPr="00B47B3A">
        <w:rPr>
          <w:color w:val="000000" w:themeColor="text1"/>
          <w:sz w:val="18"/>
          <w:szCs w:val="18"/>
        </w:rPr>
        <w:t xml:space="preserve"> John Rogers</w:t>
      </w:r>
      <w:r>
        <w:rPr>
          <w:color w:val="000000" w:themeColor="text1"/>
          <w:sz w:val="18"/>
          <w:szCs w:val="18"/>
        </w:rPr>
        <w:t>,</w:t>
      </w:r>
      <w:r w:rsidRPr="00B47B3A">
        <w:rPr>
          <w:color w:val="000000" w:themeColor="text1"/>
          <w:sz w:val="18"/>
          <w:szCs w:val="18"/>
        </w:rPr>
        <w:t xml:space="preserve"> </w:t>
      </w:r>
      <w:r>
        <w:rPr>
          <w:color w:val="000000" w:themeColor="text1"/>
          <w:sz w:val="18"/>
          <w:szCs w:val="18"/>
        </w:rPr>
        <w:t>and</w:t>
      </w:r>
      <w:r w:rsidRPr="00B47B3A">
        <w:rPr>
          <w:color w:val="000000" w:themeColor="text1"/>
          <w:sz w:val="18"/>
          <w:szCs w:val="18"/>
        </w:rPr>
        <w:t xml:space="preserve"> Jonathan Wright (2005),</w:t>
      </w:r>
      <w:r w:rsidRPr="00B47B3A">
        <w:rPr>
          <w:color w:val="333333"/>
          <w:sz w:val="18"/>
          <w:szCs w:val="18"/>
        </w:rPr>
        <w:t xml:space="preserve"> "</w:t>
      </w:r>
      <w:r w:rsidRPr="00B47B3A">
        <w:rPr>
          <w:bCs/>
          <w:sz w:val="18"/>
          <w:szCs w:val="18"/>
        </w:rPr>
        <w:t>News and Noise in G-7 GDP Announcements</w:t>
      </w:r>
      <w:r w:rsidRPr="00B47B3A">
        <w:rPr>
          <w:color w:val="333333"/>
          <w:sz w:val="18"/>
          <w:szCs w:val="18"/>
        </w:rPr>
        <w:t>,"</w:t>
      </w:r>
      <w:r w:rsidRPr="00B47B3A">
        <w:rPr>
          <w:rStyle w:val="apple-converted-space"/>
          <w:color w:val="333333"/>
          <w:sz w:val="18"/>
          <w:szCs w:val="18"/>
        </w:rPr>
        <w:t> </w:t>
      </w:r>
      <w:r w:rsidRPr="00D673BE">
        <w:rPr>
          <w:i/>
          <w:sz w:val="18"/>
          <w:szCs w:val="18"/>
        </w:rPr>
        <w:t>Journal of Money, Credit and Banking</w:t>
      </w:r>
      <w:r w:rsidRPr="00B47B3A">
        <w:rPr>
          <w:color w:val="000000" w:themeColor="text1"/>
          <w:sz w:val="18"/>
          <w:szCs w:val="18"/>
        </w:rPr>
        <w:t xml:space="preserve">, 37(3), pp. 403-419. </w:t>
      </w: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r w:rsidRPr="00B47B3A">
        <w:rPr>
          <w:rFonts w:cs="Lucida Sans Unicode"/>
          <w:bCs/>
          <w:color w:val="000000"/>
          <w:sz w:val="18"/>
          <w:szCs w:val="18"/>
        </w:rPr>
        <w:t>Fleming, Michael</w:t>
      </w:r>
      <w:r>
        <w:rPr>
          <w:rFonts w:cs="Lucida Sans Unicode"/>
          <w:bCs/>
          <w:color w:val="000000"/>
          <w:sz w:val="18"/>
          <w:szCs w:val="18"/>
        </w:rPr>
        <w:t>,</w:t>
      </w:r>
      <w:r w:rsidRPr="00B47B3A">
        <w:rPr>
          <w:rFonts w:cs="Lucida Sans Unicode"/>
          <w:bCs/>
          <w:color w:val="000000"/>
          <w:sz w:val="18"/>
          <w:szCs w:val="18"/>
        </w:rPr>
        <w:t xml:space="preserve"> and Eli Remolona (1999), “Price Formation and Liquidity in the U.S. Treasury Market: The Response to Public Information,” </w:t>
      </w:r>
      <w:r w:rsidRPr="00B47B3A">
        <w:rPr>
          <w:rFonts w:cs="Lucida Sans Unicode"/>
          <w:bCs/>
          <w:i/>
          <w:color w:val="000000"/>
          <w:sz w:val="18"/>
          <w:szCs w:val="18"/>
        </w:rPr>
        <w:t>Journal of Finance</w:t>
      </w:r>
      <w:r w:rsidRPr="00B47B3A">
        <w:rPr>
          <w:rFonts w:cs="Lucida Sans Unicode"/>
          <w:bCs/>
          <w:color w:val="000000"/>
          <w:sz w:val="18"/>
          <w:szCs w:val="18"/>
        </w:rPr>
        <w:t>, 54(5), pp. 1901-1915.</w:t>
      </w: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p>
    <w:p w:rsidR="001A2647" w:rsidRDefault="001A2647" w:rsidP="001A2647">
      <w:pPr>
        <w:shd w:val="clear" w:color="auto" w:fill="FFFFFF"/>
        <w:spacing w:after="0" w:line="240" w:lineRule="auto"/>
        <w:textAlignment w:val="baseline"/>
        <w:rPr>
          <w:rFonts w:cs="Arial"/>
          <w:color w:val="000000"/>
          <w:sz w:val="18"/>
          <w:szCs w:val="18"/>
          <w:shd w:val="clear" w:color="auto" w:fill="FFFFFF"/>
        </w:rPr>
      </w:pPr>
      <w:r w:rsidRPr="00B47B3A">
        <w:rPr>
          <w:rFonts w:cs="Lucida Sans Unicode"/>
          <w:bCs/>
          <w:color w:val="000000"/>
          <w:sz w:val="18"/>
          <w:szCs w:val="18"/>
        </w:rPr>
        <w:t>Froot, Kenneth</w:t>
      </w:r>
      <w:r>
        <w:rPr>
          <w:rFonts w:cs="Lucida Sans Unicode"/>
          <w:bCs/>
          <w:color w:val="000000"/>
          <w:sz w:val="18"/>
          <w:szCs w:val="18"/>
        </w:rPr>
        <w:t>,</w:t>
      </w:r>
      <w:r w:rsidRPr="00B47B3A">
        <w:rPr>
          <w:rFonts w:cs="Lucida Sans Unicode"/>
          <w:bCs/>
          <w:color w:val="000000"/>
          <w:sz w:val="18"/>
          <w:szCs w:val="18"/>
        </w:rPr>
        <w:t xml:space="preserve"> David</w:t>
      </w:r>
      <w:r>
        <w:rPr>
          <w:rFonts w:cs="Lucida Sans Unicode"/>
          <w:bCs/>
          <w:color w:val="000000"/>
          <w:sz w:val="18"/>
          <w:szCs w:val="18"/>
        </w:rPr>
        <w:t xml:space="preserve"> </w:t>
      </w:r>
      <w:r w:rsidRPr="00B47B3A">
        <w:rPr>
          <w:rFonts w:cs="Lucida Sans Unicode"/>
          <w:bCs/>
          <w:color w:val="000000"/>
          <w:sz w:val="18"/>
          <w:szCs w:val="18"/>
        </w:rPr>
        <w:t>Scharfstein, and Jeremy Stein (1992), “</w:t>
      </w:r>
      <w:r w:rsidRPr="00B47B3A">
        <w:rPr>
          <w:rFonts w:cs="Arial"/>
          <w:sz w:val="18"/>
          <w:szCs w:val="18"/>
          <w:shd w:val="clear" w:color="auto" w:fill="FFFFFF"/>
        </w:rPr>
        <w:t>Herd on the Street: Informational Inefficiencies in a Market with Short-Term Speculation</w:t>
      </w:r>
      <w:r w:rsidRPr="00B47B3A">
        <w:rPr>
          <w:rFonts w:cs="Arial"/>
          <w:color w:val="000000"/>
          <w:sz w:val="18"/>
          <w:szCs w:val="18"/>
          <w:shd w:val="clear" w:color="auto" w:fill="FFFFFF"/>
        </w:rPr>
        <w:t xml:space="preserve">,” </w:t>
      </w:r>
      <w:r w:rsidRPr="00B47B3A">
        <w:rPr>
          <w:rFonts w:cs="Arial"/>
          <w:i/>
          <w:color w:val="000000"/>
          <w:sz w:val="18"/>
          <w:szCs w:val="18"/>
          <w:shd w:val="clear" w:color="auto" w:fill="FFFFFF"/>
        </w:rPr>
        <w:t>The Journal of Finance</w:t>
      </w:r>
      <w:r w:rsidRPr="00B47B3A">
        <w:rPr>
          <w:rFonts w:cs="Arial"/>
          <w:color w:val="000000"/>
          <w:sz w:val="18"/>
          <w:szCs w:val="18"/>
          <w:shd w:val="clear" w:color="auto" w:fill="FFFFFF"/>
        </w:rPr>
        <w:t xml:space="preserve">, 47(4), pp.1461–1484. </w:t>
      </w:r>
    </w:p>
    <w:p w:rsidR="008519E0" w:rsidRPr="008519E0" w:rsidRDefault="008519E0" w:rsidP="001A2647">
      <w:pPr>
        <w:shd w:val="clear" w:color="auto" w:fill="FFFFFF"/>
        <w:spacing w:after="0" w:line="240" w:lineRule="auto"/>
        <w:textAlignment w:val="baseline"/>
        <w:rPr>
          <w:rFonts w:cs="Arial"/>
          <w:color w:val="000000"/>
          <w:sz w:val="18"/>
          <w:szCs w:val="18"/>
          <w:shd w:val="clear" w:color="auto" w:fill="FFFFFF"/>
        </w:rPr>
      </w:pPr>
    </w:p>
    <w:p w:rsidR="008519E0" w:rsidRPr="008519E0" w:rsidRDefault="008519E0" w:rsidP="001A2647">
      <w:pPr>
        <w:shd w:val="clear" w:color="auto" w:fill="FFFFFF"/>
        <w:spacing w:after="0" w:line="240" w:lineRule="auto"/>
        <w:textAlignment w:val="baseline"/>
        <w:rPr>
          <w:rFonts w:cs="Lucida Sans Unicode"/>
          <w:bCs/>
          <w:color w:val="000000"/>
          <w:sz w:val="18"/>
          <w:szCs w:val="18"/>
        </w:rPr>
      </w:pPr>
      <w:proofErr w:type="gramStart"/>
      <w:r w:rsidRPr="008519E0">
        <w:rPr>
          <w:rFonts w:cs="Arial"/>
          <w:color w:val="222222"/>
          <w:sz w:val="18"/>
          <w:szCs w:val="18"/>
          <w:shd w:val="clear" w:color="auto" w:fill="FFFFFF"/>
        </w:rPr>
        <w:t>Galati, Gabriele, and Corrinne Ho, 2003, "Macroeconomic News and the Euro/dollar Exchange R</w:t>
      </w:r>
      <w:r>
        <w:rPr>
          <w:rFonts w:cs="Arial"/>
          <w:color w:val="222222"/>
          <w:sz w:val="18"/>
          <w:szCs w:val="18"/>
          <w:shd w:val="clear" w:color="auto" w:fill="FFFFFF"/>
        </w:rPr>
        <w:t>ate,</w:t>
      </w:r>
      <w:r w:rsidRPr="008519E0">
        <w:rPr>
          <w:rFonts w:cs="Arial"/>
          <w:color w:val="222222"/>
          <w:sz w:val="18"/>
          <w:szCs w:val="18"/>
          <w:shd w:val="clear" w:color="auto" w:fill="FFFFFF"/>
        </w:rPr>
        <w:t>"</w:t>
      </w:r>
      <w:r w:rsidRPr="008519E0">
        <w:rPr>
          <w:rStyle w:val="apple-converted-space"/>
          <w:rFonts w:cs="Arial"/>
          <w:color w:val="222222"/>
          <w:sz w:val="18"/>
          <w:szCs w:val="18"/>
          <w:shd w:val="clear" w:color="auto" w:fill="FFFFFF"/>
        </w:rPr>
        <w:t> </w:t>
      </w:r>
      <w:r w:rsidRPr="008519E0">
        <w:rPr>
          <w:rFonts w:cs="Arial"/>
          <w:i/>
          <w:iCs/>
          <w:color w:val="222222"/>
          <w:sz w:val="18"/>
          <w:szCs w:val="18"/>
          <w:shd w:val="clear" w:color="auto" w:fill="FFFFFF"/>
        </w:rPr>
        <w:t>Economic Notes</w:t>
      </w:r>
      <w:r w:rsidRPr="008519E0">
        <w:rPr>
          <w:rStyle w:val="apple-converted-space"/>
          <w:rFonts w:cs="Arial"/>
          <w:color w:val="222222"/>
          <w:sz w:val="18"/>
          <w:szCs w:val="18"/>
          <w:shd w:val="clear" w:color="auto" w:fill="FFFFFF"/>
        </w:rPr>
        <w:t> </w:t>
      </w:r>
      <w:r w:rsidRPr="008519E0">
        <w:rPr>
          <w:rFonts w:cs="Arial"/>
          <w:color w:val="222222"/>
          <w:sz w:val="18"/>
          <w:szCs w:val="18"/>
          <w:shd w:val="clear" w:color="auto" w:fill="FFFFFF"/>
        </w:rPr>
        <w:t>32(3), pp.</w:t>
      </w:r>
      <w:r>
        <w:rPr>
          <w:rFonts w:cs="Arial"/>
          <w:color w:val="222222"/>
          <w:sz w:val="18"/>
          <w:szCs w:val="18"/>
          <w:shd w:val="clear" w:color="auto" w:fill="FFFFFF"/>
        </w:rPr>
        <w:t xml:space="preserve"> </w:t>
      </w:r>
      <w:r w:rsidRPr="008519E0">
        <w:rPr>
          <w:rFonts w:cs="Arial"/>
          <w:color w:val="222222"/>
          <w:sz w:val="18"/>
          <w:szCs w:val="18"/>
          <w:shd w:val="clear" w:color="auto" w:fill="FFFFFF"/>
        </w:rPr>
        <w:t>371-398.</w:t>
      </w:r>
      <w:proofErr w:type="gramEnd"/>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r w:rsidRPr="00B47B3A">
        <w:rPr>
          <w:rFonts w:cs="Lucida Sans Unicode"/>
          <w:bCs/>
          <w:color w:val="000000"/>
          <w:sz w:val="18"/>
          <w:szCs w:val="18"/>
        </w:rPr>
        <w:t>Goldberg, Linda</w:t>
      </w:r>
      <w:r>
        <w:rPr>
          <w:rFonts w:cs="Lucida Sans Unicode"/>
          <w:bCs/>
          <w:color w:val="000000"/>
          <w:sz w:val="18"/>
          <w:szCs w:val="18"/>
        </w:rPr>
        <w:t>,</w:t>
      </w:r>
      <w:r w:rsidRPr="00B47B3A">
        <w:rPr>
          <w:rFonts w:cs="Lucida Sans Unicode"/>
          <w:bCs/>
          <w:color w:val="000000"/>
          <w:sz w:val="18"/>
          <w:szCs w:val="18"/>
        </w:rPr>
        <w:t xml:space="preserve"> and Deborah Leonard (2003), “What Moves Sovereign Bond Markets? The Effects of Economic News on U.S. and German Yields,” </w:t>
      </w:r>
      <w:r w:rsidRPr="00B47B3A">
        <w:rPr>
          <w:rFonts w:cs="Lucida Sans Unicode"/>
          <w:bCs/>
          <w:i/>
          <w:color w:val="000000"/>
          <w:sz w:val="18"/>
          <w:szCs w:val="18"/>
        </w:rPr>
        <w:t>Current Issues in Economics and Finance</w:t>
      </w:r>
      <w:r w:rsidRPr="00B47B3A">
        <w:rPr>
          <w:rFonts w:cs="Lucida Sans Unicode"/>
          <w:bCs/>
          <w:color w:val="000000"/>
          <w:sz w:val="18"/>
          <w:szCs w:val="18"/>
        </w:rPr>
        <w:t>, no.9 (</w:t>
      </w:r>
      <w:r w:rsidRPr="00B47B3A">
        <w:rPr>
          <w:rFonts w:cs="Lucida Sans Unicode"/>
          <w:bCs/>
          <w:i/>
          <w:color w:val="000000"/>
          <w:sz w:val="18"/>
          <w:szCs w:val="18"/>
        </w:rPr>
        <w:t>Federal Reserve Bank of New York</w:t>
      </w:r>
      <w:r w:rsidRPr="00B47B3A">
        <w:rPr>
          <w:rFonts w:cs="Lucida Sans Unicode"/>
          <w:bCs/>
          <w:color w:val="000000"/>
          <w:sz w:val="18"/>
          <w:szCs w:val="18"/>
        </w:rPr>
        <w:t xml:space="preserve">), </w:t>
      </w: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p>
    <w:p w:rsidR="001A2647" w:rsidRPr="00B47B3A" w:rsidRDefault="001A2647" w:rsidP="001A2647">
      <w:pPr>
        <w:shd w:val="clear" w:color="auto" w:fill="FFFFFF"/>
        <w:spacing w:after="0" w:line="240" w:lineRule="auto"/>
        <w:textAlignment w:val="baseline"/>
        <w:rPr>
          <w:color w:val="000000"/>
          <w:sz w:val="18"/>
          <w:szCs w:val="18"/>
        </w:rPr>
      </w:pPr>
      <w:r w:rsidRPr="00B47B3A">
        <w:rPr>
          <w:color w:val="000000"/>
          <w:sz w:val="18"/>
          <w:szCs w:val="18"/>
        </w:rPr>
        <w:t xml:space="preserve">Grossman, Jakob (1981), “The ‘Rationality’ of Money Supply Expectations and the Short-Run Response of Interest Rates to Monetary Surprises,” </w:t>
      </w:r>
      <w:r w:rsidRPr="00B47B3A">
        <w:rPr>
          <w:i/>
          <w:color w:val="000000"/>
          <w:sz w:val="18"/>
          <w:szCs w:val="18"/>
        </w:rPr>
        <w:t>Journal of Money, Credit, and Banking</w:t>
      </w:r>
      <w:r w:rsidRPr="00B47B3A">
        <w:rPr>
          <w:color w:val="000000"/>
          <w:sz w:val="18"/>
          <w:szCs w:val="18"/>
        </w:rPr>
        <w:t xml:space="preserve">, 13, pp. 409-424. </w:t>
      </w:r>
    </w:p>
    <w:p w:rsidR="001A2647" w:rsidRPr="00B47B3A" w:rsidRDefault="001A2647" w:rsidP="001A2647">
      <w:pPr>
        <w:shd w:val="clear" w:color="auto" w:fill="FFFFFF"/>
        <w:spacing w:after="0" w:line="240" w:lineRule="auto"/>
        <w:textAlignment w:val="baseline"/>
        <w:rPr>
          <w:color w:val="000000"/>
          <w:sz w:val="18"/>
          <w:szCs w:val="18"/>
        </w:rPr>
      </w:pP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r w:rsidRPr="00B47B3A">
        <w:rPr>
          <w:rFonts w:cs="Lucida Sans Unicode"/>
          <w:bCs/>
          <w:color w:val="000000"/>
          <w:sz w:val="18"/>
          <w:szCs w:val="18"/>
        </w:rPr>
        <w:t>Gurkaynak, Refet</w:t>
      </w:r>
      <w:r>
        <w:rPr>
          <w:rFonts w:cs="Lucida Sans Unicode"/>
          <w:bCs/>
          <w:color w:val="000000"/>
          <w:sz w:val="18"/>
          <w:szCs w:val="18"/>
        </w:rPr>
        <w:t>,</w:t>
      </w:r>
      <w:r w:rsidRPr="00B47B3A">
        <w:rPr>
          <w:rFonts w:cs="Lucida Sans Unicode"/>
          <w:bCs/>
          <w:color w:val="000000"/>
          <w:sz w:val="18"/>
          <w:szCs w:val="18"/>
        </w:rPr>
        <w:t xml:space="preserve"> Brian</w:t>
      </w:r>
      <w:r w:rsidRPr="009D58F8">
        <w:rPr>
          <w:rFonts w:cs="Lucida Sans Unicode"/>
          <w:bCs/>
          <w:color w:val="000000"/>
          <w:sz w:val="18"/>
          <w:szCs w:val="18"/>
        </w:rPr>
        <w:t xml:space="preserve"> </w:t>
      </w:r>
      <w:r w:rsidRPr="00B47B3A">
        <w:rPr>
          <w:rFonts w:cs="Lucida Sans Unicode"/>
          <w:bCs/>
          <w:color w:val="000000"/>
          <w:sz w:val="18"/>
          <w:szCs w:val="18"/>
        </w:rPr>
        <w:t>Sack</w:t>
      </w:r>
      <w:r>
        <w:rPr>
          <w:rFonts w:cs="Lucida Sans Unicode"/>
          <w:bCs/>
          <w:color w:val="000000"/>
          <w:sz w:val="18"/>
          <w:szCs w:val="18"/>
        </w:rPr>
        <w:t>,</w:t>
      </w:r>
      <w:r w:rsidRPr="00B47B3A">
        <w:rPr>
          <w:rFonts w:cs="Lucida Sans Unicode"/>
          <w:bCs/>
          <w:color w:val="000000"/>
          <w:sz w:val="18"/>
          <w:szCs w:val="18"/>
        </w:rPr>
        <w:t xml:space="preserve"> and Eric Swanson (2005), “The </w:t>
      </w:r>
      <w:r>
        <w:rPr>
          <w:rFonts w:cs="Lucida Sans Unicode"/>
          <w:bCs/>
          <w:color w:val="000000"/>
          <w:sz w:val="18"/>
          <w:szCs w:val="18"/>
        </w:rPr>
        <w:t>S</w:t>
      </w:r>
      <w:r w:rsidRPr="00B47B3A">
        <w:rPr>
          <w:rFonts w:cs="Lucida Sans Unicode"/>
          <w:bCs/>
          <w:color w:val="000000"/>
          <w:sz w:val="18"/>
          <w:szCs w:val="18"/>
        </w:rPr>
        <w:t xml:space="preserve">ensitivity of </w:t>
      </w:r>
      <w:r>
        <w:rPr>
          <w:rFonts w:cs="Lucida Sans Unicode"/>
          <w:bCs/>
          <w:color w:val="000000"/>
          <w:sz w:val="18"/>
          <w:szCs w:val="18"/>
        </w:rPr>
        <w:t>L</w:t>
      </w:r>
      <w:r w:rsidRPr="00B47B3A">
        <w:rPr>
          <w:rFonts w:cs="Lucida Sans Unicode"/>
          <w:bCs/>
          <w:color w:val="000000"/>
          <w:sz w:val="18"/>
          <w:szCs w:val="18"/>
        </w:rPr>
        <w:t>ong-</w:t>
      </w:r>
      <w:r>
        <w:rPr>
          <w:rFonts w:cs="Lucida Sans Unicode"/>
          <w:bCs/>
          <w:color w:val="000000"/>
          <w:sz w:val="18"/>
          <w:szCs w:val="18"/>
        </w:rPr>
        <w:t>T</w:t>
      </w:r>
      <w:r w:rsidRPr="00B47B3A">
        <w:rPr>
          <w:rFonts w:cs="Lucida Sans Unicode"/>
          <w:bCs/>
          <w:color w:val="000000"/>
          <w:sz w:val="18"/>
          <w:szCs w:val="18"/>
        </w:rPr>
        <w:t xml:space="preserve">erm </w:t>
      </w:r>
      <w:r>
        <w:rPr>
          <w:rFonts w:cs="Lucida Sans Unicode"/>
          <w:bCs/>
          <w:color w:val="000000"/>
          <w:sz w:val="18"/>
          <w:szCs w:val="18"/>
        </w:rPr>
        <w:t>I</w:t>
      </w:r>
      <w:r w:rsidRPr="00B47B3A">
        <w:rPr>
          <w:rFonts w:cs="Lucida Sans Unicode"/>
          <w:bCs/>
          <w:color w:val="000000"/>
          <w:sz w:val="18"/>
          <w:szCs w:val="18"/>
        </w:rPr>
        <w:t xml:space="preserve">nterest </w:t>
      </w:r>
      <w:r>
        <w:rPr>
          <w:rFonts w:cs="Lucida Sans Unicode"/>
          <w:bCs/>
          <w:color w:val="000000"/>
          <w:sz w:val="18"/>
          <w:szCs w:val="18"/>
        </w:rPr>
        <w:t>R</w:t>
      </w:r>
      <w:r w:rsidRPr="00B47B3A">
        <w:rPr>
          <w:rFonts w:cs="Lucida Sans Unicode"/>
          <w:bCs/>
          <w:color w:val="000000"/>
          <w:sz w:val="18"/>
          <w:szCs w:val="18"/>
        </w:rPr>
        <w:t xml:space="preserve">ates to </w:t>
      </w:r>
      <w:r>
        <w:rPr>
          <w:rFonts w:cs="Lucida Sans Unicode"/>
          <w:bCs/>
          <w:color w:val="000000"/>
          <w:sz w:val="18"/>
          <w:szCs w:val="18"/>
        </w:rPr>
        <w:t>E</w:t>
      </w:r>
      <w:r w:rsidRPr="00B47B3A">
        <w:rPr>
          <w:rFonts w:cs="Lucida Sans Unicode"/>
          <w:bCs/>
          <w:color w:val="000000"/>
          <w:sz w:val="18"/>
          <w:szCs w:val="18"/>
        </w:rPr>
        <w:t xml:space="preserve">conomic </w:t>
      </w:r>
      <w:r>
        <w:rPr>
          <w:rFonts w:cs="Lucida Sans Unicode"/>
          <w:bCs/>
          <w:color w:val="000000"/>
          <w:sz w:val="18"/>
          <w:szCs w:val="18"/>
        </w:rPr>
        <w:t>N</w:t>
      </w:r>
      <w:r w:rsidRPr="00B47B3A">
        <w:rPr>
          <w:rFonts w:cs="Lucida Sans Unicode"/>
          <w:bCs/>
          <w:color w:val="000000"/>
          <w:sz w:val="18"/>
          <w:szCs w:val="18"/>
        </w:rPr>
        <w:t xml:space="preserve">ews: </w:t>
      </w:r>
      <w:r>
        <w:rPr>
          <w:rFonts w:cs="Lucida Sans Unicode"/>
          <w:bCs/>
          <w:color w:val="000000"/>
          <w:sz w:val="18"/>
          <w:szCs w:val="18"/>
        </w:rPr>
        <w:t>E</w:t>
      </w:r>
      <w:r w:rsidRPr="00B47B3A">
        <w:rPr>
          <w:rFonts w:cs="Lucida Sans Unicode"/>
          <w:bCs/>
          <w:color w:val="000000"/>
          <w:sz w:val="18"/>
          <w:szCs w:val="18"/>
        </w:rPr>
        <w:t xml:space="preserve">vidence and </w:t>
      </w:r>
      <w:r>
        <w:rPr>
          <w:rFonts w:cs="Lucida Sans Unicode"/>
          <w:bCs/>
          <w:color w:val="000000"/>
          <w:sz w:val="18"/>
          <w:szCs w:val="18"/>
        </w:rPr>
        <w:t>I</w:t>
      </w:r>
      <w:r w:rsidRPr="00B47B3A">
        <w:rPr>
          <w:rFonts w:cs="Lucida Sans Unicode"/>
          <w:bCs/>
          <w:color w:val="000000"/>
          <w:sz w:val="18"/>
          <w:szCs w:val="18"/>
        </w:rPr>
        <w:t xml:space="preserve">mplications for </w:t>
      </w:r>
      <w:r>
        <w:rPr>
          <w:rFonts w:cs="Lucida Sans Unicode"/>
          <w:bCs/>
          <w:color w:val="000000"/>
          <w:sz w:val="18"/>
          <w:szCs w:val="18"/>
        </w:rPr>
        <w:t>M</w:t>
      </w:r>
      <w:r w:rsidRPr="00B47B3A">
        <w:rPr>
          <w:rFonts w:cs="Lucida Sans Unicode"/>
          <w:bCs/>
          <w:color w:val="000000"/>
          <w:sz w:val="18"/>
          <w:szCs w:val="18"/>
        </w:rPr>
        <w:t xml:space="preserve">acroeconomic </w:t>
      </w:r>
      <w:r>
        <w:rPr>
          <w:rFonts w:cs="Lucida Sans Unicode"/>
          <w:bCs/>
          <w:color w:val="000000"/>
          <w:sz w:val="18"/>
          <w:szCs w:val="18"/>
        </w:rPr>
        <w:t>M</w:t>
      </w:r>
      <w:r w:rsidRPr="00B47B3A">
        <w:rPr>
          <w:rFonts w:cs="Lucida Sans Unicode"/>
          <w:bCs/>
          <w:color w:val="000000"/>
          <w:sz w:val="18"/>
          <w:szCs w:val="18"/>
        </w:rPr>
        <w:t xml:space="preserve">odels,” </w:t>
      </w:r>
      <w:r w:rsidRPr="00B47B3A">
        <w:rPr>
          <w:rFonts w:cs="Lucida Sans Unicode"/>
          <w:bCs/>
          <w:i/>
          <w:color w:val="000000"/>
          <w:sz w:val="18"/>
          <w:szCs w:val="18"/>
        </w:rPr>
        <w:t>American Economic Review</w:t>
      </w:r>
      <w:r w:rsidRPr="00B47B3A">
        <w:rPr>
          <w:rFonts w:cs="Lucida Sans Unicode"/>
          <w:bCs/>
          <w:color w:val="000000"/>
          <w:sz w:val="18"/>
          <w:szCs w:val="18"/>
        </w:rPr>
        <w:t xml:space="preserve"> 95(1), </w:t>
      </w:r>
      <w:r>
        <w:rPr>
          <w:rFonts w:cs="Lucida Sans Unicode"/>
          <w:bCs/>
          <w:color w:val="000000"/>
          <w:sz w:val="18"/>
          <w:szCs w:val="18"/>
        </w:rPr>
        <w:t xml:space="preserve">pp. </w:t>
      </w:r>
      <w:r w:rsidRPr="00B47B3A">
        <w:rPr>
          <w:rFonts w:cs="Lucida Sans Unicode"/>
          <w:bCs/>
          <w:color w:val="000000"/>
          <w:sz w:val="18"/>
          <w:szCs w:val="18"/>
        </w:rPr>
        <w:t>425-436.</w:t>
      </w: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p>
    <w:p w:rsidR="009D7F45" w:rsidRPr="009D7F45" w:rsidRDefault="001A2647" w:rsidP="009D7F45">
      <w:pPr>
        <w:pStyle w:val="HTMLPreformatted"/>
        <w:rPr>
          <w:rFonts w:asciiTheme="minorHAnsi" w:hAnsiTheme="minorHAnsi"/>
          <w:color w:val="000000"/>
          <w:sz w:val="18"/>
          <w:szCs w:val="18"/>
        </w:rPr>
      </w:pPr>
      <w:proofErr w:type="gramStart"/>
      <w:r w:rsidRPr="009D7F45">
        <w:rPr>
          <w:rFonts w:asciiTheme="minorHAnsi" w:hAnsiTheme="minorHAnsi" w:cs="Arial"/>
          <w:color w:val="222222"/>
          <w:sz w:val="18"/>
          <w:szCs w:val="18"/>
          <w:shd w:val="clear" w:color="auto" w:fill="FFFFFF"/>
        </w:rPr>
        <w:t xml:space="preserve">Kahneman, Daniel, and Amos Tversky (1984), "Choices, Values, and Frames," </w:t>
      </w:r>
      <w:r w:rsidRPr="009D7F45">
        <w:rPr>
          <w:rFonts w:asciiTheme="minorHAnsi" w:hAnsiTheme="minorHAnsi" w:cs="Arial"/>
          <w:i/>
          <w:iCs/>
          <w:color w:val="222222"/>
          <w:sz w:val="18"/>
          <w:szCs w:val="18"/>
          <w:shd w:val="clear" w:color="auto" w:fill="FFFFFF"/>
        </w:rPr>
        <w:t>American Psychologist</w:t>
      </w:r>
      <w:r w:rsidRPr="009D7F45">
        <w:rPr>
          <w:rStyle w:val="apple-converted-space"/>
          <w:rFonts w:asciiTheme="minorHAnsi" w:hAnsiTheme="minorHAnsi" w:cs="Arial"/>
          <w:color w:val="222222"/>
          <w:sz w:val="18"/>
          <w:szCs w:val="18"/>
          <w:shd w:val="clear" w:color="auto" w:fill="FFFFFF"/>
        </w:rPr>
        <w:t> </w:t>
      </w:r>
      <w:r w:rsidRPr="009D7F45">
        <w:rPr>
          <w:rFonts w:asciiTheme="minorHAnsi" w:hAnsiTheme="minorHAnsi" w:cs="Arial"/>
          <w:color w:val="222222"/>
          <w:sz w:val="18"/>
          <w:szCs w:val="18"/>
          <w:shd w:val="clear" w:color="auto" w:fill="FFFFFF"/>
        </w:rPr>
        <w:t>39(4), pp.341-350.</w:t>
      </w:r>
      <w:proofErr w:type="gramEnd"/>
      <w:r w:rsidR="009D7F45" w:rsidRPr="009D7F45">
        <w:rPr>
          <w:rFonts w:asciiTheme="minorHAnsi" w:hAnsiTheme="minorHAnsi" w:cs="Arial"/>
          <w:color w:val="222222"/>
          <w:sz w:val="18"/>
          <w:szCs w:val="18"/>
          <w:shd w:val="clear" w:color="auto" w:fill="FFFFFF"/>
        </w:rPr>
        <w:br/>
      </w:r>
      <w:r w:rsidR="009D7F45" w:rsidRPr="009D7F45">
        <w:rPr>
          <w:rFonts w:asciiTheme="minorHAnsi" w:hAnsiTheme="minorHAnsi" w:cs="Arial"/>
          <w:color w:val="222222"/>
          <w:sz w:val="18"/>
          <w:szCs w:val="18"/>
          <w:shd w:val="clear" w:color="auto" w:fill="FFFFFF"/>
        </w:rPr>
        <w:br/>
      </w:r>
      <w:proofErr w:type="gramStart"/>
      <w:r w:rsidR="009D7F45">
        <w:rPr>
          <w:rFonts w:asciiTheme="minorHAnsi" w:hAnsiTheme="minorHAnsi"/>
          <w:color w:val="000000"/>
          <w:sz w:val="18"/>
          <w:szCs w:val="18"/>
        </w:rPr>
        <w:t>Love, Ryan, and Richard Payne</w:t>
      </w:r>
      <w:r w:rsidR="009D7F45" w:rsidRPr="009D7F45">
        <w:rPr>
          <w:rFonts w:asciiTheme="minorHAnsi" w:hAnsiTheme="minorHAnsi"/>
          <w:color w:val="000000"/>
          <w:sz w:val="18"/>
          <w:szCs w:val="18"/>
        </w:rPr>
        <w:t xml:space="preserve"> </w:t>
      </w:r>
      <w:r w:rsidR="009D7F45">
        <w:rPr>
          <w:rFonts w:asciiTheme="minorHAnsi" w:hAnsiTheme="minorHAnsi"/>
          <w:color w:val="000000"/>
          <w:sz w:val="18"/>
          <w:szCs w:val="18"/>
        </w:rPr>
        <w:t>(</w:t>
      </w:r>
      <w:r w:rsidR="009D7F45" w:rsidRPr="009D7F45">
        <w:rPr>
          <w:rFonts w:asciiTheme="minorHAnsi" w:hAnsiTheme="minorHAnsi"/>
          <w:color w:val="000000"/>
          <w:sz w:val="18"/>
          <w:szCs w:val="18"/>
        </w:rPr>
        <w:t>2008</w:t>
      </w:r>
      <w:r w:rsidR="009D7F45">
        <w:rPr>
          <w:rFonts w:asciiTheme="minorHAnsi" w:hAnsiTheme="minorHAnsi"/>
          <w:color w:val="000000"/>
          <w:sz w:val="18"/>
          <w:szCs w:val="18"/>
        </w:rPr>
        <w:t>)</w:t>
      </w:r>
      <w:r w:rsidR="009D7F45" w:rsidRPr="009D7F45">
        <w:rPr>
          <w:rFonts w:asciiTheme="minorHAnsi" w:hAnsiTheme="minorHAnsi"/>
          <w:color w:val="000000"/>
          <w:sz w:val="18"/>
          <w:szCs w:val="18"/>
        </w:rPr>
        <w:t xml:space="preserve">, "Macroeconomic News, Order Flows, and Exchange Rates," </w:t>
      </w:r>
      <w:r w:rsidR="009D7F45" w:rsidRPr="009D7F45">
        <w:rPr>
          <w:rFonts w:asciiTheme="minorHAnsi" w:hAnsiTheme="minorHAnsi"/>
          <w:i/>
          <w:color w:val="000000"/>
          <w:sz w:val="18"/>
          <w:szCs w:val="18"/>
        </w:rPr>
        <w:t>Journal of Financial and Quantitative Analysis</w:t>
      </w:r>
      <w:r w:rsidR="009D7F45" w:rsidRPr="009D7F45">
        <w:rPr>
          <w:rFonts w:asciiTheme="minorHAnsi" w:hAnsiTheme="minorHAnsi"/>
          <w:color w:val="000000"/>
          <w:sz w:val="18"/>
          <w:szCs w:val="18"/>
        </w:rPr>
        <w:t xml:space="preserve"> </w:t>
      </w:r>
      <w:r w:rsidR="009D7F45">
        <w:rPr>
          <w:rFonts w:asciiTheme="minorHAnsi" w:hAnsiTheme="minorHAnsi"/>
          <w:color w:val="000000"/>
          <w:sz w:val="18"/>
          <w:szCs w:val="18"/>
        </w:rPr>
        <w:t>(</w:t>
      </w:r>
      <w:r w:rsidR="009D7F45" w:rsidRPr="009D7F45">
        <w:rPr>
          <w:rFonts w:asciiTheme="minorHAnsi" w:hAnsiTheme="minorHAnsi"/>
          <w:color w:val="000000"/>
          <w:sz w:val="18"/>
          <w:szCs w:val="18"/>
        </w:rPr>
        <w:t>Cambridge University Press</w:t>
      </w:r>
      <w:r w:rsidR="009D7F45">
        <w:rPr>
          <w:rFonts w:asciiTheme="minorHAnsi" w:hAnsiTheme="minorHAnsi"/>
          <w:color w:val="000000"/>
          <w:sz w:val="18"/>
          <w:szCs w:val="18"/>
        </w:rPr>
        <w:t>)</w:t>
      </w:r>
      <w:r w:rsidR="009D7F45" w:rsidRPr="009D7F45">
        <w:rPr>
          <w:rFonts w:asciiTheme="minorHAnsi" w:hAnsiTheme="minorHAnsi"/>
          <w:color w:val="000000"/>
          <w:sz w:val="18"/>
          <w:szCs w:val="18"/>
        </w:rPr>
        <w:t>, vol. 43(02), p</w:t>
      </w:r>
      <w:r w:rsidR="009D7F45">
        <w:rPr>
          <w:rFonts w:asciiTheme="minorHAnsi" w:hAnsiTheme="minorHAnsi"/>
          <w:color w:val="000000"/>
          <w:sz w:val="18"/>
          <w:szCs w:val="18"/>
        </w:rPr>
        <w:t>p.</w:t>
      </w:r>
      <w:r w:rsidR="009D7F45" w:rsidRPr="009D7F45">
        <w:rPr>
          <w:rFonts w:asciiTheme="minorHAnsi" w:hAnsiTheme="minorHAnsi"/>
          <w:color w:val="000000"/>
          <w:sz w:val="18"/>
          <w:szCs w:val="18"/>
        </w:rPr>
        <w:t>467-488, June.</w:t>
      </w:r>
      <w:proofErr w:type="gramEnd"/>
    </w:p>
    <w:p w:rsidR="001A2647" w:rsidRDefault="001A2647" w:rsidP="001A2647">
      <w:pPr>
        <w:shd w:val="clear" w:color="auto" w:fill="FFFFFF"/>
        <w:spacing w:after="0" w:line="240" w:lineRule="auto"/>
        <w:textAlignment w:val="baseline"/>
        <w:rPr>
          <w:rFonts w:cs="Arial"/>
          <w:color w:val="222222"/>
          <w:sz w:val="18"/>
          <w:szCs w:val="18"/>
          <w:shd w:val="clear" w:color="auto" w:fill="FFFFFF"/>
        </w:rPr>
      </w:pPr>
    </w:p>
    <w:p w:rsidR="009A5FC6" w:rsidRPr="009A5FC6" w:rsidRDefault="009A5FC6" w:rsidP="001A2647">
      <w:pPr>
        <w:shd w:val="clear" w:color="auto" w:fill="FFFFFF"/>
        <w:spacing w:after="0" w:line="240" w:lineRule="auto"/>
        <w:textAlignment w:val="baseline"/>
        <w:rPr>
          <w:rFonts w:cs="Lucida Sans Unicode"/>
          <w:bCs/>
          <w:color w:val="000000"/>
          <w:sz w:val="18"/>
          <w:szCs w:val="18"/>
        </w:rPr>
      </w:pPr>
      <w:r w:rsidRPr="009A5FC6">
        <w:rPr>
          <w:sz w:val="18"/>
          <w:szCs w:val="18"/>
        </w:rPr>
        <w:t>Mankiw, N.</w:t>
      </w:r>
      <w:r>
        <w:rPr>
          <w:sz w:val="18"/>
          <w:szCs w:val="18"/>
        </w:rPr>
        <w:t xml:space="preserve"> </w:t>
      </w:r>
      <w:r w:rsidRPr="009A5FC6">
        <w:rPr>
          <w:sz w:val="18"/>
          <w:szCs w:val="18"/>
        </w:rPr>
        <w:t>G</w:t>
      </w:r>
      <w:r>
        <w:rPr>
          <w:sz w:val="18"/>
          <w:szCs w:val="18"/>
        </w:rPr>
        <w:t>regory</w:t>
      </w:r>
      <w:r w:rsidRPr="009A5FC6">
        <w:rPr>
          <w:sz w:val="18"/>
          <w:szCs w:val="18"/>
        </w:rPr>
        <w:t xml:space="preserve">; </w:t>
      </w:r>
      <w:r>
        <w:rPr>
          <w:sz w:val="18"/>
          <w:szCs w:val="18"/>
        </w:rPr>
        <w:t xml:space="preserve">Ricardo </w:t>
      </w:r>
      <w:r w:rsidRPr="009A5FC6">
        <w:rPr>
          <w:sz w:val="18"/>
          <w:szCs w:val="18"/>
        </w:rPr>
        <w:t xml:space="preserve">Reis, and </w:t>
      </w:r>
      <w:r>
        <w:rPr>
          <w:sz w:val="18"/>
          <w:szCs w:val="18"/>
        </w:rPr>
        <w:t xml:space="preserve">Justin </w:t>
      </w:r>
      <w:proofErr w:type="spellStart"/>
      <w:r>
        <w:rPr>
          <w:sz w:val="18"/>
          <w:szCs w:val="18"/>
        </w:rPr>
        <w:t>Wolfers</w:t>
      </w:r>
      <w:proofErr w:type="spellEnd"/>
      <w:r w:rsidRPr="009A5FC6">
        <w:rPr>
          <w:sz w:val="18"/>
          <w:szCs w:val="18"/>
        </w:rPr>
        <w:t xml:space="preserve"> (2003), “Disagreement </w:t>
      </w:r>
      <w:proofErr w:type="gramStart"/>
      <w:r w:rsidRPr="009A5FC6">
        <w:rPr>
          <w:sz w:val="18"/>
          <w:szCs w:val="18"/>
        </w:rPr>
        <w:t>Ab</w:t>
      </w:r>
      <w:r>
        <w:rPr>
          <w:sz w:val="18"/>
          <w:szCs w:val="18"/>
        </w:rPr>
        <w:t>out</w:t>
      </w:r>
      <w:proofErr w:type="gramEnd"/>
      <w:r>
        <w:rPr>
          <w:sz w:val="18"/>
          <w:szCs w:val="18"/>
        </w:rPr>
        <w:t xml:space="preserve"> Inflation Expectations,”</w:t>
      </w:r>
      <w:r w:rsidRPr="009A5FC6">
        <w:rPr>
          <w:sz w:val="18"/>
          <w:szCs w:val="18"/>
        </w:rPr>
        <w:t xml:space="preserve"> </w:t>
      </w:r>
      <w:r w:rsidRPr="009A5FC6">
        <w:rPr>
          <w:i/>
          <w:sz w:val="18"/>
          <w:szCs w:val="18"/>
        </w:rPr>
        <w:t>NBER Macroeconomics Annual 2003</w:t>
      </w:r>
      <w:r>
        <w:rPr>
          <w:sz w:val="18"/>
          <w:szCs w:val="18"/>
        </w:rPr>
        <w:t>, ed. by M. Gertler</w:t>
      </w:r>
      <w:r w:rsidRPr="009A5FC6">
        <w:rPr>
          <w:sz w:val="18"/>
          <w:szCs w:val="18"/>
        </w:rPr>
        <w:t xml:space="preserve"> and K. Rogoff.    </w:t>
      </w:r>
    </w:p>
    <w:p w:rsidR="001A2647" w:rsidRPr="009A5FC6" w:rsidRDefault="001A2647" w:rsidP="001A2647">
      <w:pPr>
        <w:shd w:val="clear" w:color="auto" w:fill="FFFFFF"/>
        <w:spacing w:after="0" w:line="240" w:lineRule="auto"/>
        <w:textAlignment w:val="baseline"/>
        <w:rPr>
          <w:rFonts w:cs="Lucida Sans Unicode"/>
          <w:bCs/>
          <w:color w:val="000000"/>
          <w:sz w:val="18"/>
          <w:szCs w:val="18"/>
        </w:rPr>
      </w:pPr>
    </w:p>
    <w:p w:rsidR="001A2647" w:rsidRDefault="001A2647" w:rsidP="001A2647">
      <w:pPr>
        <w:shd w:val="clear" w:color="auto" w:fill="FFFFFF"/>
        <w:spacing w:after="0" w:line="240" w:lineRule="auto"/>
        <w:textAlignment w:val="baseline"/>
        <w:rPr>
          <w:color w:val="000000" w:themeColor="text1"/>
          <w:sz w:val="18"/>
          <w:szCs w:val="18"/>
        </w:rPr>
      </w:pPr>
      <w:r w:rsidRPr="00B47B3A">
        <w:rPr>
          <w:sz w:val="18"/>
          <w:szCs w:val="18"/>
        </w:rPr>
        <w:t>Mankiw, N. Gregory</w:t>
      </w:r>
      <w:r>
        <w:rPr>
          <w:sz w:val="18"/>
          <w:szCs w:val="18"/>
        </w:rPr>
        <w:t>,</w:t>
      </w:r>
      <w:r w:rsidRPr="00B47B3A">
        <w:rPr>
          <w:sz w:val="18"/>
          <w:szCs w:val="18"/>
        </w:rPr>
        <w:t xml:space="preserve"> and Matthew Shapiro (1986), </w:t>
      </w:r>
      <w:r w:rsidRPr="00B47B3A">
        <w:rPr>
          <w:color w:val="444444"/>
          <w:sz w:val="18"/>
          <w:szCs w:val="18"/>
        </w:rPr>
        <w:t>“</w:t>
      </w:r>
      <w:r w:rsidRPr="00B47B3A">
        <w:rPr>
          <w:color w:val="000000" w:themeColor="text1"/>
          <w:sz w:val="18"/>
          <w:szCs w:val="18"/>
        </w:rPr>
        <w:t xml:space="preserve">News or Noise: An Analysis of GNP Revisions,” </w:t>
      </w:r>
      <w:r w:rsidRPr="00B47B3A">
        <w:rPr>
          <w:i/>
          <w:color w:val="000000" w:themeColor="text1"/>
          <w:sz w:val="18"/>
          <w:szCs w:val="18"/>
        </w:rPr>
        <w:t>Survey of Current Business</w:t>
      </w:r>
      <w:r w:rsidRPr="00B47B3A">
        <w:rPr>
          <w:color w:val="000000" w:themeColor="text1"/>
          <w:sz w:val="18"/>
          <w:szCs w:val="18"/>
        </w:rPr>
        <w:t>,</w:t>
      </w:r>
      <w:r>
        <w:rPr>
          <w:color w:val="000000" w:themeColor="text1"/>
          <w:sz w:val="18"/>
          <w:szCs w:val="18"/>
        </w:rPr>
        <w:t xml:space="preserve"> 66,</w:t>
      </w:r>
      <w:r w:rsidRPr="00B47B3A">
        <w:rPr>
          <w:color w:val="000000" w:themeColor="text1"/>
          <w:sz w:val="18"/>
          <w:szCs w:val="18"/>
        </w:rPr>
        <w:t xml:space="preserve"> pp.20-25.</w:t>
      </w:r>
      <w:r w:rsidR="00A034D9">
        <w:rPr>
          <w:color w:val="000000" w:themeColor="text1"/>
          <w:sz w:val="18"/>
          <w:szCs w:val="18"/>
        </w:rPr>
        <w:br/>
      </w:r>
    </w:p>
    <w:p w:rsidR="00A034D9" w:rsidRPr="00B47B3A" w:rsidRDefault="00A034D9" w:rsidP="001A2647">
      <w:pPr>
        <w:shd w:val="clear" w:color="auto" w:fill="FFFFFF"/>
        <w:spacing w:after="0" w:line="240" w:lineRule="auto"/>
        <w:textAlignment w:val="baseline"/>
        <w:rPr>
          <w:rFonts w:cs="Lucida Sans Unicode"/>
          <w:bCs/>
          <w:color w:val="000000"/>
          <w:sz w:val="18"/>
          <w:szCs w:val="18"/>
        </w:rPr>
      </w:pPr>
      <w:r>
        <w:rPr>
          <w:color w:val="000000" w:themeColor="text1"/>
          <w:sz w:val="18"/>
          <w:szCs w:val="18"/>
        </w:rPr>
        <w:lastRenderedPageBreak/>
        <w:t>Mora</w:t>
      </w:r>
      <w:r w:rsidRPr="00A034D9">
        <w:rPr>
          <w:rFonts w:cs="Arial"/>
          <w:color w:val="222222"/>
          <w:sz w:val="18"/>
          <w:szCs w:val="18"/>
          <w:shd w:val="clear" w:color="auto" w:fill="FFFFFF"/>
        </w:rPr>
        <w:t>, José V</w:t>
      </w:r>
      <w:r w:rsidR="00181E07">
        <w:rPr>
          <w:rFonts w:cs="Arial"/>
          <w:color w:val="222222"/>
          <w:sz w:val="18"/>
          <w:szCs w:val="18"/>
          <w:shd w:val="clear" w:color="auto" w:fill="FFFFFF"/>
        </w:rPr>
        <w:t xml:space="preserve">. Rodríguez, and Paul </w:t>
      </w:r>
      <w:proofErr w:type="spellStart"/>
      <w:r w:rsidR="00181E07">
        <w:rPr>
          <w:rFonts w:cs="Arial"/>
          <w:color w:val="222222"/>
          <w:sz w:val="18"/>
          <w:szCs w:val="18"/>
          <w:shd w:val="clear" w:color="auto" w:fill="FFFFFF"/>
        </w:rPr>
        <w:t>Schulstad</w:t>
      </w:r>
      <w:proofErr w:type="spellEnd"/>
      <w:r>
        <w:rPr>
          <w:rFonts w:cs="Arial"/>
          <w:color w:val="222222"/>
          <w:sz w:val="18"/>
          <w:szCs w:val="18"/>
          <w:shd w:val="clear" w:color="auto" w:fill="FFFFFF"/>
        </w:rPr>
        <w:t xml:space="preserve"> </w:t>
      </w:r>
      <w:r w:rsidR="00181E07">
        <w:rPr>
          <w:rFonts w:cs="Arial"/>
          <w:color w:val="222222"/>
          <w:sz w:val="18"/>
          <w:szCs w:val="18"/>
          <w:shd w:val="clear" w:color="auto" w:fill="FFFFFF"/>
        </w:rPr>
        <w:t>(</w:t>
      </w:r>
      <w:r>
        <w:rPr>
          <w:rFonts w:cs="Arial"/>
          <w:color w:val="222222"/>
          <w:sz w:val="18"/>
          <w:szCs w:val="18"/>
          <w:shd w:val="clear" w:color="auto" w:fill="FFFFFF"/>
        </w:rPr>
        <w:t>2007</w:t>
      </w:r>
      <w:r w:rsidR="00181E07">
        <w:rPr>
          <w:rFonts w:cs="Arial"/>
          <w:color w:val="222222"/>
          <w:sz w:val="18"/>
          <w:szCs w:val="18"/>
          <w:shd w:val="clear" w:color="auto" w:fill="FFFFFF"/>
        </w:rPr>
        <w:t>)</w:t>
      </w:r>
      <w:r>
        <w:rPr>
          <w:rFonts w:cs="Arial"/>
          <w:color w:val="222222"/>
          <w:sz w:val="18"/>
          <w:szCs w:val="18"/>
          <w:shd w:val="clear" w:color="auto" w:fill="FFFFFF"/>
        </w:rPr>
        <w:t>,</w:t>
      </w:r>
      <w:r w:rsidRPr="00A034D9">
        <w:rPr>
          <w:rFonts w:cs="Arial"/>
          <w:color w:val="222222"/>
          <w:sz w:val="18"/>
          <w:szCs w:val="18"/>
          <w:shd w:val="clear" w:color="auto" w:fill="FFFFFF"/>
        </w:rPr>
        <w:t xml:space="preserve"> "The </w:t>
      </w:r>
      <w:r w:rsidR="00181E07">
        <w:rPr>
          <w:rFonts w:cs="Arial"/>
          <w:color w:val="222222"/>
          <w:sz w:val="18"/>
          <w:szCs w:val="18"/>
          <w:shd w:val="clear" w:color="auto" w:fill="FFFFFF"/>
        </w:rPr>
        <w:t>E</w:t>
      </w:r>
      <w:r w:rsidRPr="00A034D9">
        <w:rPr>
          <w:rFonts w:cs="Arial"/>
          <w:color w:val="222222"/>
          <w:sz w:val="18"/>
          <w:szCs w:val="18"/>
          <w:shd w:val="clear" w:color="auto" w:fill="FFFFFF"/>
        </w:rPr>
        <w:t xml:space="preserve">ffect of GNP </w:t>
      </w:r>
      <w:r w:rsidR="00181E07">
        <w:rPr>
          <w:rFonts w:cs="Arial"/>
          <w:color w:val="222222"/>
          <w:sz w:val="18"/>
          <w:szCs w:val="18"/>
          <w:shd w:val="clear" w:color="auto" w:fill="FFFFFF"/>
        </w:rPr>
        <w:t>A</w:t>
      </w:r>
      <w:r w:rsidRPr="00A034D9">
        <w:rPr>
          <w:rFonts w:cs="Arial"/>
          <w:color w:val="222222"/>
          <w:sz w:val="18"/>
          <w:szCs w:val="18"/>
          <w:shd w:val="clear" w:color="auto" w:fill="FFFFFF"/>
        </w:rPr>
        <w:t xml:space="preserve">nnouncements on </w:t>
      </w:r>
      <w:r w:rsidR="00181E07">
        <w:rPr>
          <w:rFonts w:cs="Arial"/>
          <w:color w:val="222222"/>
          <w:sz w:val="18"/>
          <w:szCs w:val="18"/>
          <w:shd w:val="clear" w:color="auto" w:fill="FFFFFF"/>
        </w:rPr>
        <w:t>Fluctuations of GNP G</w:t>
      </w:r>
      <w:r w:rsidRPr="00A034D9">
        <w:rPr>
          <w:rFonts w:cs="Arial"/>
          <w:color w:val="222222"/>
          <w:sz w:val="18"/>
          <w:szCs w:val="18"/>
          <w:shd w:val="clear" w:color="auto" w:fill="FFFFFF"/>
        </w:rPr>
        <w:t>rowth</w:t>
      </w:r>
      <w:r w:rsidR="00181E07">
        <w:rPr>
          <w:rFonts w:cs="Arial"/>
          <w:color w:val="222222"/>
          <w:sz w:val="18"/>
          <w:szCs w:val="18"/>
          <w:shd w:val="clear" w:color="auto" w:fill="FFFFFF"/>
        </w:rPr>
        <w:t>,</w:t>
      </w:r>
      <w:r w:rsidRPr="00A034D9">
        <w:rPr>
          <w:rFonts w:cs="Arial"/>
          <w:color w:val="222222"/>
          <w:sz w:val="18"/>
          <w:szCs w:val="18"/>
          <w:shd w:val="clear" w:color="auto" w:fill="FFFFFF"/>
        </w:rPr>
        <w:t>"</w:t>
      </w:r>
      <w:r w:rsidRPr="00A034D9">
        <w:rPr>
          <w:rStyle w:val="apple-converted-space"/>
          <w:rFonts w:cs="Arial"/>
          <w:color w:val="222222"/>
          <w:sz w:val="18"/>
          <w:szCs w:val="18"/>
          <w:shd w:val="clear" w:color="auto" w:fill="FFFFFF"/>
        </w:rPr>
        <w:t> </w:t>
      </w:r>
      <w:r w:rsidRPr="00A034D9">
        <w:rPr>
          <w:rFonts w:cs="Arial"/>
          <w:i/>
          <w:iCs/>
          <w:color w:val="222222"/>
          <w:sz w:val="18"/>
          <w:szCs w:val="18"/>
          <w:shd w:val="clear" w:color="auto" w:fill="FFFFFF"/>
        </w:rPr>
        <w:t>European Economic Review</w:t>
      </w:r>
      <w:r>
        <w:rPr>
          <w:rFonts w:cs="Arial"/>
          <w:i/>
          <w:iCs/>
          <w:color w:val="222222"/>
          <w:sz w:val="18"/>
          <w:szCs w:val="18"/>
          <w:shd w:val="clear" w:color="auto" w:fill="FFFFFF"/>
        </w:rPr>
        <w:t xml:space="preserve"> </w:t>
      </w:r>
      <w:r>
        <w:rPr>
          <w:rFonts w:cs="Arial"/>
          <w:color w:val="222222"/>
          <w:sz w:val="18"/>
          <w:szCs w:val="18"/>
          <w:shd w:val="clear" w:color="auto" w:fill="FFFFFF"/>
        </w:rPr>
        <w:t>51.8, pp.</w:t>
      </w:r>
      <w:r w:rsidRPr="00A034D9">
        <w:rPr>
          <w:rFonts w:cs="Arial"/>
          <w:color w:val="222222"/>
          <w:sz w:val="18"/>
          <w:szCs w:val="18"/>
          <w:shd w:val="clear" w:color="auto" w:fill="FFFFFF"/>
        </w:rPr>
        <w:t xml:space="preserve"> 1922-1940.</w:t>
      </w: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r w:rsidRPr="00B47B3A">
        <w:rPr>
          <w:color w:val="000000"/>
          <w:sz w:val="18"/>
          <w:szCs w:val="18"/>
        </w:rPr>
        <w:t xml:space="preserve">Naylor, John A (1982), “Do Short-Term Interest Rate Expectations Respond to New Information on Monetary Growth?” </w:t>
      </w:r>
      <w:r w:rsidRPr="00B47B3A">
        <w:rPr>
          <w:i/>
          <w:color w:val="000000"/>
          <w:sz w:val="18"/>
          <w:szCs w:val="18"/>
        </w:rPr>
        <w:t>Southern Economic Journal</w:t>
      </w:r>
      <w:r w:rsidRPr="00B47B3A">
        <w:rPr>
          <w:color w:val="000000"/>
          <w:sz w:val="18"/>
          <w:szCs w:val="18"/>
        </w:rPr>
        <w:t>, 48(3), pp. 754-763.</w:t>
      </w: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r w:rsidRPr="00B47B3A">
        <w:rPr>
          <w:rFonts w:cs="Lucida Sans Unicode"/>
          <w:bCs/>
          <w:color w:val="000000"/>
          <w:sz w:val="18"/>
          <w:szCs w:val="18"/>
        </w:rPr>
        <w:t>Pearce, Douglas</w:t>
      </w:r>
      <w:r>
        <w:rPr>
          <w:rFonts w:cs="Lucida Sans Unicode"/>
          <w:bCs/>
          <w:color w:val="000000"/>
          <w:sz w:val="18"/>
          <w:szCs w:val="18"/>
        </w:rPr>
        <w:t>,</w:t>
      </w:r>
      <w:r w:rsidRPr="00B47B3A">
        <w:rPr>
          <w:rFonts w:cs="Lucida Sans Unicode"/>
          <w:bCs/>
          <w:color w:val="000000"/>
          <w:sz w:val="18"/>
          <w:szCs w:val="18"/>
        </w:rPr>
        <w:t xml:space="preserve"> and Vance </w:t>
      </w:r>
      <w:proofErr w:type="spellStart"/>
      <w:r w:rsidRPr="00B47B3A">
        <w:rPr>
          <w:rFonts w:cs="Lucida Sans Unicode"/>
          <w:bCs/>
          <w:color w:val="000000"/>
          <w:sz w:val="18"/>
          <w:szCs w:val="18"/>
        </w:rPr>
        <w:t>Roley</w:t>
      </w:r>
      <w:proofErr w:type="spellEnd"/>
      <w:r>
        <w:rPr>
          <w:rFonts w:cs="Lucida Sans Unicode"/>
          <w:bCs/>
          <w:color w:val="000000"/>
          <w:sz w:val="18"/>
          <w:szCs w:val="18"/>
        </w:rPr>
        <w:t xml:space="preserve"> </w:t>
      </w:r>
      <w:r w:rsidRPr="00B47B3A">
        <w:rPr>
          <w:rFonts w:cs="Lucida Sans Unicode"/>
          <w:bCs/>
          <w:color w:val="000000"/>
          <w:sz w:val="18"/>
          <w:szCs w:val="18"/>
        </w:rPr>
        <w:t xml:space="preserve">(1985), "Stock Prices and Economic News," </w:t>
      </w:r>
      <w:r w:rsidRPr="00B47B3A">
        <w:rPr>
          <w:rFonts w:cs="Lucida Sans Unicode"/>
          <w:bCs/>
          <w:i/>
          <w:color w:val="000000"/>
          <w:sz w:val="18"/>
          <w:szCs w:val="18"/>
        </w:rPr>
        <w:t>The Journal of Business</w:t>
      </w:r>
      <w:r w:rsidRPr="00B47B3A">
        <w:rPr>
          <w:rFonts w:cs="Lucida Sans Unicode"/>
          <w:bCs/>
          <w:color w:val="000000"/>
          <w:sz w:val="18"/>
          <w:szCs w:val="18"/>
        </w:rPr>
        <w:t xml:space="preserve">, University of Chicago Press, 58(1), pp. 49-67.   </w:t>
      </w:r>
      <w:r w:rsidRPr="00B47B3A">
        <w:rPr>
          <w:rStyle w:val="apple-converted-space"/>
          <w:rFonts w:ascii="Arial" w:hAnsi="Arial" w:cs="Arial"/>
          <w:color w:val="000000"/>
          <w:sz w:val="18"/>
          <w:szCs w:val="18"/>
        </w:rPr>
        <w:t> </w:t>
      </w:r>
      <w:r>
        <w:rPr>
          <w:rStyle w:val="apple-converted-space"/>
          <w:rFonts w:ascii="Arial" w:hAnsi="Arial" w:cs="Arial"/>
          <w:color w:val="000000"/>
          <w:sz w:val="16"/>
          <w:szCs w:val="16"/>
        </w:rPr>
        <w:t>Also</w:t>
      </w:r>
      <w:r w:rsidRPr="00B47B3A">
        <w:rPr>
          <w:rFonts w:cs="Arial"/>
          <w:color w:val="000000"/>
          <w:sz w:val="18"/>
          <w:szCs w:val="18"/>
        </w:rPr>
        <w:t xml:space="preserve"> NBER WP 0958, 1982.</w:t>
      </w:r>
      <w:r w:rsidRPr="00B47B3A">
        <w:rPr>
          <w:rStyle w:val="apple-converted-space"/>
          <w:rFonts w:cs="Arial"/>
          <w:color w:val="000000"/>
          <w:sz w:val="18"/>
          <w:szCs w:val="18"/>
        </w:rPr>
        <w:t> </w:t>
      </w: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p>
    <w:p w:rsidR="001A2647" w:rsidRPr="00B47B3A" w:rsidRDefault="001A2647" w:rsidP="001A2647">
      <w:pPr>
        <w:shd w:val="clear" w:color="auto" w:fill="FFFFFF"/>
        <w:spacing w:after="0" w:line="240" w:lineRule="auto"/>
        <w:textAlignment w:val="baseline"/>
        <w:rPr>
          <w:sz w:val="18"/>
          <w:szCs w:val="18"/>
          <w:lang w:val="en"/>
        </w:rPr>
      </w:pPr>
      <w:proofErr w:type="spellStart"/>
      <w:proofErr w:type="gramStart"/>
      <w:r w:rsidRPr="00B47B3A">
        <w:rPr>
          <w:color w:val="000000"/>
          <w:sz w:val="18"/>
          <w:szCs w:val="18"/>
        </w:rPr>
        <w:t>Roley</w:t>
      </w:r>
      <w:proofErr w:type="spellEnd"/>
      <w:r w:rsidRPr="00B47B3A">
        <w:rPr>
          <w:color w:val="000000"/>
          <w:sz w:val="18"/>
          <w:szCs w:val="18"/>
        </w:rPr>
        <w:t xml:space="preserve">, Vance (1983), “The Response of Short-Term Interest Rates to Weekly Money Announcements,” </w:t>
      </w:r>
      <w:r w:rsidRPr="00B47B3A">
        <w:rPr>
          <w:i/>
          <w:color w:val="000000"/>
          <w:sz w:val="18"/>
          <w:szCs w:val="18"/>
        </w:rPr>
        <w:t>Journal of Money, Credit and Banking</w:t>
      </w:r>
      <w:r w:rsidRPr="00B47B3A">
        <w:rPr>
          <w:color w:val="000000"/>
          <w:sz w:val="18"/>
          <w:szCs w:val="18"/>
        </w:rPr>
        <w:t>, 15(3), pp.344-354.</w:t>
      </w:r>
      <w:proofErr w:type="gramEnd"/>
      <w:r w:rsidRPr="00B47B3A">
        <w:rPr>
          <w:sz w:val="18"/>
          <w:szCs w:val="18"/>
          <w:lang w:val="en"/>
        </w:rPr>
        <w:t xml:space="preserve"> </w:t>
      </w:r>
    </w:p>
    <w:p w:rsidR="001A2647" w:rsidRPr="00B47B3A" w:rsidRDefault="001A2647" w:rsidP="001A2647">
      <w:pPr>
        <w:shd w:val="clear" w:color="auto" w:fill="FFFFFF"/>
        <w:spacing w:after="0" w:line="240" w:lineRule="auto"/>
        <w:textAlignment w:val="baseline"/>
        <w:rPr>
          <w:rFonts w:ascii="Arial" w:hAnsi="Arial" w:cs="Arial"/>
          <w:color w:val="222222"/>
          <w:sz w:val="18"/>
          <w:szCs w:val="18"/>
          <w:shd w:val="clear" w:color="auto" w:fill="FFFFFF"/>
        </w:rPr>
      </w:pPr>
    </w:p>
    <w:p w:rsidR="001A2647" w:rsidRPr="008725B8" w:rsidRDefault="001A2647" w:rsidP="001A2647">
      <w:pPr>
        <w:pStyle w:val="Heading1"/>
        <w:shd w:val="clear" w:color="auto" w:fill="FFFFFF"/>
        <w:spacing w:before="0" w:beforeAutospacing="0" w:after="0" w:afterAutospacing="0"/>
        <w:rPr>
          <w:rFonts w:asciiTheme="minorHAnsi" w:hAnsiTheme="minorHAnsi" w:cs="Arial"/>
          <w:b w:val="0"/>
          <w:sz w:val="18"/>
          <w:szCs w:val="18"/>
        </w:rPr>
      </w:pPr>
      <w:proofErr w:type="gramStart"/>
      <w:r w:rsidRPr="008725B8">
        <w:rPr>
          <w:rFonts w:asciiTheme="minorHAnsi" w:hAnsiTheme="minorHAnsi" w:cs="Arial"/>
          <w:b w:val="0"/>
          <w:sz w:val="18"/>
          <w:szCs w:val="18"/>
        </w:rPr>
        <w:t xml:space="preserve">Thaler, Richard, ed., </w:t>
      </w:r>
      <w:r w:rsidRPr="008725B8">
        <w:rPr>
          <w:rFonts w:asciiTheme="minorHAnsi" w:hAnsiTheme="minorHAnsi" w:cs="Arial"/>
          <w:b w:val="0"/>
          <w:i/>
          <w:sz w:val="18"/>
          <w:szCs w:val="18"/>
        </w:rPr>
        <w:t>Advances in Behavioral Finance</w:t>
      </w:r>
      <w:r w:rsidRPr="008725B8">
        <w:rPr>
          <w:rFonts w:asciiTheme="minorHAnsi" w:hAnsiTheme="minorHAnsi" w:cs="Arial"/>
          <w:b w:val="0"/>
          <w:sz w:val="18"/>
          <w:szCs w:val="18"/>
        </w:rPr>
        <w:t>, Volume 2 (Princeton University Press).</w:t>
      </w:r>
      <w:proofErr w:type="gramEnd"/>
    </w:p>
    <w:p w:rsidR="001A2647" w:rsidRPr="00B47B3A" w:rsidRDefault="001A2647" w:rsidP="001A2647">
      <w:pPr>
        <w:shd w:val="clear" w:color="auto" w:fill="FFFFFF"/>
        <w:spacing w:after="0" w:line="240" w:lineRule="auto"/>
        <w:rPr>
          <w:rFonts w:ascii="Arial" w:hAnsi="Arial" w:cs="Arial"/>
          <w:color w:val="666666"/>
          <w:sz w:val="18"/>
          <w:szCs w:val="18"/>
        </w:rPr>
      </w:pPr>
    </w:p>
    <w:p w:rsidR="001A2647" w:rsidRPr="00B47B3A" w:rsidRDefault="001A2647" w:rsidP="001A2647">
      <w:pPr>
        <w:shd w:val="clear" w:color="auto" w:fill="FFFFFF"/>
        <w:spacing w:after="0" w:line="240" w:lineRule="auto"/>
        <w:rPr>
          <w:rFonts w:cs="Arial"/>
          <w:color w:val="666666"/>
          <w:sz w:val="18"/>
          <w:szCs w:val="18"/>
        </w:rPr>
      </w:pPr>
      <w:r w:rsidRPr="00B47B3A">
        <w:rPr>
          <w:rFonts w:cs="Arial"/>
          <w:color w:val="222222"/>
          <w:sz w:val="18"/>
          <w:szCs w:val="18"/>
          <w:shd w:val="clear" w:color="auto" w:fill="FFFFFF"/>
        </w:rPr>
        <w:t xml:space="preserve">Thaler, </w:t>
      </w:r>
      <w:r>
        <w:rPr>
          <w:rFonts w:cs="Arial"/>
          <w:color w:val="222222"/>
          <w:sz w:val="18"/>
          <w:szCs w:val="18"/>
          <w:shd w:val="clear" w:color="auto" w:fill="FFFFFF"/>
        </w:rPr>
        <w:t>Richard,</w:t>
      </w:r>
      <w:r w:rsidRPr="00B47B3A">
        <w:rPr>
          <w:rFonts w:cs="Arial"/>
          <w:color w:val="222222"/>
          <w:sz w:val="18"/>
          <w:szCs w:val="18"/>
          <w:shd w:val="clear" w:color="auto" w:fill="FFFFFF"/>
        </w:rPr>
        <w:t xml:space="preserve"> A</w:t>
      </w:r>
      <w:r>
        <w:rPr>
          <w:rFonts w:cs="Arial"/>
          <w:color w:val="222222"/>
          <w:sz w:val="18"/>
          <w:szCs w:val="18"/>
          <w:shd w:val="clear" w:color="auto" w:fill="FFFFFF"/>
        </w:rPr>
        <w:t xml:space="preserve">mos </w:t>
      </w:r>
      <w:r w:rsidRPr="00B47B3A">
        <w:rPr>
          <w:rFonts w:cs="Arial"/>
          <w:color w:val="222222"/>
          <w:sz w:val="18"/>
          <w:szCs w:val="18"/>
          <w:shd w:val="clear" w:color="auto" w:fill="FFFFFF"/>
        </w:rPr>
        <w:t>Tversky</w:t>
      </w:r>
      <w:r>
        <w:rPr>
          <w:rFonts w:cs="Arial"/>
          <w:color w:val="222222"/>
          <w:sz w:val="18"/>
          <w:szCs w:val="18"/>
          <w:shd w:val="clear" w:color="auto" w:fill="FFFFFF"/>
        </w:rPr>
        <w:t>,</w:t>
      </w:r>
      <w:r w:rsidRPr="00B47B3A">
        <w:rPr>
          <w:rFonts w:cs="Arial"/>
          <w:color w:val="222222"/>
          <w:sz w:val="18"/>
          <w:szCs w:val="18"/>
          <w:shd w:val="clear" w:color="auto" w:fill="FFFFFF"/>
        </w:rPr>
        <w:t xml:space="preserve"> D</w:t>
      </w:r>
      <w:r>
        <w:rPr>
          <w:rFonts w:cs="Arial"/>
          <w:color w:val="222222"/>
          <w:sz w:val="18"/>
          <w:szCs w:val="18"/>
          <w:shd w:val="clear" w:color="auto" w:fill="FFFFFF"/>
        </w:rPr>
        <w:t xml:space="preserve">aniel </w:t>
      </w:r>
      <w:r w:rsidRPr="00B47B3A">
        <w:rPr>
          <w:rFonts w:cs="Arial"/>
          <w:color w:val="222222"/>
          <w:sz w:val="18"/>
          <w:szCs w:val="18"/>
          <w:shd w:val="clear" w:color="auto" w:fill="FFFFFF"/>
        </w:rPr>
        <w:t>Kahneman</w:t>
      </w:r>
      <w:r>
        <w:rPr>
          <w:rFonts w:cs="Arial"/>
          <w:color w:val="222222"/>
          <w:sz w:val="18"/>
          <w:szCs w:val="18"/>
          <w:shd w:val="clear" w:color="auto" w:fill="FFFFFF"/>
        </w:rPr>
        <w:t>,</w:t>
      </w:r>
      <w:r w:rsidRPr="00B47B3A">
        <w:rPr>
          <w:rFonts w:cs="Arial"/>
          <w:color w:val="222222"/>
          <w:sz w:val="18"/>
          <w:szCs w:val="18"/>
          <w:shd w:val="clear" w:color="auto" w:fill="FFFFFF"/>
        </w:rPr>
        <w:t xml:space="preserve"> </w:t>
      </w:r>
      <w:r>
        <w:rPr>
          <w:rFonts w:cs="Arial"/>
          <w:color w:val="222222"/>
          <w:sz w:val="18"/>
          <w:szCs w:val="18"/>
          <w:shd w:val="clear" w:color="auto" w:fill="FFFFFF"/>
        </w:rPr>
        <w:t xml:space="preserve">and Alan </w:t>
      </w:r>
      <w:r w:rsidRPr="00B47B3A">
        <w:rPr>
          <w:rFonts w:cs="Arial"/>
          <w:color w:val="222222"/>
          <w:sz w:val="18"/>
          <w:szCs w:val="18"/>
          <w:shd w:val="clear" w:color="auto" w:fill="FFFFFF"/>
        </w:rPr>
        <w:t xml:space="preserve">Schwartz (1997), </w:t>
      </w:r>
      <w:hyperlink r:id="rId33" w:history="1">
        <w:r w:rsidRPr="00B47B3A">
          <w:rPr>
            <w:rStyle w:val="Hyperlink"/>
            <w:rFonts w:cs="Arial"/>
            <w:sz w:val="18"/>
            <w:szCs w:val="18"/>
            <w:shd w:val="clear" w:color="auto" w:fill="FFFFFF"/>
          </w:rPr>
          <w:t>“The effect of myopia and loss aversion on risk taking: An experimental test,</w:t>
        </w:r>
      </w:hyperlink>
      <w:r w:rsidRPr="00B47B3A">
        <w:rPr>
          <w:rFonts w:cs="Arial"/>
          <w:color w:val="222222"/>
          <w:sz w:val="18"/>
          <w:szCs w:val="18"/>
          <w:shd w:val="clear" w:color="auto" w:fill="FFFFFF"/>
        </w:rPr>
        <w:t>”</w:t>
      </w:r>
      <w:r w:rsidRPr="00B47B3A">
        <w:rPr>
          <w:rStyle w:val="apple-converted-space"/>
          <w:rFonts w:cs="Arial"/>
          <w:color w:val="222222"/>
          <w:sz w:val="18"/>
          <w:szCs w:val="18"/>
          <w:shd w:val="clear" w:color="auto" w:fill="FFFFFF"/>
        </w:rPr>
        <w:t> </w:t>
      </w:r>
      <w:hyperlink r:id="rId34" w:tooltip="The Quarterly Journal of Economics" w:history="1">
        <w:r w:rsidRPr="00B47B3A">
          <w:rPr>
            <w:rStyle w:val="Hyperlink"/>
            <w:rFonts w:cs="Arial"/>
            <w:i/>
            <w:color w:val="3A74A5"/>
            <w:sz w:val="18"/>
            <w:szCs w:val="18"/>
          </w:rPr>
          <w:t>The Quarterly Journal of Economics</w:t>
        </w:r>
      </w:hyperlink>
      <w:r w:rsidRPr="00B47B3A">
        <w:rPr>
          <w:rStyle w:val="apple-converted-space"/>
          <w:rFonts w:cs="Arial"/>
          <w:color w:val="666666"/>
          <w:sz w:val="18"/>
          <w:szCs w:val="18"/>
        </w:rPr>
        <w:t> </w:t>
      </w:r>
      <w:r w:rsidRPr="00B47B3A">
        <w:rPr>
          <w:rFonts w:cs="Arial"/>
          <w:color w:val="666666"/>
          <w:sz w:val="18"/>
          <w:szCs w:val="18"/>
        </w:rPr>
        <w:t xml:space="preserve">  </w:t>
      </w:r>
      <w:hyperlink r:id="rId35" w:tooltip="Vol. 112, No. 2, In Memory of Amos Tversky (1937-1996)  (May, 1997)" w:history="1">
        <w:r w:rsidRPr="00B47B3A">
          <w:rPr>
            <w:rStyle w:val="Hyperlink"/>
            <w:rFonts w:cs="Arial"/>
            <w:color w:val="265985"/>
            <w:sz w:val="18"/>
            <w:szCs w:val="18"/>
          </w:rPr>
          <w:t>Vol. 112</w:t>
        </w:r>
        <w:r w:rsidR="004020DE">
          <w:rPr>
            <w:rStyle w:val="Hyperlink"/>
            <w:rFonts w:cs="Arial"/>
            <w:color w:val="265985"/>
            <w:sz w:val="18"/>
            <w:szCs w:val="18"/>
          </w:rPr>
          <w:t xml:space="preserve"> </w:t>
        </w:r>
        <w:r>
          <w:rPr>
            <w:rStyle w:val="Hyperlink"/>
            <w:rFonts w:cs="Arial"/>
            <w:color w:val="265985"/>
            <w:sz w:val="18"/>
            <w:szCs w:val="18"/>
          </w:rPr>
          <w:t>(</w:t>
        </w:r>
        <w:r w:rsidRPr="00B47B3A">
          <w:rPr>
            <w:rStyle w:val="Hyperlink"/>
            <w:rFonts w:cs="Arial"/>
            <w:color w:val="265985"/>
            <w:sz w:val="18"/>
            <w:szCs w:val="18"/>
          </w:rPr>
          <w:t>2</w:t>
        </w:r>
        <w:r>
          <w:rPr>
            <w:rStyle w:val="Hyperlink"/>
            <w:rFonts w:cs="Arial"/>
            <w:color w:val="265985"/>
            <w:sz w:val="18"/>
            <w:szCs w:val="18"/>
          </w:rPr>
          <w:t>)</w:t>
        </w:r>
        <w:r w:rsidRPr="00B47B3A">
          <w:rPr>
            <w:rStyle w:val="Hyperlink"/>
            <w:rFonts w:cs="Arial"/>
            <w:color w:val="265985"/>
            <w:sz w:val="18"/>
            <w:szCs w:val="18"/>
          </w:rPr>
          <w:t>, May</w:t>
        </w:r>
      </w:hyperlink>
      <w:r w:rsidRPr="00B47B3A">
        <w:rPr>
          <w:rStyle w:val="apple-converted-space"/>
          <w:rFonts w:cs="Arial"/>
          <w:color w:val="666666"/>
          <w:sz w:val="18"/>
          <w:szCs w:val="18"/>
        </w:rPr>
        <w:t>,</w:t>
      </w:r>
      <w:r w:rsidRPr="00B47B3A">
        <w:rPr>
          <w:rFonts w:cs="Arial"/>
          <w:color w:val="666666"/>
          <w:sz w:val="18"/>
          <w:szCs w:val="18"/>
        </w:rPr>
        <w:t> </w:t>
      </w:r>
      <w:r w:rsidRPr="00431E64">
        <w:rPr>
          <w:rFonts w:cs="Arial"/>
          <w:sz w:val="18"/>
          <w:szCs w:val="18"/>
        </w:rPr>
        <w:t>pp.</w:t>
      </w:r>
      <w:r w:rsidRPr="00B47B3A">
        <w:rPr>
          <w:rFonts w:cs="Arial"/>
          <w:color w:val="222222"/>
          <w:sz w:val="18"/>
          <w:szCs w:val="18"/>
          <w:shd w:val="clear" w:color="auto" w:fill="FFFFFF"/>
        </w:rPr>
        <w:t>647-661</w:t>
      </w: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p>
    <w:p w:rsidR="001A2647" w:rsidRPr="00B47B3A" w:rsidRDefault="001A2647" w:rsidP="001A2647">
      <w:pPr>
        <w:shd w:val="clear" w:color="auto" w:fill="FFFFFF"/>
        <w:spacing w:after="0" w:line="240" w:lineRule="auto"/>
        <w:textAlignment w:val="baseline"/>
        <w:rPr>
          <w:rFonts w:cs="Lucida Sans Unicode"/>
          <w:bCs/>
          <w:color w:val="000000"/>
          <w:sz w:val="18"/>
          <w:szCs w:val="18"/>
        </w:rPr>
      </w:pPr>
      <w:r w:rsidRPr="00B47B3A">
        <w:rPr>
          <w:color w:val="000000"/>
          <w:sz w:val="18"/>
          <w:szCs w:val="18"/>
        </w:rPr>
        <w:t>Urich, Thomas</w:t>
      </w:r>
      <w:r>
        <w:rPr>
          <w:color w:val="000000"/>
          <w:sz w:val="18"/>
          <w:szCs w:val="18"/>
        </w:rPr>
        <w:t>,</w:t>
      </w:r>
      <w:r w:rsidRPr="00B47B3A">
        <w:rPr>
          <w:color w:val="000000"/>
          <w:sz w:val="18"/>
          <w:szCs w:val="18"/>
        </w:rPr>
        <w:t xml:space="preserve"> and Paul</w:t>
      </w:r>
      <w:r w:rsidRPr="006D6C7E">
        <w:rPr>
          <w:color w:val="000000"/>
          <w:sz w:val="18"/>
          <w:szCs w:val="18"/>
        </w:rPr>
        <w:t xml:space="preserve"> </w:t>
      </w:r>
      <w:r w:rsidRPr="00B47B3A">
        <w:rPr>
          <w:color w:val="000000"/>
          <w:sz w:val="18"/>
          <w:szCs w:val="18"/>
        </w:rPr>
        <w:t xml:space="preserve">Wachtel (1981), “Market Response to the Weekly Money Supply Announcements in the 1970s,” </w:t>
      </w:r>
      <w:r w:rsidRPr="00B47B3A">
        <w:rPr>
          <w:i/>
          <w:color w:val="000000"/>
          <w:sz w:val="18"/>
          <w:szCs w:val="18"/>
        </w:rPr>
        <w:t>Journal of Finance</w:t>
      </w:r>
      <w:r w:rsidRPr="00B47B3A">
        <w:rPr>
          <w:color w:val="000000"/>
          <w:sz w:val="18"/>
          <w:szCs w:val="18"/>
        </w:rPr>
        <w:t xml:space="preserve">, 36(5), pp.1063-1072. </w:t>
      </w:r>
    </w:p>
    <w:p w:rsidR="001A2647" w:rsidRPr="00B47B3A" w:rsidRDefault="001A2647" w:rsidP="001A2647">
      <w:pPr>
        <w:shd w:val="clear" w:color="auto" w:fill="FFFFFF"/>
        <w:spacing w:after="0" w:line="240" w:lineRule="auto"/>
        <w:textAlignment w:val="baseline"/>
        <w:rPr>
          <w:color w:val="000000"/>
          <w:sz w:val="18"/>
          <w:szCs w:val="18"/>
        </w:rPr>
      </w:pPr>
    </w:p>
    <w:p w:rsidR="0097077A" w:rsidRPr="001A2647" w:rsidRDefault="001A2647" w:rsidP="00530BE2">
      <w:pPr>
        <w:shd w:val="clear" w:color="auto" w:fill="FFFFFF"/>
        <w:spacing w:after="0" w:line="240" w:lineRule="auto"/>
        <w:textAlignment w:val="baseline"/>
        <w:rPr>
          <w:color w:val="000000"/>
          <w:sz w:val="18"/>
          <w:szCs w:val="18"/>
        </w:rPr>
      </w:pPr>
      <w:r w:rsidRPr="00B47B3A">
        <w:rPr>
          <w:color w:val="000000"/>
          <w:sz w:val="18"/>
          <w:szCs w:val="18"/>
        </w:rPr>
        <w:t>Urich</w:t>
      </w:r>
      <w:r>
        <w:rPr>
          <w:color w:val="000000"/>
          <w:sz w:val="18"/>
          <w:szCs w:val="18"/>
        </w:rPr>
        <w:t xml:space="preserve">, </w:t>
      </w:r>
      <w:r w:rsidRPr="00B47B3A">
        <w:rPr>
          <w:color w:val="000000"/>
          <w:sz w:val="18"/>
          <w:szCs w:val="18"/>
        </w:rPr>
        <w:t xml:space="preserve">Thomas (1982), “The Information Content of Weekly Money Supply Announcements,” </w:t>
      </w:r>
      <w:r w:rsidRPr="00B47B3A">
        <w:rPr>
          <w:i/>
          <w:color w:val="000000"/>
          <w:sz w:val="18"/>
          <w:szCs w:val="18"/>
        </w:rPr>
        <w:t>Journal of Monetary Economics</w:t>
      </w:r>
      <w:r w:rsidRPr="00B47B3A">
        <w:rPr>
          <w:color w:val="000000"/>
          <w:sz w:val="18"/>
          <w:szCs w:val="18"/>
        </w:rPr>
        <w:t xml:space="preserve">, 10(1), pp.73-88. </w:t>
      </w:r>
      <w:r w:rsidR="0097077A">
        <w:rPr>
          <w:sz w:val="24"/>
          <w:szCs w:val="24"/>
        </w:rPr>
        <w:br w:type="page"/>
      </w:r>
    </w:p>
    <w:p w:rsidR="007B36C5" w:rsidRPr="00413E7C" w:rsidRDefault="007B36C5" w:rsidP="007B36C5">
      <w:pPr>
        <w:rPr>
          <w:b/>
          <w:sz w:val="24"/>
          <w:szCs w:val="24"/>
        </w:rPr>
      </w:pPr>
      <w:r w:rsidRPr="00413E7C">
        <w:rPr>
          <w:b/>
          <w:sz w:val="24"/>
          <w:szCs w:val="24"/>
        </w:rPr>
        <w:lastRenderedPageBreak/>
        <w:t xml:space="preserve">Appendix </w:t>
      </w:r>
      <w:r w:rsidR="00FC1953" w:rsidRPr="00413E7C">
        <w:rPr>
          <w:b/>
          <w:sz w:val="24"/>
          <w:szCs w:val="24"/>
        </w:rPr>
        <w:t xml:space="preserve">Table </w:t>
      </w:r>
      <w:r w:rsidRPr="00413E7C">
        <w:rPr>
          <w:b/>
          <w:sz w:val="24"/>
          <w:szCs w:val="24"/>
        </w:rPr>
        <w:t>1</w:t>
      </w:r>
      <w:r w:rsidR="00A42E8D">
        <w:rPr>
          <w:b/>
          <w:sz w:val="24"/>
          <w:szCs w:val="24"/>
        </w:rPr>
        <w:t>a</w:t>
      </w:r>
      <w:r w:rsidRPr="00413E7C">
        <w:rPr>
          <w:b/>
          <w:sz w:val="24"/>
          <w:szCs w:val="24"/>
        </w:rPr>
        <w:t xml:space="preserve">:  Reporting patterns for GDP and employment statistics released by official agencies and financial news services across countries </w:t>
      </w:r>
    </w:p>
    <w:tbl>
      <w:tblPr>
        <w:tblW w:w="9360" w:type="dxa"/>
        <w:tblInd w:w="84" w:type="dxa"/>
        <w:tblCellMar>
          <w:left w:w="99" w:type="dxa"/>
          <w:right w:w="99" w:type="dxa"/>
        </w:tblCellMar>
        <w:tblLook w:val="04A0" w:firstRow="1" w:lastRow="0" w:firstColumn="1" w:lastColumn="0" w:noHBand="0" w:noVBand="1"/>
      </w:tblPr>
      <w:tblGrid>
        <w:gridCol w:w="1099"/>
        <w:gridCol w:w="3769"/>
        <w:gridCol w:w="1489"/>
        <w:gridCol w:w="1187"/>
        <w:gridCol w:w="1176"/>
        <w:gridCol w:w="204"/>
        <w:gridCol w:w="218"/>
        <w:gridCol w:w="190"/>
        <w:gridCol w:w="28"/>
      </w:tblGrid>
      <w:tr w:rsidR="007B36C5" w:rsidRPr="00476944" w:rsidTr="00ED118C">
        <w:trPr>
          <w:gridAfter w:val="4"/>
          <w:wAfter w:w="640" w:type="dxa"/>
          <w:trHeight w:val="300"/>
        </w:trPr>
        <w:tc>
          <w:tcPr>
            <w:tcW w:w="4868" w:type="dxa"/>
            <w:gridSpan w:val="2"/>
            <w:tcBorders>
              <w:top w:val="nil"/>
              <w:left w:val="nil"/>
              <w:bottom w:val="nil"/>
              <w:right w:val="nil"/>
            </w:tcBorders>
            <w:shd w:val="clear" w:color="000000" w:fill="FFFFFF"/>
            <w:noWrap/>
            <w:vAlign w:val="bottom"/>
            <w:hideMark/>
          </w:tcPr>
          <w:p w:rsidR="007B36C5" w:rsidRPr="007D46A9" w:rsidRDefault="007B36C5" w:rsidP="008771D1">
            <w:pPr>
              <w:spacing w:after="0" w:line="240" w:lineRule="auto"/>
              <w:rPr>
                <w:rFonts w:ascii="Calibri" w:eastAsia="MS PGothic" w:hAnsi="Calibri" w:cs="MS PGothic"/>
                <w:b/>
                <w:color w:val="000000"/>
                <w:sz w:val="24"/>
                <w:szCs w:val="24"/>
                <w:u w:val="single"/>
                <w:lang w:eastAsia="ja-JP"/>
              </w:rPr>
            </w:pPr>
            <w:r w:rsidRPr="007D46A9">
              <w:rPr>
                <w:rFonts w:ascii="Calibri" w:eastAsia="MS PGothic" w:hAnsi="Calibri" w:cs="MS PGothic"/>
                <w:b/>
                <w:color w:val="000000"/>
                <w:sz w:val="24"/>
                <w:szCs w:val="24"/>
                <w:u w:val="single"/>
                <w:lang w:eastAsia="ja-JP"/>
              </w:rPr>
              <w:t>GDP growth</w:t>
            </w:r>
          </w:p>
        </w:tc>
        <w:tc>
          <w:tcPr>
            <w:tcW w:w="3852" w:type="dxa"/>
            <w:gridSpan w:val="3"/>
            <w:vMerge w:val="restart"/>
            <w:tcBorders>
              <w:top w:val="nil"/>
              <w:left w:val="nil"/>
            </w:tcBorders>
            <w:shd w:val="clear" w:color="000000" w:fill="FFFFFF"/>
            <w:vAlign w:val="bottom"/>
            <w:hideMark/>
          </w:tcPr>
          <w:p w:rsidR="005D142C" w:rsidRPr="007D46A9" w:rsidRDefault="007B36C5" w:rsidP="008771D1">
            <w:pPr>
              <w:spacing w:after="0" w:line="240" w:lineRule="auto"/>
              <w:rPr>
                <w:rFonts w:ascii="Calibri" w:eastAsia="MS PGothic" w:hAnsi="Calibri" w:cs="MS PGothic"/>
                <w:color w:val="000000"/>
                <w:sz w:val="24"/>
                <w:szCs w:val="24"/>
                <w:lang w:eastAsia="ja-JP"/>
              </w:rPr>
            </w:pPr>
            <w:r w:rsidRPr="007D46A9">
              <w:rPr>
                <w:rFonts w:ascii="Calibri" w:eastAsia="MS PGothic" w:hAnsi="Calibri" w:cs="MS PGothic"/>
                <w:b/>
                <w:bCs/>
                <w:color w:val="000000"/>
                <w:sz w:val="24"/>
                <w:szCs w:val="24"/>
                <w:lang w:eastAsia="ja-JP"/>
              </w:rPr>
              <w:t>Focus of release</w:t>
            </w:r>
            <w:r w:rsidRPr="007D46A9">
              <w:rPr>
                <w:rFonts w:ascii="Calibri" w:eastAsia="MS PGothic" w:hAnsi="Calibri" w:cs="MS PGothic"/>
                <w:color w:val="000000"/>
                <w:sz w:val="24"/>
                <w:szCs w:val="24"/>
                <w:lang w:eastAsia="ja-JP"/>
              </w:rPr>
              <w:t xml:space="preserve"> </w:t>
            </w:r>
          </w:p>
          <w:p w:rsidR="007B36C5" w:rsidRPr="007D46A9" w:rsidRDefault="007B36C5" w:rsidP="008771D1">
            <w:pPr>
              <w:spacing w:after="0" w:line="240" w:lineRule="auto"/>
              <w:rPr>
                <w:rFonts w:ascii="Calibri" w:eastAsia="MS PGothic" w:hAnsi="Calibri" w:cs="MS PGothic"/>
                <w:b/>
                <w:bCs/>
                <w:color w:val="000000"/>
                <w:sz w:val="24"/>
                <w:szCs w:val="24"/>
                <w:lang w:eastAsia="ja-JP"/>
              </w:rPr>
            </w:pPr>
            <w:r w:rsidRPr="007D46A9">
              <w:rPr>
                <w:rFonts w:ascii="Calibri" w:eastAsia="MS PGothic" w:hAnsi="Calibri" w:cs="MS PGothic"/>
                <w:color w:val="000000"/>
                <w:sz w:val="24"/>
                <w:szCs w:val="24"/>
                <w:lang w:eastAsia="ja-JP"/>
              </w:rPr>
              <w:t>(see below for definition)</w:t>
            </w:r>
          </w:p>
        </w:tc>
      </w:tr>
      <w:tr w:rsidR="007B36C5" w:rsidRPr="00476944" w:rsidTr="00ED118C">
        <w:trPr>
          <w:gridAfter w:val="4"/>
          <w:wAfter w:w="640" w:type="dxa"/>
          <w:trHeight w:val="300"/>
        </w:trPr>
        <w:tc>
          <w:tcPr>
            <w:tcW w:w="1099" w:type="dxa"/>
            <w:tcBorders>
              <w:top w:val="nil"/>
              <w:left w:val="nil"/>
              <w:bottom w:val="nil"/>
              <w:right w:val="nil"/>
            </w:tcBorders>
            <w:shd w:val="clear" w:color="000000" w:fill="FFFFFF"/>
            <w:noWrap/>
            <w:vAlign w:val="bottom"/>
            <w:hideMark/>
          </w:tcPr>
          <w:p w:rsidR="007B36C5" w:rsidRPr="00476944" w:rsidRDefault="007B36C5"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tc>
        <w:tc>
          <w:tcPr>
            <w:tcW w:w="3769" w:type="dxa"/>
            <w:tcBorders>
              <w:top w:val="nil"/>
              <w:left w:val="nil"/>
              <w:bottom w:val="single" w:sz="4" w:space="0" w:color="auto"/>
              <w:right w:val="nil"/>
            </w:tcBorders>
            <w:shd w:val="clear" w:color="000000" w:fill="FFFFFF"/>
            <w:noWrap/>
            <w:vAlign w:val="bottom"/>
            <w:hideMark/>
          </w:tcPr>
          <w:p w:rsidR="007B36C5" w:rsidRPr="00476944" w:rsidRDefault="007B36C5" w:rsidP="008771D1">
            <w:pPr>
              <w:spacing w:after="0" w:line="240" w:lineRule="auto"/>
              <w:jc w:val="center"/>
              <w:rPr>
                <w:rFonts w:ascii="Calibri" w:eastAsia="MS PGothic" w:hAnsi="Calibri" w:cs="MS PGothic"/>
                <w:b/>
                <w:bCs/>
                <w:color w:val="000000"/>
                <w:lang w:eastAsia="ja-JP"/>
              </w:rPr>
            </w:pPr>
            <w:r w:rsidRPr="00476944">
              <w:rPr>
                <w:rFonts w:ascii="Calibri" w:eastAsia="MS PGothic" w:hAnsi="Calibri" w:cs="MS PGothic"/>
                <w:b/>
                <w:bCs/>
                <w:color w:val="000000"/>
                <w:lang w:eastAsia="ja-JP"/>
              </w:rPr>
              <w:t xml:space="preserve">　</w:t>
            </w:r>
          </w:p>
        </w:tc>
        <w:tc>
          <w:tcPr>
            <w:tcW w:w="3852" w:type="dxa"/>
            <w:gridSpan w:val="3"/>
            <w:vMerge/>
            <w:tcBorders>
              <w:left w:val="nil"/>
              <w:bottom w:val="single" w:sz="4" w:space="0" w:color="auto"/>
            </w:tcBorders>
            <w:vAlign w:val="center"/>
            <w:hideMark/>
          </w:tcPr>
          <w:p w:rsidR="007B36C5" w:rsidRPr="00476944" w:rsidRDefault="007B36C5" w:rsidP="008771D1">
            <w:pPr>
              <w:spacing w:after="0" w:line="240" w:lineRule="auto"/>
              <w:rPr>
                <w:rFonts w:ascii="Calibri" w:eastAsia="MS PGothic" w:hAnsi="Calibri" w:cs="MS PGothic"/>
                <w:b/>
                <w:bCs/>
                <w:color w:val="000000"/>
                <w:lang w:eastAsia="ja-JP"/>
              </w:rPr>
            </w:pPr>
          </w:p>
        </w:tc>
      </w:tr>
      <w:tr w:rsidR="007B36C5" w:rsidRPr="00476944" w:rsidTr="00ED118C">
        <w:trPr>
          <w:gridAfter w:val="4"/>
          <w:wAfter w:w="640" w:type="dxa"/>
          <w:trHeight w:val="863"/>
        </w:trPr>
        <w:tc>
          <w:tcPr>
            <w:tcW w:w="1099" w:type="dxa"/>
            <w:tcBorders>
              <w:top w:val="nil"/>
              <w:left w:val="nil"/>
              <w:bottom w:val="single" w:sz="4" w:space="0" w:color="auto"/>
              <w:right w:val="single" w:sz="4" w:space="0" w:color="auto"/>
            </w:tcBorders>
            <w:shd w:val="clear" w:color="000000" w:fill="FFFFFF"/>
            <w:noWrap/>
            <w:vAlign w:val="bottom"/>
            <w:hideMark/>
          </w:tcPr>
          <w:p w:rsidR="007B36C5" w:rsidRPr="00476944" w:rsidRDefault="007B36C5"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tc>
        <w:tc>
          <w:tcPr>
            <w:tcW w:w="3769" w:type="dxa"/>
            <w:tcBorders>
              <w:top w:val="nil"/>
              <w:left w:val="nil"/>
              <w:bottom w:val="nil"/>
              <w:right w:val="nil"/>
            </w:tcBorders>
            <w:shd w:val="clear" w:color="000000" w:fill="FFFFFF"/>
            <w:vAlign w:val="bottom"/>
            <w:hideMark/>
          </w:tcPr>
          <w:p w:rsidR="007B36C5" w:rsidRPr="00476944" w:rsidRDefault="007B36C5"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Country and Release Agency</w:t>
            </w:r>
          </w:p>
        </w:tc>
        <w:tc>
          <w:tcPr>
            <w:tcW w:w="1489" w:type="dxa"/>
            <w:tcBorders>
              <w:top w:val="nil"/>
              <w:left w:val="double" w:sz="6" w:space="0" w:color="auto"/>
              <w:bottom w:val="nil"/>
              <w:right w:val="single" w:sz="4" w:space="0" w:color="auto"/>
            </w:tcBorders>
            <w:shd w:val="clear" w:color="000000" w:fill="FFFFFF"/>
            <w:vAlign w:val="bottom"/>
            <w:hideMark/>
          </w:tcPr>
          <w:p w:rsidR="007B36C5" w:rsidRPr="00476944" w:rsidRDefault="007B36C5"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G</w:t>
            </w:r>
            <w:r w:rsidRPr="00476944">
              <w:rPr>
                <w:rFonts w:ascii="Calibri" w:eastAsia="MS PGothic" w:hAnsi="Calibri" w:cs="MS PGothic"/>
                <w:color w:val="000000"/>
                <w:lang w:eastAsia="ja-JP"/>
              </w:rPr>
              <w:t>overnment agency</w:t>
            </w:r>
            <w:r>
              <w:rPr>
                <w:rFonts w:ascii="Calibri" w:eastAsia="MS PGothic" w:hAnsi="Calibri" w:cs="MS PGothic"/>
                <w:color w:val="000000"/>
                <w:lang w:eastAsia="ja-JP"/>
              </w:rPr>
              <w:t xml:space="preserve"> release</w:t>
            </w:r>
          </w:p>
        </w:tc>
        <w:tc>
          <w:tcPr>
            <w:tcW w:w="1187" w:type="dxa"/>
            <w:tcBorders>
              <w:top w:val="nil"/>
              <w:left w:val="nil"/>
              <w:bottom w:val="nil"/>
              <w:right w:val="nil"/>
            </w:tcBorders>
            <w:shd w:val="clear" w:color="000000" w:fill="FFFFFF"/>
            <w:noWrap/>
            <w:vAlign w:val="center"/>
            <w:hideMark/>
          </w:tcPr>
          <w:p w:rsidR="007B36C5" w:rsidRPr="00476944" w:rsidRDefault="007B36C5" w:rsidP="00B93606">
            <w:pPr>
              <w:spacing w:after="0" w:line="240" w:lineRule="auto"/>
              <w:jc w:val="both"/>
              <w:rPr>
                <w:rFonts w:ascii="Calibri" w:eastAsia="MS PGothic" w:hAnsi="Calibri" w:cs="MS PGothic"/>
                <w:color w:val="000000"/>
                <w:lang w:eastAsia="ja-JP"/>
              </w:rPr>
            </w:pPr>
            <w:r w:rsidRPr="00476944">
              <w:rPr>
                <w:rFonts w:ascii="Calibri" w:eastAsia="MS PGothic" w:hAnsi="Calibri" w:cs="MS PGothic"/>
                <w:color w:val="000000"/>
                <w:lang w:eastAsia="ja-JP"/>
              </w:rPr>
              <w:t>Bloomberg</w:t>
            </w:r>
          </w:p>
        </w:tc>
        <w:tc>
          <w:tcPr>
            <w:tcW w:w="1176" w:type="dxa"/>
            <w:tcBorders>
              <w:top w:val="nil"/>
              <w:left w:val="nil"/>
              <w:bottom w:val="nil"/>
              <w:right w:val="single" w:sz="4" w:space="0" w:color="auto"/>
            </w:tcBorders>
            <w:shd w:val="clear" w:color="000000" w:fill="FFFFFF"/>
            <w:noWrap/>
            <w:vAlign w:val="bottom"/>
            <w:hideMark/>
          </w:tcPr>
          <w:p w:rsidR="007B36C5" w:rsidRDefault="007B36C5"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Reuters</w:t>
            </w:r>
          </w:p>
          <w:p w:rsidR="00CC2106" w:rsidRPr="00476944" w:rsidRDefault="00CC2106" w:rsidP="008771D1">
            <w:pPr>
              <w:spacing w:after="0" w:line="240" w:lineRule="auto"/>
              <w:jc w:val="center"/>
              <w:rPr>
                <w:rFonts w:ascii="Calibri" w:eastAsia="MS PGothic" w:hAnsi="Calibri" w:cs="MS PGothic"/>
                <w:color w:val="000000"/>
                <w:lang w:eastAsia="ja-JP"/>
              </w:rPr>
            </w:pPr>
          </w:p>
        </w:tc>
      </w:tr>
      <w:tr w:rsidR="00DC4AAC" w:rsidRPr="00476944" w:rsidTr="00ED118C">
        <w:trPr>
          <w:gridAfter w:val="4"/>
          <w:wAfter w:w="640" w:type="dxa"/>
          <w:trHeight w:val="300"/>
        </w:trPr>
        <w:tc>
          <w:tcPr>
            <w:tcW w:w="1099" w:type="dxa"/>
            <w:vMerge w:val="restart"/>
            <w:tcBorders>
              <w:top w:val="nil"/>
              <w:left w:val="single" w:sz="4" w:space="0" w:color="auto"/>
              <w:right w:val="nil"/>
            </w:tcBorders>
            <w:shd w:val="clear" w:color="000000" w:fill="FFFFFF"/>
            <w:noWrap/>
            <w:vAlign w:val="bottom"/>
            <w:hideMark/>
          </w:tcPr>
          <w:p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America</w:t>
            </w:r>
          </w:p>
          <w:p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p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p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tc>
        <w:tc>
          <w:tcPr>
            <w:tcW w:w="3769" w:type="dxa"/>
            <w:tcBorders>
              <w:top w:val="single" w:sz="4" w:space="0" w:color="auto"/>
              <w:left w:val="single" w:sz="4" w:space="0" w:color="auto"/>
              <w:bottom w:val="nil"/>
              <w:right w:val="nil"/>
            </w:tcBorders>
            <w:shd w:val="clear" w:color="000000" w:fill="FFFFFF"/>
            <w:noWrap/>
            <w:vAlign w:val="bottom"/>
            <w:hideMark/>
          </w:tcPr>
          <w:p w:rsidR="00DC4AAC" w:rsidRPr="00476944" w:rsidRDefault="00A034D9" w:rsidP="008771D1">
            <w:pPr>
              <w:spacing w:after="0" w:line="240" w:lineRule="auto"/>
              <w:rPr>
                <w:rFonts w:ascii="Calibri" w:eastAsia="MS PGothic" w:hAnsi="Calibri" w:cs="MS PGothic"/>
                <w:color w:val="0000FF"/>
                <w:u w:val="single"/>
                <w:lang w:eastAsia="ja-JP"/>
              </w:rPr>
            </w:pPr>
            <w:hyperlink r:id="rId36" w:history="1">
              <w:r w:rsidR="00DC4AAC" w:rsidRPr="00476944">
                <w:rPr>
                  <w:rFonts w:ascii="Calibri" w:eastAsia="MS PGothic" w:hAnsi="Calibri" w:cs="MS PGothic"/>
                  <w:color w:val="0000FF"/>
                  <w:u w:val="single"/>
                  <w:lang w:eastAsia="ja-JP"/>
                </w:rPr>
                <w:t>USA (BLS)</w:t>
              </w:r>
            </w:hyperlink>
          </w:p>
        </w:tc>
        <w:tc>
          <w:tcPr>
            <w:tcW w:w="1489" w:type="dxa"/>
            <w:tcBorders>
              <w:top w:val="single" w:sz="4" w:space="0" w:color="auto"/>
              <w:left w:val="double" w:sz="6" w:space="0" w:color="auto"/>
              <w:bottom w:val="nil"/>
              <w:right w:val="single" w:sz="4" w:space="0" w:color="auto"/>
            </w:tcBorders>
            <w:shd w:val="clear" w:color="000000" w:fill="FFFFFF"/>
            <w:noWrap/>
            <w:vAlign w:val="bottom"/>
            <w:hideMark/>
          </w:tcPr>
          <w:p w:rsidR="00DC4AAC" w:rsidRPr="00476944" w:rsidRDefault="00DC4AAC" w:rsidP="00CF043C">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r w:rsidRPr="001031BA">
              <w:rPr>
                <w:rFonts w:ascii="Calibri" w:eastAsia="Times New Roman" w:hAnsi="Calibri" w:cs="Times New Roman"/>
                <w:color w:val="000000"/>
                <w:sz w:val="20"/>
                <w:szCs w:val="20"/>
              </w:rPr>
              <w:t>†</w:t>
            </w:r>
          </w:p>
        </w:tc>
        <w:tc>
          <w:tcPr>
            <w:tcW w:w="1187" w:type="dxa"/>
            <w:tcBorders>
              <w:top w:val="single" w:sz="4" w:space="0" w:color="auto"/>
              <w:left w:val="nil"/>
              <w:bottom w:val="nil"/>
              <w:right w:val="nil"/>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r w:rsidRPr="001031BA">
              <w:rPr>
                <w:rFonts w:ascii="Calibri" w:eastAsia="Times New Roman" w:hAnsi="Calibri" w:cs="Times New Roman"/>
                <w:color w:val="000000"/>
                <w:sz w:val="20"/>
                <w:szCs w:val="20"/>
              </w:rPr>
              <w:t>†</w:t>
            </w:r>
          </w:p>
        </w:tc>
        <w:tc>
          <w:tcPr>
            <w:tcW w:w="1176" w:type="dxa"/>
            <w:tcBorders>
              <w:top w:val="single" w:sz="4" w:space="0" w:color="auto"/>
              <w:left w:val="nil"/>
              <w:bottom w:val="nil"/>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r w:rsidRPr="001031BA">
              <w:rPr>
                <w:rFonts w:ascii="Calibri" w:eastAsia="Times New Roman" w:hAnsi="Calibri" w:cs="Times New Roman"/>
                <w:color w:val="000000"/>
                <w:sz w:val="20"/>
                <w:szCs w:val="20"/>
              </w:rPr>
              <w:t>†</w:t>
            </w:r>
          </w:p>
        </w:tc>
      </w:tr>
      <w:tr w:rsidR="00DC4AAC" w:rsidRPr="00476944" w:rsidTr="00ED118C">
        <w:trPr>
          <w:gridAfter w:val="4"/>
          <w:wAfter w:w="640" w:type="dxa"/>
          <w:trHeight w:val="345"/>
        </w:trPr>
        <w:tc>
          <w:tcPr>
            <w:tcW w:w="1099" w:type="dxa"/>
            <w:vMerge/>
            <w:tcBorders>
              <w:left w:val="single" w:sz="4" w:space="0" w:color="auto"/>
              <w:right w:val="nil"/>
            </w:tcBorders>
            <w:shd w:val="clear" w:color="000000" w:fill="FFFFFF"/>
            <w:noWrap/>
            <w:vAlign w:val="bottom"/>
            <w:hideMark/>
          </w:tcPr>
          <w:p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vAlign w:val="bottom"/>
            <w:hideMark/>
          </w:tcPr>
          <w:p w:rsidR="00DC4AAC" w:rsidRPr="00476944" w:rsidRDefault="00A034D9" w:rsidP="008771D1">
            <w:pPr>
              <w:spacing w:after="0" w:line="240" w:lineRule="auto"/>
              <w:rPr>
                <w:rFonts w:ascii="Calibri" w:eastAsia="MS PGothic" w:hAnsi="Calibri" w:cs="MS PGothic"/>
                <w:color w:val="0000FF"/>
                <w:u w:val="single"/>
                <w:lang w:eastAsia="ja-JP"/>
              </w:rPr>
            </w:pPr>
            <w:hyperlink r:id="rId37" w:history="1">
              <w:r w:rsidR="00DC4AAC" w:rsidRPr="00476944">
                <w:rPr>
                  <w:rFonts w:ascii="Calibri" w:eastAsia="MS PGothic" w:hAnsi="Calibri" w:cs="MS PGothic"/>
                  <w:color w:val="0000FF"/>
                  <w:u w:val="single"/>
                  <w:lang w:eastAsia="ja-JP"/>
                </w:rPr>
                <w:t>Canada (Stat Canada)</w:t>
              </w:r>
            </w:hyperlink>
          </w:p>
        </w:tc>
        <w:tc>
          <w:tcPr>
            <w:tcW w:w="1489" w:type="dxa"/>
            <w:tcBorders>
              <w:top w:val="nil"/>
              <w:left w:val="double" w:sz="6" w:space="0" w:color="auto"/>
              <w:bottom w:val="nil"/>
              <w:right w:val="single" w:sz="4" w:space="0" w:color="auto"/>
            </w:tcBorders>
            <w:shd w:val="clear" w:color="000000" w:fill="FFFFFF"/>
            <w:vAlign w:val="bottom"/>
            <w:hideMark/>
          </w:tcPr>
          <w:p w:rsidR="00DC4AAC" w:rsidRPr="00476944" w:rsidRDefault="00DC4AAC" w:rsidP="00EB781E">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5</w:t>
            </w:r>
            <w:r>
              <w:rPr>
                <w:rFonts w:ascii="Calibri" w:eastAsia="MS PGothic" w:hAnsi="Calibri" w:cs="MS PGothic"/>
                <w:color w:val="000000"/>
                <w:vertAlign w:val="superscript"/>
                <w:lang w:eastAsia="ja-JP"/>
              </w:rPr>
              <w:t>#</w:t>
            </w:r>
          </w:p>
        </w:tc>
        <w:tc>
          <w:tcPr>
            <w:tcW w:w="1187" w:type="dxa"/>
            <w:tcBorders>
              <w:top w:val="nil"/>
              <w:left w:val="nil"/>
              <w:bottom w:val="nil"/>
              <w:right w:val="nil"/>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r w:rsidRPr="001031BA">
              <w:rPr>
                <w:rFonts w:ascii="Calibri" w:eastAsia="Times New Roman" w:hAnsi="Calibri" w:cs="Times New Roman"/>
                <w:color w:val="000000"/>
                <w:sz w:val="20"/>
                <w:szCs w:val="20"/>
              </w:rPr>
              <w:t>†</w:t>
            </w:r>
          </w:p>
        </w:tc>
        <w:tc>
          <w:tcPr>
            <w:tcW w:w="1176" w:type="dxa"/>
            <w:tcBorders>
              <w:top w:val="nil"/>
              <w:left w:val="nil"/>
              <w:bottom w:val="nil"/>
              <w:right w:val="single" w:sz="4" w:space="0" w:color="auto"/>
            </w:tcBorders>
            <w:shd w:val="clear" w:color="000000" w:fill="FFFFFF"/>
            <w:noWrap/>
            <w:vAlign w:val="bottom"/>
            <w:hideMark/>
          </w:tcPr>
          <w:p w:rsidR="00DC4AAC" w:rsidRPr="00476944" w:rsidRDefault="00DC4AAC" w:rsidP="00CF043C">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r w:rsidRPr="001031BA">
              <w:rPr>
                <w:rFonts w:ascii="Calibri" w:eastAsia="Times New Roman" w:hAnsi="Calibri" w:cs="Times New Roman"/>
                <w:color w:val="000000"/>
                <w:sz w:val="20"/>
                <w:szCs w:val="20"/>
              </w:rPr>
              <w:t>†</w:t>
            </w:r>
          </w:p>
        </w:tc>
      </w:tr>
      <w:tr w:rsidR="00DC4AAC" w:rsidRPr="00476944" w:rsidTr="00ED118C">
        <w:trPr>
          <w:gridAfter w:val="4"/>
          <w:wAfter w:w="640" w:type="dxa"/>
          <w:trHeight w:val="300"/>
        </w:trPr>
        <w:tc>
          <w:tcPr>
            <w:tcW w:w="1099" w:type="dxa"/>
            <w:vMerge/>
            <w:tcBorders>
              <w:left w:val="single" w:sz="4" w:space="0" w:color="auto"/>
              <w:right w:val="nil"/>
            </w:tcBorders>
            <w:shd w:val="clear" w:color="000000" w:fill="FFFFFF"/>
            <w:noWrap/>
            <w:vAlign w:val="bottom"/>
            <w:hideMark/>
          </w:tcPr>
          <w:p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noWrap/>
            <w:vAlign w:val="bottom"/>
            <w:hideMark/>
          </w:tcPr>
          <w:p w:rsidR="00DC4AAC" w:rsidRPr="00476944" w:rsidRDefault="00A034D9" w:rsidP="00735EA1">
            <w:pPr>
              <w:spacing w:after="0" w:line="240" w:lineRule="auto"/>
              <w:rPr>
                <w:rFonts w:ascii="Calibri" w:eastAsia="MS PGothic" w:hAnsi="Calibri" w:cs="MS PGothic"/>
                <w:color w:val="0000FF"/>
                <w:u w:val="single"/>
                <w:lang w:eastAsia="ja-JP"/>
              </w:rPr>
            </w:pPr>
            <w:hyperlink r:id="rId38" w:history="1">
              <w:r w:rsidR="00DC4AAC" w:rsidRPr="00476944">
                <w:rPr>
                  <w:rFonts w:ascii="Calibri" w:eastAsia="MS PGothic" w:hAnsi="Calibri" w:cs="MS PGothic"/>
                  <w:color w:val="0000FF"/>
                  <w:u w:val="single"/>
                  <w:lang w:eastAsia="ja-JP"/>
                </w:rPr>
                <w:t>Mexico (</w:t>
              </w:r>
              <w:r w:rsidR="00DC4AAC">
                <w:rPr>
                  <w:rFonts w:ascii="Calibri" w:eastAsia="MS PGothic" w:hAnsi="Calibri" w:cs="MS PGothic"/>
                  <w:color w:val="0000FF"/>
                  <w:u w:val="single"/>
                  <w:lang w:eastAsia="ja-JP"/>
                </w:rPr>
                <w:t>INEIG)</w:t>
              </w:r>
            </w:hyperlink>
          </w:p>
        </w:tc>
        <w:tc>
          <w:tcPr>
            <w:tcW w:w="1489" w:type="dxa"/>
            <w:tcBorders>
              <w:top w:val="nil"/>
              <w:left w:val="double" w:sz="6" w:space="0" w:color="auto"/>
              <w:bottom w:val="nil"/>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1</w:t>
            </w:r>
          </w:p>
        </w:tc>
        <w:tc>
          <w:tcPr>
            <w:tcW w:w="1187" w:type="dxa"/>
            <w:tcBorders>
              <w:top w:val="nil"/>
              <w:left w:val="nil"/>
              <w:bottom w:val="nil"/>
              <w:right w:val="nil"/>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4</w:t>
            </w:r>
          </w:p>
        </w:tc>
      </w:tr>
      <w:tr w:rsidR="00DC4AAC" w:rsidRPr="00476944" w:rsidTr="00ED118C">
        <w:trPr>
          <w:gridAfter w:val="4"/>
          <w:wAfter w:w="640" w:type="dxa"/>
          <w:trHeight w:val="300"/>
        </w:trPr>
        <w:tc>
          <w:tcPr>
            <w:tcW w:w="1099" w:type="dxa"/>
            <w:vMerge/>
            <w:tcBorders>
              <w:left w:val="single" w:sz="4" w:space="0" w:color="auto"/>
              <w:bottom w:val="nil"/>
              <w:right w:val="nil"/>
            </w:tcBorders>
            <w:shd w:val="clear" w:color="000000" w:fill="FFFFFF"/>
            <w:noWrap/>
            <w:vAlign w:val="bottom"/>
            <w:hideMark/>
          </w:tcPr>
          <w:p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single" w:sz="4" w:space="0" w:color="auto"/>
              <w:right w:val="nil"/>
            </w:tcBorders>
            <w:shd w:val="clear" w:color="000000" w:fill="FFFFFF"/>
            <w:noWrap/>
            <w:vAlign w:val="bottom"/>
            <w:hideMark/>
          </w:tcPr>
          <w:p w:rsidR="00DC4AAC" w:rsidRPr="00476944" w:rsidRDefault="00A034D9" w:rsidP="008771D1">
            <w:pPr>
              <w:spacing w:after="0" w:line="240" w:lineRule="auto"/>
              <w:rPr>
                <w:rFonts w:ascii="Calibri" w:eastAsia="MS PGothic" w:hAnsi="Calibri" w:cs="MS PGothic"/>
                <w:color w:val="0000FF"/>
                <w:u w:val="single"/>
                <w:lang w:eastAsia="ja-JP"/>
              </w:rPr>
            </w:pPr>
            <w:hyperlink r:id="rId39" w:history="1">
              <w:r w:rsidR="00DC4AAC" w:rsidRPr="00476944">
                <w:rPr>
                  <w:rFonts w:ascii="Calibri" w:eastAsia="MS PGothic" w:hAnsi="Calibri" w:cs="MS PGothic"/>
                  <w:color w:val="0000FF"/>
                  <w:u w:val="single"/>
                  <w:lang w:eastAsia="ja-JP"/>
                </w:rPr>
                <w:t>Brazil (Statistics Portal Brazil)</w:t>
              </w:r>
            </w:hyperlink>
          </w:p>
        </w:tc>
        <w:tc>
          <w:tcPr>
            <w:tcW w:w="1489" w:type="dxa"/>
            <w:tcBorders>
              <w:top w:val="nil"/>
              <w:left w:val="double" w:sz="6" w:space="0" w:color="auto"/>
              <w:bottom w:val="single" w:sz="4" w:space="0" w:color="auto"/>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2</w:t>
            </w:r>
          </w:p>
        </w:tc>
        <w:tc>
          <w:tcPr>
            <w:tcW w:w="1187" w:type="dxa"/>
            <w:tcBorders>
              <w:top w:val="nil"/>
              <w:left w:val="nil"/>
              <w:bottom w:val="single" w:sz="4" w:space="0" w:color="auto"/>
              <w:right w:val="nil"/>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3</w:t>
            </w:r>
          </w:p>
        </w:tc>
        <w:tc>
          <w:tcPr>
            <w:tcW w:w="1176" w:type="dxa"/>
            <w:tcBorders>
              <w:top w:val="nil"/>
              <w:left w:val="nil"/>
              <w:bottom w:val="single" w:sz="4" w:space="0" w:color="auto"/>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r>
      <w:tr w:rsidR="00DC4AAC" w:rsidRPr="00476944" w:rsidTr="00ED118C">
        <w:trPr>
          <w:gridAfter w:val="4"/>
          <w:wAfter w:w="640" w:type="dxa"/>
          <w:trHeight w:val="300"/>
        </w:trPr>
        <w:tc>
          <w:tcPr>
            <w:tcW w:w="1099" w:type="dxa"/>
            <w:vMerge w:val="restart"/>
            <w:tcBorders>
              <w:top w:val="single" w:sz="4" w:space="0" w:color="auto"/>
              <w:left w:val="single" w:sz="4" w:space="0" w:color="auto"/>
              <w:right w:val="nil"/>
            </w:tcBorders>
            <w:shd w:val="clear" w:color="000000" w:fill="FFFFFF"/>
            <w:noWrap/>
            <w:vAlign w:val="bottom"/>
            <w:hideMark/>
          </w:tcPr>
          <w:p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Eurozone</w:t>
            </w:r>
          </w:p>
          <w:p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p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p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p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p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p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p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p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tc>
        <w:tc>
          <w:tcPr>
            <w:tcW w:w="3769" w:type="dxa"/>
            <w:tcBorders>
              <w:top w:val="nil"/>
              <w:left w:val="single" w:sz="4" w:space="0" w:color="auto"/>
              <w:bottom w:val="nil"/>
              <w:right w:val="nil"/>
            </w:tcBorders>
            <w:shd w:val="clear" w:color="000000" w:fill="FFFFFF"/>
            <w:noWrap/>
            <w:vAlign w:val="bottom"/>
            <w:hideMark/>
          </w:tcPr>
          <w:p w:rsidR="00DC4AAC" w:rsidRPr="00476944" w:rsidRDefault="00A034D9" w:rsidP="007909D3">
            <w:pPr>
              <w:spacing w:after="0" w:line="240" w:lineRule="auto"/>
              <w:rPr>
                <w:rFonts w:ascii="Calibri" w:eastAsia="MS PGothic" w:hAnsi="Calibri" w:cs="MS PGothic"/>
                <w:color w:val="0000FF"/>
                <w:u w:val="single"/>
                <w:lang w:eastAsia="ja-JP"/>
              </w:rPr>
            </w:pPr>
            <w:hyperlink r:id="rId40" w:history="1">
              <w:r w:rsidR="00DC4AAC" w:rsidRPr="00A544D5">
                <w:rPr>
                  <w:rStyle w:val="Hyperlink"/>
                  <w:rFonts w:ascii="Calibri" w:eastAsia="MS PGothic" w:hAnsi="Calibri" w:cs="MS PGothic"/>
                  <w:lang w:eastAsia="ja-JP"/>
                </w:rPr>
                <w:t>Belgium (Bank of Belgium)</w:t>
              </w:r>
            </w:hyperlink>
          </w:p>
        </w:tc>
        <w:tc>
          <w:tcPr>
            <w:tcW w:w="1489" w:type="dxa"/>
            <w:tcBorders>
              <w:top w:val="nil"/>
              <w:left w:val="double" w:sz="6" w:space="0" w:color="auto"/>
              <w:bottom w:val="nil"/>
              <w:right w:val="single" w:sz="4" w:space="0" w:color="auto"/>
            </w:tcBorders>
            <w:shd w:val="clear" w:color="000000" w:fill="FFFFFF"/>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1</w:t>
            </w:r>
          </w:p>
        </w:tc>
        <w:tc>
          <w:tcPr>
            <w:tcW w:w="1187" w:type="dxa"/>
            <w:tcBorders>
              <w:top w:val="nil"/>
              <w:left w:val="nil"/>
              <w:bottom w:val="nil"/>
              <w:right w:val="nil"/>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rsidR="00DC4AAC" w:rsidRPr="00173E76" w:rsidRDefault="00DC4AAC" w:rsidP="008771D1">
            <w:pPr>
              <w:spacing w:after="0" w:line="240" w:lineRule="auto"/>
              <w:jc w:val="center"/>
              <w:rPr>
                <w:rFonts w:ascii="Calibri" w:eastAsia="MS PGothic" w:hAnsi="Calibri" w:cs="MS PGothic"/>
                <w:color w:val="000000"/>
                <w:sz w:val="20"/>
                <w:szCs w:val="20"/>
                <w:lang w:eastAsia="ja-JP"/>
              </w:rPr>
            </w:pPr>
            <w:r>
              <w:rPr>
                <w:rFonts w:ascii="Calibri" w:eastAsia="MS PGothic" w:hAnsi="Calibri" w:cs="MS PGothic"/>
                <w:color w:val="000000"/>
                <w:sz w:val="18"/>
                <w:szCs w:val="18"/>
                <w:lang w:eastAsia="ja-JP"/>
              </w:rPr>
              <w:t>4</w:t>
            </w:r>
          </w:p>
        </w:tc>
      </w:tr>
      <w:tr w:rsidR="00DC4AAC" w:rsidRPr="00476944" w:rsidTr="00ED118C">
        <w:trPr>
          <w:gridAfter w:val="4"/>
          <w:wAfter w:w="640" w:type="dxa"/>
          <w:trHeight w:val="300"/>
        </w:trPr>
        <w:tc>
          <w:tcPr>
            <w:tcW w:w="1099" w:type="dxa"/>
            <w:vMerge/>
            <w:tcBorders>
              <w:left w:val="single" w:sz="4" w:space="0" w:color="auto"/>
              <w:right w:val="nil"/>
            </w:tcBorders>
            <w:shd w:val="clear" w:color="000000" w:fill="FFFFFF"/>
            <w:noWrap/>
            <w:vAlign w:val="bottom"/>
            <w:hideMark/>
          </w:tcPr>
          <w:p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noWrap/>
            <w:vAlign w:val="bottom"/>
            <w:hideMark/>
          </w:tcPr>
          <w:p w:rsidR="00DC4AAC" w:rsidRPr="00476944" w:rsidRDefault="00A034D9" w:rsidP="008771D1">
            <w:pPr>
              <w:spacing w:after="0" w:line="240" w:lineRule="auto"/>
              <w:rPr>
                <w:rFonts w:ascii="Calibri" w:eastAsia="MS PGothic" w:hAnsi="Calibri" w:cs="MS PGothic"/>
                <w:color w:val="0000FF"/>
                <w:u w:val="single"/>
                <w:lang w:eastAsia="ja-JP"/>
              </w:rPr>
            </w:pPr>
            <w:hyperlink r:id="rId41" w:history="1">
              <w:r w:rsidR="00DC4AAC" w:rsidRPr="00FE530A">
                <w:rPr>
                  <w:rStyle w:val="Hyperlink"/>
                  <w:rFonts w:ascii="Calibri" w:eastAsia="MS PGothic" w:hAnsi="Calibri" w:cs="MS PGothic"/>
                  <w:lang w:eastAsia="ja-JP"/>
                </w:rPr>
                <w:t>Finland (Stat Finland)</w:t>
              </w:r>
            </w:hyperlink>
          </w:p>
        </w:tc>
        <w:tc>
          <w:tcPr>
            <w:tcW w:w="1489" w:type="dxa"/>
            <w:tcBorders>
              <w:top w:val="nil"/>
              <w:left w:val="double" w:sz="6" w:space="0" w:color="auto"/>
              <w:bottom w:val="nil"/>
              <w:right w:val="single" w:sz="4" w:space="0" w:color="auto"/>
            </w:tcBorders>
            <w:shd w:val="clear" w:color="000000" w:fill="FFFFFF"/>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2</w:t>
            </w:r>
          </w:p>
        </w:tc>
        <w:tc>
          <w:tcPr>
            <w:tcW w:w="1187" w:type="dxa"/>
            <w:tcBorders>
              <w:top w:val="nil"/>
              <w:left w:val="nil"/>
              <w:bottom w:val="nil"/>
              <w:right w:val="nil"/>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4</w:t>
            </w:r>
          </w:p>
        </w:tc>
      </w:tr>
      <w:tr w:rsidR="00DC4AAC" w:rsidRPr="00476944" w:rsidTr="00ED118C">
        <w:trPr>
          <w:gridAfter w:val="4"/>
          <w:wAfter w:w="640" w:type="dxa"/>
          <w:trHeight w:val="300"/>
        </w:trPr>
        <w:tc>
          <w:tcPr>
            <w:tcW w:w="1099" w:type="dxa"/>
            <w:vMerge/>
            <w:tcBorders>
              <w:left w:val="single" w:sz="4" w:space="0" w:color="auto"/>
              <w:right w:val="nil"/>
            </w:tcBorders>
            <w:shd w:val="clear" w:color="000000" w:fill="FFFFFF"/>
            <w:noWrap/>
            <w:vAlign w:val="bottom"/>
            <w:hideMark/>
          </w:tcPr>
          <w:p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noWrap/>
            <w:vAlign w:val="bottom"/>
            <w:hideMark/>
          </w:tcPr>
          <w:p w:rsidR="00DC4AAC" w:rsidRPr="00476944" w:rsidRDefault="00A034D9" w:rsidP="008771D1">
            <w:pPr>
              <w:spacing w:after="0" w:line="240" w:lineRule="auto"/>
              <w:rPr>
                <w:rFonts w:ascii="Calibri" w:eastAsia="MS PGothic" w:hAnsi="Calibri" w:cs="MS PGothic"/>
                <w:color w:val="0000FF"/>
                <w:u w:val="single"/>
                <w:lang w:eastAsia="ja-JP"/>
              </w:rPr>
            </w:pPr>
            <w:hyperlink r:id="rId42" w:history="1">
              <w:r w:rsidR="00DC4AAC" w:rsidRPr="00476944">
                <w:rPr>
                  <w:rFonts w:ascii="Calibri" w:eastAsia="MS PGothic" w:hAnsi="Calibri" w:cs="MS PGothic"/>
                  <w:color w:val="0000FF"/>
                  <w:u w:val="single"/>
                  <w:lang w:eastAsia="ja-JP"/>
                </w:rPr>
                <w:t xml:space="preserve">France (INSEE) </w:t>
              </w:r>
            </w:hyperlink>
          </w:p>
        </w:tc>
        <w:tc>
          <w:tcPr>
            <w:tcW w:w="1489" w:type="dxa"/>
            <w:tcBorders>
              <w:top w:val="nil"/>
              <w:left w:val="double" w:sz="6" w:space="0" w:color="auto"/>
              <w:bottom w:val="nil"/>
              <w:right w:val="single" w:sz="4" w:space="0" w:color="auto"/>
            </w:tcBorders>
            <w:shd w:val="clear" w:color="000000" w:fill="FFFFFF"/>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87" w:type="dxa"/>
            <w:tcBorders>
              <w:top w:val="nil"/>
              <w:left w:val="nil"/>
              <w:bottom w:val="nil"/>
              <w:right w:val="nil"/>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r>
      <w:tr w:rsidR="00DC4AAC" w:rsidRPr="00476944" w:rsidTr="00ED118C">
        <w:trPr>
          <w:gridAfter w:val="4"/>
          <w:wAfter w:w="640" w:type="dxa"/>
          <w:trHeight w:val="300"/>
        </w:trPr>
        <w:tc>
          <w:tcPr>
            <w:tcW w:w="1099" w:type="dxa"/>
            <w:vMerge/>
            <w:tcBorders>
              <w:left w:val="single" w:sz="4" w:space="0" w:color="auto"/>
              <w:right w:val="nil"/>
            </w:tcBorders>
            <w:shd w:val="clear" w:color="000000" w:fill="FFFFFF"/>
            <w:noWrap/>
            <w:vAlign w:val="bottom"/>
            <w:hideMark/>
          </w:tcPr>
          <w:p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noWrap/>
            <w:vAlign w:val="bottom"/>
            <w:hideMark/>
          </w:tcPr>
          <w:p w:rsidR="00DC4AAC" w:rsidRPr="00476944" w:rsidRDefault="00A034D9" w:rsidP="008771D1">
            <w:pPr>
              <w:spacing w:after="0" w:line="240" w:lineRule="auto"/>
              <w:rPr>
                <w:rFonts w:ascii="Calibri" w:eastAsia="MS PGothic" w:hAnsi="Calibri" w:cs="MS PGothic"/>
                <w:color w:val="0000FF"/>
                <w:u w:val="single"/>
                <w:lang w:eastAsia="ja-JP"/>
              </w:rPr>
            </w:pPr>
            <w:hyperlink r:id="rId43" w:history="1">
              <w:r w:rsidR="00DC4AAC" w:rsidRPr="00476944">
                <w:rPr>
                  <w:rFonts w:ascii="Calibri" w:eastAsia="MS PGothic" w:hAnsi="Calibri" w:cs="MS PGothic"/>
                  <w:color w:val="0000FF"/>
                  <w:u w:val="single"/>
                  <w:lang w:eastAsia="ja-JP"/>
                </w:rPr>
                <w:t xml:space="preserve">Germany (Statistisches Bundesamt) </w:t>
              </w:r>
            </w:hyperlink>
          </w:p>
        </w:tc>
        <w:tc>
          <w:tcPr>
            <w:tcW w:w="1489" w:type="dxa"/>
            <w:tcBorders>
              <w:top w:val="nil"/>
              <w:left w:val="double" w:sz="6" w:space="0" w:color="auto"/>
              <w:bottom w:val="nil"/>
              <w:right w:val="single" w:sz="4" w:space="0" w:color="auto"/>
            </w:tcBorders>
            <w:shd w:val="clear" w:color="000000" w:fill="FFFFFF"/>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87" w:type="dxa"/>
            <w:tcBorders>
              <w:top w:val="nil"/>
              <w:left w:val="nil"/>
              <w:bottom w:val="nil"/>
              <w:right w:val="nil"/>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r>
      <w:tr w:rsidR="00DC4AAC" w:rsidRPr="00476944" w:rsidTr="00ED118C">
        <w:trPr>
          <w:gridAfter w:val="4"/>
          <w:wAfter w:w="640" w:type="dxa"/>
          <w:trHeight w:val="300"/>
        </w:trPr>
        <w:tc>
          <w:tcPr>
            <w:tcW w:w="1099" w:type="dxa"/>
            <w:vMerge/>
            <w:tcBorders>
              <w:left w:val="single" w:sz="4" w:space="0" w:color="auto"/>
              <w:right w:val="nil"/>
            </w:tcBorders>
            <w:shd w:val="clear" w:color="000000" w:fill="FFFFFF"/>
            <w:noWrap/>
            <w:vAlign w:val="bottom"/>
            <w:hideMark/>
          </w:tcPr>
          <w:p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noWrap/>
            <w:vAlign w:val="bottom"/>
            <w:hideMark/>
          </w:tcPr>
          <w:p w:rsidR="00DC4AAC" w:rsidRPr="00476944" w:rsidRDefault="00A034D9" w:rsidP="008771D1">
            <w:pPr>
              <w:spacing w:after="0" w:line="240" w:lineRule="auto"/>
              <w:rPr>
                <w:rFonts w:ascii="Calibri" w:eastAsia="MS PGothic" w:hAnsi="Calibri" w:cs="MS PGothic"/>
                <w:color w:val="0000FF"/>
                <w:u w:val="single"/>
                <w:lang w:eastAsia="ja-JP"/>
              </w:rPr>
            </w:pPr>
            <w:hyperlink r:id="rId44" w:history="1">
              <w:r w:rsidR="00DC4AAC" w:rsidRPr="00476944">
                <w:rPr>
                  <w:rFonts w:ascii="Calibri" w:eastAsia="MS PGothic" w:hAnsi="Calibri" w:cs="MS PGothic"/>
                  <w:color w:val="0000FF"/>
                  <w:u w:val="single"/>
                  <w:lang w:eastAsia="ja-JP"/>
                </w:rPr>
                <w:t xml:space="preserve">Ireland (Central Statistics Office) </w:t>
              </w:r>
            </w:hyperlink>
          </w:p>
        </w:tc>
        <w:tc>
          <w:tcPr>
            <w:tcW w:w="1489" w:type="dxa"/>
            <w:tcBorders>
              <w:top w:val="nil"/>
              <w:left w:val="double" w:sz="6" w:space="0" w:color="auto"/>
              <w:bottom w:val="nil"/>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87" w:type="dxa"/>
            <w:tcBorders>
              <w:top w:val="nil"/>
              <w:left w:val="nil"/>
              <w:bottom w:val="nil"/>
              <w:right w:val="nil"/>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r>
      <w:tr w:rsidR="00DC4AAC" w:rsidRPr="00476944" w:rsidTr="00ED118C">
        <w:trPr>
          <w:gridAfter w:val="4"/>
          <w:wAfter w:w="640" w:type="dxa"/>
          <w:trHeight w:val="300"/>
        </w:trPr>
        <w:tc>
          <w:tcPr>
            <w:tcW w:w="1099" w:type="dxa"/>
            <w:vMerge/>
            <w:tcBorders>
              <w:left w:val="single" w:sz="4" w:space="0" w:color="auto"/>
              <w:right w:val="nil"/>
            </w:tcBorders>
            <w:shd w:val="clear" w:color="000000" w:fill="FFFFFF"/>
            <w:noWrap/>
            <w:vAlign w:val="bottom"/>
            <w:hideMark/>
          </w:tcPr>
          <w:p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noWrap/>
            <w:vAlign w:val="bottom"/>
            <w:hideMark/>
          </w:tcPr>
          <w:p w:rsidR="00DC4AAC" w:rsidRPr="00476944" w:rsidRDefault="00A034D9" w:rsidP="008771D1">
            <w:pPr>
              <w:spacing w:after="0" w:line="240" w:lineRule="auto"/>
              <w:rPr>
                <w:rFonts w:ascii="Calibri" w:eastAsia="MS PGothic" w:hAnsi="Calibri" w:cs="MS PGothic"/>
                <w:color w:val="0000FF"/>
                <w:u w:val="single"/>
                <w:lang w:eastAsia="ja-JP"/>
              </w:rPr>
            </w:pPr>
            <w:hyperlink r:id="rId45" w:history="1">
              <w:r w:rsidR="00DC4AAC" w:rsidRPr="00476944">
                <w:rPr>
                  <w:rFonts w:ascii="Calibri" w:eastAsia="MS PGothic" w:hAnsi="Calibri" w:cs="MS PGothic"/>
                  <w:color w:val="0000FF"/>
                  <w:u w:val="single"/>
                  <w:lang w:eastAsia="ja-JP"/>
                </w:rPr>
                <w:t xml:space="preserve">Italy (Istituto Nazionale di Statistica) </w:t>
              </w:r>
            </w:hyperlink>
          </w:p>
        </w:tc>
        <w:tc>
          <w:tcPr>
            <w:tcW w:w="1489" w:type="dxa"/>
            <w:tcBorders>
              <w:top w:val="nil"/>
              <w:left w:val="double" w:sz="6" w:space="0" w:color="auto"/>
              <w:bottom w:val="nil"/>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4</w:t>
            </w:r>
          </w:p>
        </w:tc>
        <w:tc>
          <w:tcPr>
            <w:tcW w:w="1187" w:type="dxa"/>
            <w:tcBorders>
              <w:top w:val="nil"/>
              <w:left w:val="nil"/>
              <w:bottom w:val="nil"/>
              <w:right w:val="nil"/>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r>
      <w:tr w:rsidR="00DC4AAC" w:rsidRPr="00476944" w:rsidTr="00ED118C">
        <w:trPr>
          <w:gridAfter w:val="4"/>
          <w:wAfter w:w="640" w:type="dxa"/>
          <w:trHeight w:val="300"/>
        </w:trPr>
        <w:tc>
          <w:tcPr>
            <w:tcW w:w="1099" w:type="dxa"/>
            <w:vMerge/>
            <w:tcBorders>
              <w:left w:val="single" w:sz="4" w:space="0" w:color="auto"/>
              <w:right w:val="nil"/>
            </w:tcBorders>
            <w:shd w:val="clear" w:color="000000" w:fill="FFFFFF"/>
            <w:noWrap/>
            <w:vAlign w:val="bottom"/>
            <w:hideMark/>
          </w:tcPr>
          <w:p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noWrap/>
            <w:vAlign w:val="bottom"/>
            <w:hideMark/>
          </w:tcPr>
          <w:p w:rsidR="00DC4AAC" w:rsidRPr="00476944" w:rsidRDefault="00A034D9" w:rsidP="008771D1">
            <w:pPr>
              <w:spacing w:after="0" w:line="240" w:lineRule="auto"/>
              <w:rPr>
                <w:rFonts w:ascii="Calibri" w:eastAsia="MS PGothic" w:hAnsi="Calibri" w:cs="MS PGothic"/>
                <w:color w:val="0000FF"/>
                <w:u w:val="single"/>
                <w:lang w:val="nl-NL" w:eastAsia="ja-JP"/>
              </w:rPr>
            </w:pPr>
            <w:hyperlink r:id="rId46" w:history="1">
              <w:r w:rsidR="00DC4AAC" w:rsidRPr="00476944">
                <w:rPr>
                  <w:rFonts w:ascii="Calibri" w:eastAsia="MS PGothic" w:hAnsi="Calibri" w:cs="MS PGothic"/>
                  <w:color w:val="0000FF"/>
                  <w:u w:val="single"/>
                  <w:lang w:val="nl-NL" w:eastAsia="ja-JP"/>
                </w:rPr>
                <w:t>NL (Centraal Bureau voor de Statistiek)</w:t>
              </w:r>
            </w:hyperlink>
          </w:p>
        </w:tc>
        <w:tc>
          <w:tcPr>
            <w:tcW w:w="1489" w:type="dxa"/>
            <w:tcBorders>
              <w:top w:val="nil"/>
              <w:left w:val="double" w:sz="6" w:space="0" w:color="auto"/>
              <w:bottom w:val="nil"/>
              <w:right w:val="single" w:sz="4" w:space="0" w:color="auto"/>
            </w:tcBorders>
            <w:shd w:val="clear" w:color="000000" w:fill="FFFFFF"/>
            <w:noWrap/>
            <w:vAlign w:val="bottom"/>
            <w:hideMark/>
          </w:tcPr>
          <w:p w:rsidR="00DC4AAC" w:rsidRPr="00476944" w:rsidRDefault="00DC4AAC" w:rsidP="00246B3D">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4*</w:t>
            </w:r>
          </w:p>
        </w:tc>
        <w:tc>
          <w:tcPr>
            <w:tcW w:w="1187" w:type="dxa"/>
            <w:tcBorders>
              <w:top w:val="nil"/>
              <w:left w:val="nil"/>
              <w:bottom w:val="nil"/>
              <w:right w:val="nil"/>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5</w:t>
            </w:r>
          </w:p>
        </w:tc>
      </w:tr>
      <w:tr w:rsidR="00DC4AAC" w:rsidRPr="00476944" w:rsidTr="00ED118C">
        <w:trPr>
          <w:gridAfter w:val="4"/>
          <w:wAfter w:w="640" w:type="dxa"/>
          <w:trHeight w:val="300"/>
        </w:trPr>
        <w:tc>
          <w:tcPr>
            <w:tcW w:w="1099" w:type="dxa"/>
            <w:vMerge/>
            <w:tcBorders>
              <w:left w:val="single" w:sz="4" w:space="0" w:color="auto"/>
              <w:right w:val="nil"/>
            </w:tcBorders>
            <w:shd w:val="clear" w:color="000000" w:fill="FFFFFF"/>
            <w:noWrap/>
            <w:vAlign w:val="bottom"/>
            <w:hideMark/>
          </w:tcPr>
          <w:p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noWrap/>
            <w:vAlign w:val="bottom"/>
            <w:hideMark/>
          </w:tcPr>
          <w:p w:rsidR="00DC4AAC" w:rsidRPr="00476944" w:rsidRDefault="00A034D9" w:rsidP="008771D1">
            <w:pPr>
              <w:spacing w:after="0" w:line="240" w:lineRule="auto"/>
              <w:rPr>
                <w:rFonts w:ascii="Calibri" w:eastAsia="MS PGothic" w:hAnsi="Calibri" w:cs="MS PGothic"/>
                <w:color w:val="0000FF"/>
                <w:u w:val="single"/>
                <w:lang w:eastAsia="ja-JP"/>
              </w:rPr>
            </w:pPr>
            <w:hyperlink r:id="rId47" w:history="1">
              <w:r w:rsidR="00DC4AAC" w:rsidRPr="00476944">
                <w:rPr>
                  <w:rFonts w:ascii="Calibri" w:eastAsia="MS PGothic" w:hAnsi="Calibri" w:cs="MS PGothic"/>
                  <w:color w:val="0000FF"/>
                  <w:u w:val="single"/>
                  <w:lang w:eastAsia="ja-JP"/>
                </w:rPr>
                <w:t>Spain (Instituto Nacional de Estadistica)</w:t>
              </w:r>
            </w:hyperlink>
          </w:p>
        </w:tc>
        <w:tc>
          <w:tcPr>
            <w:tcW w:w="1489" w:type="dxa"/>
            <w:tcBorders>
              <w:top w:val="nil"/>
              <w:left w:val="double" w:sz="6" w:space="0" w:color="auto"/>
              <w:bottom w:val="nil"/>
              <w:right w:val="single" w:sz="4" w:space="0" w:color="auto"/>
            </w:tcBorders>
            <w:shd w:val="clear" w:color="000000" w:fill="FFFFFF"/>
            <w:noWrap/>
            <w:vAlign w:val="bottom"/>
            <w:hideMark/>
          </w:tcPr>
          <w:p w:rsidR="00DC4AAC" w:rsidRPr="00476944" w:rsidRDefault="00DC4AAC" w:rsidP="00014658">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2</w:t>
            </w:r>
          </w:p>
        </w:tc>
        <w:tc>
          <w:tcPr>
            <w:tcW w:w="1187" w:type="dxa"/>
            <w:tcBorders>
              <w:top w:val="nil"/>
              <w:left w:val="nil"/>
              <w:bottom w:val="nil"/>
              <w:right w:val="nil"/>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r>
      <w:tr w:rsidR="00DC4AAC" w:rsidRPr="00476944" w:rsidTr="00ED118C">
        <w:trPr>
          <w:gridAfter w:val="4"/>
          <w:wAfter w:w="640" w:type="dxa"/>
          <w:trHeight w:val="300"/>
        </w:trPr>
        <w:tc>
          <w:tcPr>
            <w:tcW w:w="1099" w:type="dxa"/>
            <w:vMerge/>
            <w:tcBorders>
              <w:left w:val="single" w:sz="4" w:space="0" w:color="auto"/>
              <w:bottom w:val="single" w:sz="4" w:space="0" w:color="auto"/>
              <w:right w:val="nil"/>
            </w:tcBorders>
            <w:shd w:val="clear" w:color="000000" w:fill="FFFFFF"/>
            <w:noWrap/>
            <w:vAlign w:val="bottom"/>
            <w:hideMark/>
          </w:tcPr>
          <w:p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single" w:sz="4" w:space="0" w:color="auto"/>
              <w:right w:val="nil"/>
            </w:tcBorders>
            <w:shd w:val="clear" w:color="000000" w:fill="FFFFFF"/>
            <w:noWrap/>
            <w:vAlign w:val="bottom"/>
            <w:hideMark/>
          </w:tcPr>
          <w:p w:rsidR="00DC4AAC" w:rsidRPr="00476944" w:rsidRDefault="00A034D9" w:rsidP="008771D1">
            <w:pPr>
              <w:spacing w:after="0" w:line="240" w:lineRule="auto"/>
              <w:rPr>
                <w:rFonts w:ascii="Calibri" w:eastAsia="MS PGothic" w:hAnsi="Calibri" w:cs="MS PGothic"/>
                <w:color w:val="0000FF"/>
                <w:u w:val="single"/>
                <w:lang w:eastAsia="ja-JP"/>
              </w:rPr>
            </w:pPr>
            <w:hyperlink r:id="rId48" w:history="1">
              <w:r w:rsidR="00DC4AAC" w:rsidRPr="00FE530A">
                <w:rPr>
                  <w:rStyle w:val="Hyperlink"/>
                  <w:rFonts w:ascii="Calibri" w:eastAsia="MS PGothic" w:hAnsi="Calibri" w:cs="MS PGothic"/>
                  <w:lang w:eastAsia="ja-JP"/>
                </w:rPr>
                <w:t>Eurozone (Eurostat)</w:t>
              </w:r>
            </w:hyperlink>
          </w:p>
        </w:tc>
        <w:tc>
          <w:tcPr>
            <w:tcW w:w="1489" w:type="dxa"/>
            <w:tcBorders>
              <w:top w:val="nil"/>
              <w:left w:val="double" w:sz="6" w:space="0" w:color="auto"/>
              <w:bottom w:val="single" w:sz="4" w:space="0" w:color="auto"/>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87" w:type="dxa"/>
            <w:tcBorders>
              <w:top w:val="nil"/>
              <w:left w:val="nil"/>
              <w:bottom w:val="single" w:sz="4" w:space="0" w:color="auto"/>
              <w:right w:val="nil"/>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single" w:sz="4" w:space="0" w:color="auto"/>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r>
      <w:tr w:rsidR="00DC4AAC" w:rsidRPr="00476944" w:rsidTr="00ED118C">
        <w:trPr>
          <w:gridAfter w:val="4"/>
          <w:wAfter w:w="640" w:type="dxa"/>
          <w:trHeight w:val="300"/>
        </w:trPr>
        <w:tc>
          <w:tcPr>
            <w:tcW w:w="1099" w:type="dxa"/>
            <w:vMerge w:val="restart"/>
            <w:tcBorders>
              <w:top w:val="nil"/>
              <w:left w:val="single" w:sz="4" w:space="0" w:color="auto"/>
              <w:right w:val="nil"/>
            </w:tcBorders>
            <w:shd w:val="clear" w:color="000000" w:fill="FFFFFF"/>
            <w:vAlign w:val="bottom"/>
            <w:hideMark/>
          </w:tcPr>
          <w:p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Non-Euro Europe</w:t>
            </w:r>
          </w:p>
          <w:p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p w:rsidR="00DC4AAC" w:rsidRPr="00476944" w:rsidRDefault="00DC4AAC" w:rsidP="008771D1">
            <w:pPr>
              <w:spacing w:after="0" w:line="240" w:lineRule="auto"/>
              <w:rPr>
                <w:rFonts w:ascii="Calibri" w:eastAsia="MS PGothic" w:hAnsi="Calibri" w:cs="MS PGothic"/>
                <w:color w:val="000000"/>
                <w:lang w:eastAsia="ja-JP"/>
              </w:rPr>
            </w:pPr>
            <w:r w:rsidRPr="00476944">
              <w:rPr>
                <w:rFonts w:ascii="Calibri" w:eastAsia="MS PGothic" w:hAnsi="Calibri" w:cs="MS PGothic"/>
                <w:color w:val="000000"/>
                <w:lang w:eastAsia="ja-JP"/>
              </w:rPr>
              <w:t xml:space="preserve">　</w:t>
            </w:r>
          </w:p>
        </w:tc>
        <w:tc>
          <w:tcPr>
            <w:tcW w:w="3769" w:type="dxa"/>
            <w:tcBorders>
              <w:top w:val="nil"/>
              <w:left w:val="single" w:sz="4" w:space="0" w:color="auto"/>
              <w:bottom w:val="nil"/>
              <w:right w:val="nil"/>
            </w:tcBorders>
            <w:shd w:val="clear" w:color="000000" w:fill="FFFFFF"/>
            <w:noWrap/>
            <w:vAlign w:val="bottom"/>
            <w:hideMark/>
          </w:tcPr>
          <w:p w:rsidR="00DC4AAC" w:rsidRPr="00476944" w:rsidRDefault="00A034D9" w:rsidP="008771D1">
            <w:pPr>
              <w:spacing w:after="0" w:line="240" w:lineRule="auto"/>
              <w:rPr>
                <w:rFonts w:ascii="Calibri" w:eastAsia="MS PGothic" w:hAnsi="Calibri" w:cs="MS PGothic"/>
                <w:color w:val="0000FF"/>
                <w:u w:val="single"/>
                <w:lang w:eastAsia="ja-JP"/>
              </w:rPr>
            </w:pPr>
            <w:hyperlink r:id="rId49" w:history="1">
              <w:r w:rsidR="00DC4AAC" w:rsidRPr="00476944">
                <w:rPr>
                  <w:rFonts w:ascii="Calibri" w:eastAsia="MS PGothic" w:hAnsi="Calibri" w:cs="MS PGothic"/>
                  <w:color w:val="0000FF"/>
                  <w:u w:val="single"/>
                  <w:lang w:eastAsia="ja-JP"/>
                </w:rPr>
                <w:t xml:space="preserve">Denmark (Danmarks Statistik) </w:t>
              </w:r>
            </w:hyperlink>
          </w:p>
        </w:tc>
        <w:tc>
          <w:tcPr>
            <w:tcW w:w="1489" w:type="dxa"/>
            <w:tcBorders>
              <w:top w:val="nil"/>
              <w:left w:val="double" w:sz="6" w:space="0" w:color="auto"/>
              <w:bottom w:val="nil"/>
              <w:right w:val="single" w:sz="4" w:space="0" w:color="auto"/>
            </w:tcBorders>
            <w:shd w:val="clear" w:color="000000" w:fill="FFFFFF"/>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87" w:type="dxa"/>
            <w:tcBorders>
              <w:top w:val="nil"/>
              <w:left w:val="nil"/>
              <w:bottom w:val="nil"/>
              <w:right w:val="nil"/>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4</w:t>
            </w:r>
          </w:p>
        </w:tc>
      </w:tr>
      <w:tr w:rsidR="00DC4AAC" w:rsidRPr="00476944" w:rsidTr="00ED118C">
        <w:trPr>
          <w:gridAfter w:val="4"/>
          <w:wAfter w:w="640" w:type="dxa"/>
          <w:trHeight w:val="300"/>
        </w:trPr>
        <w:tc>
          <w:tcPr>
            <w:tcW w:w="1099" w:type="dxa"/>
            <w:vMerge/>
            <w:tcBorders>
              <w:left w:val="single" w:sz="4" w:space="0" w:color="auto"/>
              <w:right w:val="nil"/>
            </w:tcBorders>
            <w:vAlign w:val="center"/>
            <w:hideMark/>
          </w:tcPr>
          <w:p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noWrap/>
            <w:vAlign w:val="bottom"/>
            <w:hideMark/>
          </w:tcPr>
          <w:p w:rsidR="00DC4AAC" w:rsidRPr="00476944" w:rsidRDefault="00A034D9" w:rsidP="008771D1">
            <w:pPr>
              <w:spacing w:after="0" w:line="240" w:lineRule="auto"/>
              <w:rPr>
                <w:rFonts w:ascii="Calibri" w:eastAsia="MS PGothic" w:hAnsi="Calibri" w:cs="MS PGothic"/>
                <w:color w:val="0000FF"/>
                <w:u w:val="single"/>
                <w:lang w:eastAsia="ja-JP"/>
              </w:rPr>
            </w:pPr>
            <w:hyperlink r:id="rId50" w:history="1">
              <w:r w:rsidR="00DC4AAC" w:rsidRPr="00476944">
                <w:rPr>
                  <w:rFonts w:ascii="Calibri" w:eastAsia="MS PGothic" w:hAnsi="Calibri" w:cs="MS PGothic"/>
                  <w:color w:val="0000FF"/>
                  <w:u w:val="single"/>
                  <w:lang w:eastAsia="ja-JP"/>
                </w:rPr>
                <w:t xml:space="preserve">Sweden (Statistics Sweden) </w:t>
              </w:r>
            </w:hyperlink>
          </w:p>
        </w:tc>
        <w:tc>
          <w:tcPr>
            <w:tcW w:w="1489" w:type="dxa"/>
            <w:tcBorders>
              <w:top w:val="nil"/>
              <w:left w:val="double" w:sz="6" w:space="0" w:color="auto"/>
              <w:bottom w:val="nil"/>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1</w:t>
            </w:r>
          </w:p>
        </w:tc>
        <w:tc>
          <w:tcPr>
            <w:tcW w:w="1187" w:type="dxa"/>
            <w:tcBorders>
              <w:top w:val="nil"/>
              <w:left w:val="nil"/>
              <w:bottom w:val="nil"/>
              <w:right w:val="nil"/>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3</w:t>
            </w:r>
          </w:p>
        </w:tc>
        <w:tc>
          <w:tcPr>
            <w:tcW w:w="1176" w:type="dxa"/>
            <w:tcBorders>
              <w:top w:val="nil"/>
              <w:left w:val="nil"/>
              <w:bottom w:val="nil"/>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r>
      <w:tr w:rsidR="00DC4AAC" w:rsidRPr="00476944" w:rsidTr="00ED118C">
        <w:trPr>
          <w:gridAfter w:val="4"/>
          <w:wAfter w:w="640" w:type="dxa"/>
          <w:trHeight w:val="300"/>
        </w:trPr>
        <w:tc>
          <w:tcPr>
            <w:tcW w:w="1099" w:type="dxa"/>
            <w:vMerge/>
            <w:tcBorders>
              <w:left w:val="single" w:sz="4" w:space="0" w:color="auto"/>
              <w:right w:val="nil"/>
            </w:tcBorders>
            <w:shd w:val="clear" w:color="000000" w:fill="FFFFFF"/>
            <w:noWrap/>
            <w:vAlign w:val="bottom"/>
            <w:hideMark/>
          </w:tcPr>
          <w:p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nil"/>
              <w:right w:val="nil"/>
            </w:tcBorders>
            <w:shd w:val="clear" w:color="000000" w:fill="FFFFFF"/>
            <w:noWrap/>
            <w:vAlign w:val="bottom"/>
            <w:hideMark/>
          </w:tcPr>
          <w:p w:rsidR="00DC4AAC" w:rsidRPr="00476944" w:rsidRDefault="00A034D9" w:rsidP="008771D1">
            <w:pPr>
              <w:spacing w:after="0" w:line="240" w:lineRule="auto"/>
              <w:rPr>
                <w:rFonts w:ascii="Calibri" w:eastAsia="MS PGothic" w:hAnsi="Calibri" w:cs="MS PGothic"/>
                <w:color w:val="0000FF"/>
                <w:u w:val="single"/>
                <w:lang w:eastAsia="ja-JP"/>
              </w:rPr>
            </w:pPr>
            <w:hyperlink r:id="rId51" w:history="1">
              <w:r w:rsidR="00DC4AAC" w:rsidRPr="00476944">
                <w:rPr>
                  <w:rFonts w:ascii="Calibri" w:eastAsia="MS PGothic" w:hAnsi="Calibri" w:cs="MS PGothic"/>
                  <w:color w:val="0000FF"/>
                  <w:u w:val="single"/>
                  <w:lang w:eastAsia="ja-JP"/>
                </w:rPr>
                <w:t>UK (Office for National Statistics)</w:t>
              </w:r>
            </w:hyperlink>
          </w:p>
        </w:tc>
        <w:tc>
          <w:tcPr>
            <w:tcW w:w="1489" w:type="dxa"/>
            <w:tcBorders>
              <w:top w:val="nil"/>
              <w:left w:val="double" w:sz="6" w:space="0" w:color="auto"/>
              <w:bottom w:val="nil"/>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4</w:t>
            </w:r>
          </w:p>
        </w:tc>
        <w:tc>
          <w:tcPr>
            <w:tcW w:w="1187" w:type="dxa"/>
            <w:tcBorders>
              <w:top w:val="nil"/>
              <w:left w:val="nil"/>
              <w:bottom w:val="nil"/>
              <w:right w:val="nil"/>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nil"/>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4</w:t>
            </w:r>
          </w:p>
        </w:tc>
      </w:tr>
      <w:tr w:rsidR="00DC4AAC" w:rsidRPr="00476944" w:rsidTr="00ED118C">
        <w:trPr>
          <w:gridAfter w:val="4"/>
          <w:wAfter w:w="640" w:type="dxa"/>
          <w:trHeight w:val="300"/>
        </w:trPr>
        <w:tc>
          <w:tcPr>
            <w:tcW w:w="1099" w:type="dxa"/>
            <w:vMerge/>
            <w:tcBorders>
              <w:left w:val="single" w:sz="4" w:space="0" w:color="auto"/>
              <w:bottom w:val="single" w:sz="4" w:space="0" w:color="auto"/>
              <w:right w:val="nil"/>
            </w:tcBorders>
            <w:shd w:val="clear" w:color="000000" w:fill="FFFFFF"/>
            <w:noWrap/>
            <w:vAlign w:val="bottom"/>
            <w:hideMark/>
          </w:tcPr>
          <w:p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nil"/>
              <w:left w:val="single" w:sz="4" w:space="0" w:color="auto"/>
              <w:bottom w:val="single" w:sz="4" w:space="0" w:color="auto"/>
              <w:right w:val="nil"/>
            </w:tcBorders>
            <w:shd w:val="clear" w:color="000000" w:fill="FFFFFF"/>
            <w:noWrap/>
            <w:vAlign w:val="bottom"/>
            <w:hideMark/>
          </w:tcPr>
          <w:p w:rsidR="00DC4AAC" w:rsidRPr="00476944" w:rsidRDefault="00A034D9" w:rsidP="008771D1">
            <w:pPr>
              <w:spacing w:after="0" w:line="240" w:lineRule="auto"/>
              <w:rPr>
                <w:rFonts w:ascii="Calibri" w:eastAsia="MS PGothic" w:hAnsi="Calibri" w:cs="MS PGothic"/>
                <w:color w:val="0000FF"/>
                <w:u w:val="single"/>
                <w:lang w:eastAsia="ja-JP"/>
              </w:rPr>
            </w:pPr>
            <w:hyperlink r:id="rId52" w:history="1">
              <w:r w:rsidR="00DC4AAC" w:rsidRPr="00476944">
                <w:rPr>
                  <w:rFonts w:ascii="Calibri" w:eastAsia="MS PGothic" w:hAnsi="Calibri" w:cs="MS PGothic"/>
                  <w:color w:val="0000FF"/>
                  <w:u w:val="single"/>
                  <w:lang w:eastAsia="ja-JP"/>
                </w:rPr>
                <w:t>Swiss (Statistics Swiss)</w:t>
              </w:r>
            </w:hyperlink>
          </w:p>
        </w:tc>
        <w:tc>
          <w:tcPr>
            <w:tcW w:w="1489" w:type="dxa"/>
            <w:tcBorders>
              <w:top w:val="nil"/>
              <w:left w:val="double" w:sz="6" w:space="0" w:color="auto"/>
              <w:bottom w:val="single" w:sz="4" w:space="0" w:color="auto"/>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87" w:type="dxa"/>
            <w:tcBorders>
              <w:top w:val="nil"/>
              <w:left w:val="nil"/>
              <w:bottom w:val="single" w:sz="4" w:space="0" w:color="auto"/>
              <w:right w:val="nil"/>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top w:val="nil"/>
              <w:left w:val="nil"/>
              <w:bottom w:val="single" w:sz="4" w:space="0" w:color="auto"/>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4</w:t>
            </w:r>
          </w:p>
        </w:tc>
      </w:tr>
      <w:tr w:rsidR="00DC4AAC" w:rsidRPr="00476944" w:rsidTr="00ED118C">
        <w:trPr>
          <w:gridAfter w:val="4"/>
          <w:wAfter w:w="640" w:type="dxa"/>
          <w:trHeight w:val="345"/>
        </w:trPr>
        <w:tc>
          <w:tcPr>
            <w:tcW w:w="1099" w:type="dxa"/>
            <w:vMerge w:val="restart"/>
            <w:tcBorders>
              <w:top w:val="nil"/>
              <w:left w:val="single" w:sz="4" w:space="0" w:color="auto"/>
              <w:right w:val="nil"/>
            </w:tcBorders>
            <w:shd w:val="clear" w:color="000000" w:fill="FFFFFF"/>
            <w:noWrap/>
            <w:vAlign w:val="center"/>
            <w:hideMark/>
          </w:tcPr>
          <w:p w:rsidR="00DC4AAC" w:rsidRPr="00476944" w:rsidRDefault="00DC4AAC" w:rsidP="00DC4AAC">
            <w:pPr>
              <w:spacing w:after="0" w:line="240" w:lineRule="auto"/>
              <w:jc w:val="both"/>
              <w:rPr>
                <w:rFonts w:ascii="Calibri" w:eastAsia="MS PGothic" w:hAnsi="Calibri" w:cs="MS PGothic"/>
                <w:color w:val="000000"/>
                <w:lang w:eastAsia="ja-JP"/>
              </w:rPr>
            </w:pPr>
            <w:r w:rsidRPr="00476944">
              <w:rPr>
                <w:rFonts w:ascii="Calibri" w:eastAsia="MS PGothic" w:hAnsi="Calibri" w:cs="MS PGothic"/>
                <w:color w:val="000000"/>
                <w:lang w:eastAsia="ja-JP"/>
              </w:rPr>
              <w:t>Asia</w:t>
            </w:r>
          </w:p>
          <w:p w:rsidR="00DC4AAC" w:rsidRPr="00476944" w:rsidRDefault="00DC4AAC" w:rsidP="00DC4AAC">
            <w:pPr>
              <w:spacing w:after="0" w:line="240" w:lineRule="auto"/>
              <w:jc w:val="both"/>
              <w:rPr>
                <w:rFonts w:ascii="Calibri" w:eastAsia="MS PGothic" w:hAnsi="Calibri" w:cs="MS PGothic"/>
                <w:color w:val="000000"/>
                <w:lang w:eastAsia="ja-JP"/>
              </w:rPr>
            </w:pPr>
          </w:p>
        </w:tc>
        <w:tc>
          <w:tcPr>
            <w:tcW w:w="3769" w:type="dxa"/>
            <w:tcBorders>
              <w:top w:val="single" w:sz="4" w:space="0" w:color="auto"/>
              <w:left w:val="single" w:sz="4" w:space="0" w:color="auto"/>
              <w:bottom w:val="dashSmallGap" w:sz="4" w:space="0" w:color="95B3D7" w:themeColor="accent1" w:themeTint="99"/>
              <w:right w:val="single" w:sz="4" w:space="0" w:color="auto"/>
            </w:tcBorders>
            <w:shd w:val="clear" w:color="000000" w:fill="FFFFFF"/>
            <w:noWrap/>
            <w:vAlign w:val="bottom"/>
            <w:hideMark/>
          </w:tcPr>
          <w:p w:rsidR="00DC4AAC" w:rsidRPr="00476944" w:rsidRDefault="00A034D9" w:rsidP="008771D1">
            <w:pPr>
              <w:spacing w:after="0" w:line="240" w:lineRule="auto"/>
              <w:rPr>
                <w:rFonts w:ascii="Calibri" w:eastAsia="MS PGothic" w:hAnsi="Calibri" w:cs="MS PGothic"/>
                <w:color w:val="0000FF"/>
                <w:u w:val="single"/>
                <w:lang w:eastAsia="ja-JP"/>
              </w:rPr>
            </w:pPr>
            <w:hyperlink r:id="rId53" w:history="1">
              <w:r w:rsidR="00DC4AAC" w:rsidRPr="00476944">
                <w:rPr>
                  <w:rFonts w:ascii="Calibri" w:eastAsia="MS PGothic" w:hAnsi="Calibri" w:cs="MS PGothic"/>
                  <w:color w:val="0000FF"/>
                  <w:u w:val="single"/>
                  <w:lang w:eastAsia="ja-JP"/>
                </w:rPr>
                <w:t>Japan (Cabinet Office)</w:t>
              </w:r>
            </w:hyperlink>
          </w:p>
        </w:tc>
        <w:tc>
          <w:tcPr>
            <w:tcW w:w="1489" w:type="dxa"/>
            <w:tcBorders>
              <w:top w:val="single" w:sz="4" w:space="0" w:color="auto"/>
              <w:left w:val="single" w:sz="4" w:space="0" w:color="auto"/>
              <w:bottom w:val="dashSmallGap" w:sz="4" w:space="0" w:color="95B3D7" w:themeColor="accent1" w:themeTint="99"/>
              <w:right w:val="single" w:sz="4" w:space="0" w:color="auto"/>
            </w:tcBorders>
            <w:shd w:val="clear" w:color="000000" w:fill="FFFFFF"/>
            <w:noWrap/>
            <w:vAlign w:val="bottom"/>
            <w:hideMark/>
          </w:tcPr>
          <w:p w:rsidR="00DC4AAC" w:rsidRPr="00476944" w:rsidRDefault="00DC4AAC" w:rsidP="009472F2">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87" w:type="dxa"/>
            <w:tcBorders>
              <w:top w:val="single" w:sz="4" w:space="0" w:color="auto"/>
              <w:left w:val="single" w:sz="4" w:space="0" w:color="auto"/>
              <w:right w:val="dashSmallGap" w:sz="4" w:space="0" w:color="95B3D7" w:themeColor="accent1" w:themeTint="99"/>
            </w:tcBorders>
            <w:shd w:val="clear" w:color="000000" w:fill="FFFFFF"/>
            <w:noWrap/>
            <w:vAlign w:val="bottom"/>
            <w:hideMark/>
          </w:tcPr>
          <w:p w:rsidR="00DC4AAC" w:rsidRPr="00476944" w:rsidRDefault="00DC4AAC" w:rsidP="00CF043C">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r w:rsidRPr="001031BA">
              <w:rPr>
                <w:rFonts w:ascii="Calibri" w:eastAsia="Times New Roman" w:hAnsi="Calibri" w:cs="Times New Roman"/>
                <w:color w:val="000000"/>
                <w:sz w:val="20"/>
                <w:szCs w:val="20"/>
              </w:rPr>
              <w:t>†</w:t>
            </w:r>
          </w:p>
        </w:tc>
        <w:tc>
          <w:tcPr>
            <w:tcW w:w="1176" w:type="dxa"/>
            <w:tcBorders>
              <w:top w:val="single" w:sz="4" w:space="0" w:color="auto"/>
              <w:left w:val="dashSmallGap" w:sz="4" w:space="0" w:color="95B3D7" w:themeColor="accent1" w:themeTint="99"/>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r w:rsidRPr="001031BA">
              <w:rPr>
                <w:rFonts w:ascii="Calibri" w:eastAsia="Times New Roman" w:hAnsi="Calibri" w:cs="Times New Roman"/>
                <w:color w:val="000000"/>
                <w:sz w:val="20"/>
                <w:szCs w:val="20"/>
              </w:rPr>
              <w:t>†</w:t>
            </w:r>
          </w:p>
        </w:tc>
      </w:tr>
      <w:tr w:rsidR="00DC4AAC" w:rsidRPr="00476944" w:rsidTr="00ED118C">
        <w:trPr>
          <w:gridAfter w:val="4"/>
          <w:wAfter w:w="640" w:type="dxa"/>
          <w:trHeight w:val="345"/>
        </w:trPr>
        <w:tc>
          <w:tcPr>
            <w:tcW w:w="1099" w:type="dxa"/>
            <w:vMerge/>
            <w:tcBorders>
              <w:left w:val="single" w:sz="4" w:space="0" w:color="auto"/>
              <w:right w:val="nil"/>
            </w:tcBorders>
            <w:shd w:val="clear" w:color="000000" w:fill="FFFFFF"/>
            <w:noWrap/>
            <w:vAlign w:val="bottom"/>
            <w:hideMark/>
          </w:tcPr>
          <w:p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dashSmallGap" w:sz="4" w:space="0" w:color="95B3D7" w:themeColor="accent1" w:themeTint="99"/>
              <w:left w:val="single" w:sz="4" w:space="0" w:color="auto"/>
              <w:bottom w:val="dashSmallGap" w:sz="4" w:space="0" w:color="95B3D7" w:themeColor="accent1" w:themeTint="99"/>
              <w:right w:val="single" w:sz="4" w:space="0" w:color="auto"/>
            </w:tcBorders>
            <w:shd w:val="clear" w:color="000000" w:fill="FFFFFF"/>
            <w:noWrap/>
            <w:vAlign w:val="bottom"/>
            <w:hideMark/>
          </w:tcPr>
          <w:p w:rsidR="00DC4AAC" w:rsidRPr="00476944" w:rsidRDefault="00A034D9" w:rsidP="00786505">
            <w:pPr>
              <w:spacing w:after="0" w:line="240" w:lineRule="auto"/>
              <w:rPr>
                <w:rFonts w:ascii="Calibri" w:eastAsia="MS PGothic" w:hAnsi="Calibri" w:cs="MS PGothic"/>
                <w:color w:val="0000FF"/>
                <w:u w:val="single"/>
                <w:lang w:eastAsia="ja-JP"/>
              </w:rPr>
            </w:pPr>
            <w:hyperlink r:id="rId54" w:history="1">
              <w:r w:rsidR="00DC4AAC" w:rsidRPr="00446DA5">
                <w:rPr>
                  <w:rStyle w:val="Hyperlink"/>
                  <w:rFonts w:ascii="Calibri" w:eastAsia="MS PGothic" w:hAnsi="Calibri" w:cs="MS PGothic"/>
                  <w:lang w:eastAsia="ja-JP"/>
                </w:rPr>
                <w:t>Korea (Bank of Korea)</w:t>
              </w:r>
            </w:hyperlink>
          </w:p>
        </w:tc>
        <w:tc>
          <w:tcPr>
            <w:tcW w:w="1489" w:type="dxa"/>
            <w:tcBorders>
              <w:top w:val="dashSmallGap" w:sz="4" w:space="0" w:color="95B3D7" w:themeColor="accent1" w:themeTint="99"/>
              <w:left w:val="single" w:sz="4" w:space="0" w:color="auto"/>
              <w:bottom w:val="dashSmallGap" w:sz="4" w:space="0" w:color="95B3D7" w:themeColor="accent1" w:themeTint="99"/>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87" w:type="dxa"/>
            <w:tcBorders>
              <w:left w:val="single" w:sz="4" w:space="0" w:color="auto"/>
              <w:right w:val="dashSmallGap" w:sz="4" w:space="0" w:color="95B3D7" w:themeColor="accent1" w:themeTint="99"/>
            </w:tcBorders>
            <w:shd w:val="clear" w:color="000000" w:fill="FFFFFF"/>
            <w:noWrap/>
            <w:vAlign w:val="bottom"/>
            <w:hideMark/>
          </w:tcPr>
          <w:p w:rsidR="00DC4AAC" w:rsidRPr="00476944" w:rsidRDefault="00DC4AAC" w:rsidP="003379BE">
            <w:pPr>
              <w:spacing w:after="0" w:line="240" w:lineRule="auto"/>
              <w:jc w:val="center"/>
              <w:rPr>
                <w:rFonts w:ascii="Calibri" w:eastAsia="MS PGothic" w:hAnsi="Calibri" w:cs="MS PGothic"/>
                <w:color w:val="000000"/>
                <w:lang w:eastAsia="ja-JP"/>
              </w:rPr>
            </w:pPr>
            <w:r w:rsidRPr="00476944">
              <w:rPr>
                <w:rFonts w:ascii="Calibri" w:eastAsia="MS PGothic" w:hAnsi="Calibri" w:cs="MS PGothic"/>
                <w:color w:val="000000"/>
                <w:lang w:eastAsia="ja-JP"/>
              </w:rPr>
              <w:t>5</w:t>
            </w:r>
          </w:p>
        </w:tc>
        <w:tc>
          <w:tcPr>
            <w:tcW w:w="1176" w:type="dxa"/>
            <w:tcBorders>
              <w:left w:val="dashSmallGap" w:sz="4" w:space="0" w:color="95B3D7" w:themeColor="accent1" w:themeTint="99"/>
              <w:right w:val="single" w:sz="4" w:space="0" w:color="auto"/>
            </w:tcBorders>
            <w:shd w:val="clear" w:color="000000" w:fill="FFFFFF"/>
            <w:noWrap/>
            <w:vAlign w:val="bottom"/>
            <w:hideMark/>
          </w:tcPr>
          <w:p w:rsidR="00DC4AAC" w:rsidRPr="00476944" w:rsidRDefault="00DC4AAC"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4</w:t>
            </w:r>
          </w:p>
        </w:tc>
      </w:tr>
      <w:tr w:rsidR="00DC4AAC" w:rsidRPr="00476944" w:rsidTr="00ED118C">
        <w:trPr>
          <w:gridAfter w:val="4"/>
          <w:wAfter w:w="640" w:type="dxa"/>
          <w:trHeight w:val="345"/>
        </w:trPr>
        <w:tc>
          <w:tcPr>
            <w:tcW w:w="1099" w:type="dxa"/>
            <w:vMerge/>
            <w:tcBorders>
              <w:left w:val="single" w:sz="4" w:space="0" w:color="auto"/>
              <w:right w:val="nil"/>
            </w:tcBorders>
            <w:shd w:val="clear" w:color="000000" w:fill="FFFFFF"/>
            <w:noWrap/>
            <w:vAlign w:val="bottom"/>
          </w:tcPr>
          <w:p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dashSmallGap" w:sz="4" w:space="0" w:color="95B3D7" w:themeColor="accent1" w:themeTint="99"/>
              <w:left w:val="single" w:sz="4" w:space="0" w:color="auto"/>
              <w:bottom w:val="dashSmallGap" w:sz="4" w:space="0" w:color="95B3D7" w:themeColor="accent1" w:themeTint="99"/>
              <w:right w:val="single" w:sz="4" w:space="0" w:color="auto"/>
            </w:tcBorders>
            <w:shd w:val="clear" w:color="000000" w:fill="FFFFFF"/>
            <w:noWrap/>
            <w:vAlign w:val="bottom"/>
          </w:tcPr>
          <w:p w:rsidR="00DC4AAC" w:rsidRDefault="00A034D9" w:rsidP="00786505">
            <w:pPr>
              <w:spacing w:after="0" w:line="240" w:lineRule="auto"/>
              <w:rPr>
                <w:lang w:eastAsia="ja-JP"/>
              </w:rPr>
            </w:pPr>
            <w:hyperlink r:id="rId55" w:history="1">
              <w:r w:rsidR="00DC4AAC" w:rsidRPr="009B6E3F">
                <w:rPr>
                  <w:rStyle w:val="Hyperlink"/>
                  <w:rFonts w:hint="eastAsia"/>
                  <w:lang w:eastAsia="ja-JP"/>
                </w:rPr>
                <w:t>China</w:t>
              </w:r>
            </w:hyperlink>
          </w:p>
        </w:tc>
        <w:tc>
          <w:tcPr>
            <w:tcW w:w="1489" w:type="dxa"/>
            <w:tcBorders>
              <w:top w:val="dashSmallGap" w:sz="4" w:space="0" w:color="95B3D7" w:themeColor="accent1" w:themeTint="99"/>
              <w:left w:val="single" w:sz="4" w:space="0" w:color="auto"/>
              <w:bottom w:val="dashSmallGap" w:sz="4" w:space="0" w:color="95B3D7" w:themeColor="accent1" w:themeTint="99"/>
              <w:right w:val="single" w:sz="4" w:space="0" w:color="auto"/>
            </w:tcBorders>
            <w:shd w:val="clear" w:color="000000" w:fill="FFFFFF"/>
            <w:noWrap/>
            <w:vAlign w:val="bottom"/>
          </w:tcPr>
          <w:p w:rsidR="00DC4AAC" w:rsidRPr="00476944" w:rsidRDefault="001C0FF9" w:rsidP="008771D1">
            <w:pPr>
              <w:spacing w:after="0" w:line="240" w:lineRule="auto"/>
              <w:jc w:val="center"/>
              <w:rPr>
                <w:rFonts w:ascii="Calibri" w:eastAsia="MS PGothic" w:hAnsi="Calibri" w:cs="MS PGothic"/>
                <w:color w:val="000000"/>
                <w:lang w:eastAsia="ja-JP"/>
              </w:rPr>
            </w:pPr>
            <w:r>
              <w:rPr>
                <w:rFonts w:ascii="Calibri" w:eastAsia="MS PGothic" w:hAnsi="Calibri" w:cs="MS PGothic" w:hint="eastAsia"/>
                <w:color w:val="000000"/>
                <w:lang w:eastAsia="ja-JP"/>
              </w:rPr>
              <w:t>1</w:t>
            </w:r>
          </w:p>
        </w:tc>
        <w:tc>
          <w:tcPr>
            <w:tcW w:w="1187" w:type="dxa"/>
            <w:tcBorders>
              <w:left w:val="single" w:sz="4" w:space="0" w:color="auto"/>
              <w:right w:val="dashSmallGap" w:sz="4" w:space="0" w:color="95B3D7" w:themeColor="accent1" w:themeTint="99"/>
            </w:tcBorders>
            <w:shd w:val="clear" w:color="000000" w:fill="FFFFFF"/>
            <w:noWrap/>
            <w:vAlign w:val="bottom"/>
          </w:tcPr>
          <w:p w:rsidR="00DC4AAC" w:rsidRPr="00476944" w:rsidRDefault="00D371A1" w:rsidP="003379BE">
            <w:pPr>
              <w:spacing w:after="0" w:line="240" w:lineRule="auto"/>
              <w:jc w:val="center"/>
              <w:rPr>
                <w:rFonts w:ascii="Calibri" w:eastAsia="MS PGothic" w:hAnsi="Calibri" w:cs="MS PGothic"/>
                <w:color w:val="000000"/>
                <w:lang w:eastAsia="ja-JP"/>
              </w:rPr>
            </w:pPr>
            <w:r>
              <w:rPr>
                <w:rFonts w:ascii="Calibri" w:eastAsia="MS PGothic" w:hAnsi="Calibri" w:cs="MS PGothic" w:hint="eastAsia"/>
                <w:color w:val="000000"/>
                <w:lang w:eastAsia="ja-JP"/>
              </w:rPr>
              <w:t>1</w:t>
            </w:r>
          </w:p>
        </w:tc>
        <w:tc>
          <w:tcPr>
            <w:tcW w:w="1176" w:type="dxa"/>
            <w:tcBorders>
              <w:left w:val="dashSmallGap" w:sz="4" w:space="0" w:color="95B3D7" w:themeColor="accent1" w:themeTint="99"/>
              <w:right w:val="single" w:sz="4" w:space="0" w:color="auto"/>
            </w:tcBorders>
            <w:shd w:val="clear" w:color="000000" w:fill="FFFFFF"/>
            <w:noWrap/>
            <w:vAlign w:val="bottom"/>
          </w:tcPr>
          <w:p w:rsidR="00DC4AAC" w:rsidRDefault="00D371A1" w:rsidP="008771D1">
            <w:pPr>
              <w:spacing w:after="0" w:line="240" w:lineRule="auto"/>
              <w:jc w:val="center"/>
              <w:rPr>
                <w:rFonts w:ascii="Calibri" w:eastAsia="MS PGothic" w:hAnsi="Calibri" w:cs="MS PGothic"/>
                <w:color w:val="000000"/>
                <w:lang w:eastAsia="ja-JP"/>
              </w:rPr>
            </w:pPr>
            <w:r>
              <w:rPr>
                <w:rFonts w:ascii="Calibri" w:eastAsia="MS PGothic" w:hAnsi="Calibri" w:cs="MS PGothic" w:hint="eastAsia"/>
                <w:color w:val="000000"/>
                <w:lang w:eastAsia="ja-JP"/>
              </w:rPr>
              <w:t>1</w:t>
            </w:r>
          </w:p>
        </w:tc>
      </w:tr>
      <w:tr w:rsidR="00DC4AAC" w:rsidRPr="00476944" w:rsidTr="00ED118C">
        <w:trPr>
          <w:gridAfter w:val="4"/>
          <w:wAfter w:w="640" w:type="dxa"/>
          <w:trHeight w:val="345"/>
        </w:trPr>
        <w:tc>
          <w:tcPr>
            <w:tcW w:w="1099" w:type="dxa"/>
            <w:vMerge/>
            <w:tcBorders>
              <w:left w:val="single" w:sz="4" w:space="0" w:color="auto"/>
              <w:bottom w:val="single" w:sz="4" w:space="0" w:color="auto"/>
              <w:right w:val="nil"/>
            </w:tcBorders>
            <w:shd w:val="clear" w:color="000000" w:fill="FFFFFF"/>
            <w:noWrap/>
            <w:vAlign w:val="bottom"/>
          </w:tcPr>
          <w:p w:rsidR="00DC4AAC" w:rsidRPr="00476944" w:rsidRDefault="00DC4AAC" w:rsidP="008771D1">
            <w:pPr>
              <w:spacing w:after="0" w:line="240" w:lineRule="auto"/>
              <w:rPr>
                <w:rFonts w:ascii="Calibri" w:eastAsia="MS PGothic" w:hAnsi="Calibri" w:cs="MS PGothic"/>
                <w:color w:val="000000"/>
                <w:lang w:eastAsia="ja-JP"/>
              </w:rPr>
            </w:pPr>
          </w:p>
        </w:tc>
        <w:tc>
          <w:tcPr>
            <w:tcW w:w="3769" w:type="dxa"/>
            <w:tcBorders>
              <w:top w:val="dashSmallGap" w:sz="4" w:space="0" w:color="95B3D7" w:themeColor="accent1" w:themeTint="99"/>
              <w:left w:val="single" w:sz="4" w:space="0" w:color="auto"/>
              <w:bottom w:val="single" w:sz="4" w:space="0" w:color="auto"/>
              <w:right w:val="single" w:sz="4" w:space="0" w:color="auto"/>
            </w:tcBorders>
            <w:shd w:val="clear" w:color="000000" w:fill="FFFFFF"/>
            <w:noWrap/>
            <w:vAlign w:val="bottom"/>
          </w:tcPr>
          <w:p w:rsidR="00DC4AAC" w:rsidRDefault="00A034D9" w:rsidP="00786505">
            <w:pPr>
              <w:spacing w:after="0" w:line="240" w:lineRule="auto"/>
              <w:rPr>
                <w:lang w:eastAsia="ja-JP"/>
              </w:rPr>
            </w:pPr>
            <w:hyperlink r:id="rId56" w:history="1">
              <w:r w:rsidR="00DC4AAC" w:rsidRPr="000A3FB1">
                <w:rPr>
                  <w:rStyle w:val="Hyperlink"/>
                  <w:rFonts w:hint="eastAsia"/>
                  <w:lang w:eastAsia="ja-JP"/>
                </w:rPr>
                <w:t>Taiwan</w:t>
              </w:r>
            </w:hyperlink>
          </w:p>
        </w:tc>
        <w:tc>
          <w:tcPr>
            <w:tcW w:w="1489" w:type="dxa"/>
            <w:tcBorders>
              <w:top w:val="dashSmallGap" w:sz="4" w:space="0" w:color="95B3D7" w:themeColor="accent1" w:themeTint="99"/>
              <w:left w:val="single" w:sz="4" w:space="0" w:color="auto"/>
              <w:bottom w:val="single" w:sz="4" w:space="0" w:color="auto"/>
              <w:right w:val="single" w:sz="4" w:space="0" w:color="auto"/>
            </w:tcBorders>
            <w:shd w:val="clear" w:color="000000" w:fill="FFFFFF"/>
            <w:noWrap/>
            <w:vAlign w:val="bottom"/>
          </w:tcPr>
          <w:p w:rsidR="00DC4AAC" w:rsidRPr="00476944" w:rsidRDefault="000A3FB1" w:rsidP="008771D1">
            <w:pPr>
              <w:spacing w:after="0" w:line="240" w:lineRule="auto"/>
              <w:jc w:val="center"/>
              <w:rPr>
                <w:rFonts w:ascii="Calibri" w:eastAsia="MS PGothic" w:hAnsi="Calibri" w:cs="MS PGothic"/>
                <w:color w:val="000000"/>
                <w:lang w:eastAsia="ja-JP"/>
              </w:rPr>
            </w:pPr>
            <w:r>
              <w:rPr>
                <w:rFonts w:ascii="Calibri" w:eastAsia="MS PGothic" w:hAnsi="Calibri" w:cs="MS PGothic" w:hint="eastAsia"/>
                <w:color w:val="000000"/>
                <w:lang w:eastAsia="ja-JP"/>
              </w:rPr>
              <w:t>1</w:t>
            </w:r>
          </w:p>
        </w:tc>
        <w:tc>
          <w:tcPr>
            <w:tcW w:w="1187" w:type="dxa"/>
            <w:tcBorders>
              <w:left w:val="single" w:sz="4" w:space="0" w:color="auto"/>
              <w:bottom w:val="single" w:sz="4" w:space="0" w:color="auto"/>
              <w:right w:val="dashSmallGap" w:sz="4" w:space="0" w:color="95B3D7" w:themeColor="accent1" w:themeTint="99"/>
            </w:tcBorders>
            <w:shd w:val="clear" w:color="000000" w:fill="FFFFFF"/>
            <w:noWrap/>
            <w:vAlign w:val="bottom"/>
          </w:tcPr>
          <w:p w:rsidR="00DC4AAC" w:rsidRPr="00476944" w:rsidRDefault="00E60FF3" w:rsidP="003379BE">
            <w:pPr>
              <w:spacing w:after="0" w:line="240" w:lineRule="auto"/>
              <w:jc w:val="center"/>
              <w:rPr>
                <w:rFonts w:ascii="Calibri" w:eastAsia="MS PGothic" w:hAnsi="Calibri" w:cs="MS PGothic"/>
                <w:color w:val="000000"/>
                <w:lang w:eastAsia="ja-JP"/>
              </w:rPr>
            </w:pPr>
            <w:r>
              <w:rPr>
                <w:rFonts w:ascii="Calibri" w:eastAsia="MS PGothic" w:hAnsi="Calibri" w:cs="MS PGothic" w:hint="eastAsia"/>
                <w:color w:val="000000"/>
                <w:lang w:eastAsia="ja-JP"/>
              </w:rPr>
              <w:t>1</w:t>
            </w:r>
          </w:p>
        </w:tc>
        <w:tc>
          <w:tcPr>
            <w:tcW w:w="1176" w:type="dxa"/>
            <w:tcBorders>
              <w:left w:val="dashSmallGap" w:sz="4" w:space="0" w:color="95B3D7" w:themeColor="accent1" w:themeTint="99"/>
              <w:bottom w:val="single" w:sz="4" w:space="0" w:color="auto"/>
              <w:right w:val="single" w:sz="4" w:space="0" w:color="auto"/>
            </w:tcBorders>
            <w:shd w:val="clear" w:color="000000" w:fill="FFFFFF"/>
            <w:noWrap/>
            <w:vAlign w:val="bottom"/>
          </w:tcPr>
          <w:p w:rsidR="00DC4AAC" w:rsidRDefault="00E60FF3" w:rsidP="008771D1">
            <w:pPr>
              <w:spacing w:after="0" w:line="240" w:lineRule="auto"/>
              <w:jc w:val="center"/>
              <w:rPr>
                <w:rFonts w:ascii="Calibri" w:eastAsia="MS PGothic" w:hAnsi="Calibri" w:cs="MS PGothic"/>
                <w:color w:val="000000"/>
                <w:lang w:eastAsia="ja-JP"/>
              </w:rPr>
            </w:pPr>
            <w:r>
              <w:rPr>
                <w:rFonts w:ascii="Calibri" w:eastAsia="MS PGothic" w:hAnsi="Calibri" w:cs="MS PGothic" w:hint="eastAsia"/>
                <w:color w:val="000000"/>
                <w:lang w:eastAsia="ja-JP"/>
              </w:rPr>
              <w:t>1</w:t>
            </w:r>
          </w:p>
        </w:tc>
      </w:tr>
      <w:tr w:rsidR="007B36C5" w:rsidRPr="00476944" w:rsidTr="00ED118C">
        <w:trPr>
          <w:gridAfter w:val="4"/>
          <w:wAfter w:w="640" w:type="dxa"/>
          <w:trHeight w:val="300"/>
        </w:trPr>
        <w:tc>
          <w:tcPr>
            <w:tcW w:w="8720" w:type="dxa"/>
            <w:gridSpan w:val="5"/>
            <w:tcBorders>
              <w:top w:val="nil"/>
              <w:left w:val="nil"/>
              <w:bottom w:val="nil"/>
            </w:tcBorders>
            <w:shd w:val="clear" w:color="000000" w:fill="FFFFFF"/>
            <w:noWrap/>
            <w:vAlign w:val="bottom"/>
            <w:hideMark/>
          </w:tcPr>
          <w:p w:rsidR="007B36C5" w:rsidRPr="00F42269" w:rsidRDefault="007B36C5" w:rsidP="00CF043C">
            <w:pPr>
              <w:spacing w:after="0" w:line="240" w:lineRule="auto"/>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lang w:eastAsia="ja-JP"/>
              </w:rPr>
              <w:t xml:space="preserve">Note regarding press statement accompanying release of statistics: </w:t>
            </w:r>
            <w:r w:rsidRPr="00F42269">
              <w:rPr>
                <w:rFonts w:ascii="Calibri" w:eastAsia="MS PGothic" w:hAnsi="Calibri" w:cs="MS PGothic"/>
                <w:color w:val="000000"/>
                <w:sz w:val="20"/>
                <w:szCs w:val="20"/>
                <w:lang w:eastAsia="ja-JP"/>
              </w:rPr>
              <w:t xml:space="preserve">　　</w:t>
            </w:r>
          </w:p>
        </w:tc>
      </w:tr>
      <w:tr w:rsidR="007B36C5" w:rsidRPr="00476944" w:rsidTr="00ED118C">
        <w:trPr>
          <w:gridAfter w:val="4"/>
          <w:wAfter w:w="640" w:type="dxa"/>
          <w:trHeight w:val="300"/>
        </w:trPr>
        <w:tc>
          <w:tcPr>
            <w:tcW w:w="4868" w:type="dxa"/>
            <w:gridSpan w:val="2"/>
            <w:tcBorders>
              <w:top w:val="nil"/>
              <w:left w:val="nil"/>
              <w:bottom w:val="nil"/>
              <w:right w:val="nil"/>
            </w:tcBorders>
            <w:shd w:val="clear" w:color="000000" w:fill="FFFFFF"/>
            <w:noWrap/>
            <w:vAlign w:val="bottom"/>
            <w:hideMark/>
          </w:tcPr>
          <w:p w:rsidR="007B36C5" w:rsidRPr="00F42269" w:rsidRDefault="007B36C5" w:rsidP="00CF043C">
            <w:pPr>
              <w:spacing w:after="0" w:line="240" w:lineRule="auto"/>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lang w:eastAsia="ja-JP"/>
              </w:rPr>
              <w:t>1</w:t>
            </w:r>
            <w:r w:rsidR="00CF043C">
              <w:rPr>
                <w:rFonts w:ascii="Calibri" w:eastAsia="MS PGothic" w:hAnsi="Calibri" w:cs="MS PGothic"/>
                <w:color w:val="000000"/>
                <w:sz w:val="20"/>
                <w:szCs w:val="20"/>
                <w:lang w:eastAsia="ja-JP"/>
              </w:rPr>
              <w:t xml:space="preserve"> =</w:t>
            </w:r>
            <w:r w:rsidRPr="00F42269">
              <w:rPr>
                <w:rFonts w:ascii="Calibri" w:eastAsia="MS PGothic" w:hAnsi="Calibri" w:cs="MS PGothic"/>
                <w:color w:val="000000"/>
                <w:sz w:val="20"/>
                <w:szCs w:val="20"/>
                <w:lang w:eastAsia="ja-JP"/>
              </w:rPr>
              <w:t xml:space="preserve"> Emphasis is clearly on the annual basis</w:t>
            </w:r>
            <w:r w:rsidR="00ED118C">
              <w:rPr>
                <w:rFonts w:ascii="Calibri" w:eastAsia="MS PGothic" w:hAnsi="Calibri" w:cs="MS PGothic"/>
                <w:color w:val="000000"/>
                <w:sz w:val="20"/>
                <w:szCs w:val="20"/>
                <w:lang w:eastAsia="ja-JP"/>
              </w:rPr>
              <w:t>.</w:t>
            </w:r>
          </w:p>
        </w:tc>
        <w:tc>
          <w:tcPr>
            <w:tcW w:w="1489" w:type="dxa"/>
            <w:tcBorders>
              <w:top w:val="nil"/>
              <w:left w:val="nil"/>
              <w:bottom w:val="nil"/>
              <w:right w:val="nil"/>
            </w:tcBorders>
            <w:shd w:val="clear" w:color="000000" w:fill="FFFFFF"/>
            <w:noWrap/>
            <w:vAlign w:val="bottom"/>
            <w:hideMark/>
          </w:tcPr>
          <w:p w:rsidR="007B36C5" w:rsidRPr="00F42269" w:rsidRDefault="007B36C5" w:rsidP="008771D1">
            <w:pPr>
              <w:spacing w:after="0" w:line="240" w:lineRule="auto"/>
              <w:jc w:val="center"/>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lang w:eastAsia="ja-JP"/>
              </w:rPr>
              <w:t xml:space="preserve">　</w:t>
            </w:r>
          </w:p>
        </w:tc>
        <w:tc>
          <w:tcPr>
            <w:tcW w:w="1187" w:type="dxa"/>
            <w:tcBorders>
              <w:top w:val="nil"/>
              <w:left w:val="nil"/>
              <w:bottom w:val="nil"/>
              <w:right w:val="nil"/>
            </w:tcBorders>
            <w:shd w:val="clear" w:color="000000" w:fill="FFFFFF"/>
            <w:noWrap/>
            <w:vAlign w:val="bottom"/>
            <w:hideMark/>
          </w:tcPr>
          <w:p w:rsidR="007B36C5" w:rsidRPr="00F42269" w:rsidRDefault="007B36C5" w:rsidP="008771D1">
            <w:pPr>
              <w:spacing w:after="0" w:line="240" w:lineRule="auto"/>
              <w:jc w:val="center"/>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lang w:eastAsia="ja-JP"/>
              </w:rPr>
              <w:t xml:space="preserve">　</w:t>
            </w:r>
          </w:p>
        </w:tc>
        <w:tc>
          <w:tcPr>
            <w:tcW w:w="1176" w:type="dxa"/>
            <w:tcBorders>
              <w:top w:val="nil"/>
              <w:left w:val="nil"/>
              <w:bottom w:val="nil"/>
              <w:right w:val="nil"/>
            </w:tcBorders>
            <w:shd w:val="clear" w:color="000000" w:fill="FFFFFF"/>
            <w:noWrap/>
            <w:vAlign w:val="bottom"/>
            <w:hideMark/>
          </w:tcPr>
          <w:p w:rsidR="007B36C5" w:rsidRPr="00F42269" w:rsidRDefault="007B36C5" w:rsidP="008771D1">
            <w:pPr>
              <w:spacing w:after="0" w:line="240" w:lineRule="auto"/>
              <w:jc w:val="center"/>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lang w:eastAsia="ja-JP"/>
              </w:rPr>
              <w:t xml:space="preserve">　</w:t>
            </w:r>
          </w:p>
        </w:tc>
      </w:tr>
      <w:tr w:rsidR="007B36C5" w:rsidRPr="00476944" w:rsidTr="00ED118C">
        <w:trPr>
          <w:gridAfter w:val="1"/>
          <w:wAfter w:w="28" w:type="dxa"/>
          <w:trHeight w:val="300"/>
        </w:trPr>
        <w:tc>
          <w:tcPr>
            <w:tcW w:w="9332" w:type="dxa"/>
            <w:gridSpan w:val="8"/>
            <w:tcBorders>
              <w:top w:val="nil"/>
              <w:left w:val="nil"/>
              <w:bottom w:val="nil"/>
              <w:right w:val="nil"/>
            </w:tcBorders>
            <w:shd w:val="clear" w:color="000000" w:fill="FFFFFF"/>
            <w:noWrap/>
            <w:vAlign w:val="bottom"/>
            <w:hideMark/>
          </w:tcPr>
          <w:p w:rsidR="00F42269" w:rsidRPr="00F42269" w:rsidRDefault="00F42269" w:rsidP="00F42269">
            <w:pPr>
              <w:spacing w:line="240" w:lineRule="auto"/>
              <w:contextualSpacing/>
              <w:rPr>
                <w:sz w:val="20"/>
                <w:szCs w:val="20"/>
              </w:rPr>
            </w:pPr>
            <w:r w:rsidRPr="00F42269">
              <w:rPr>
                <w:sz w:val="20"/>
                <w:szCs w:val="20"/>
              </w:rPr>
              <w:t xml:space="preserve">2 = Some emphasis on the </w:t>
            </w:r>
            <w:r w:rsidR="00F92295">
              <w:rPr>
                <w:sz w:val="20"/>
                <w:szCs w:val="20"/>
              </w:rPr>
              <w:t xml:space="preserve">annual </w:t>
            </w:r>
            <w:r w:rsidRPr="00F42269">
              <w:rPr>
                <w:sz w:val="20"/>
                <w:szCs w:val="20"/>
              </w:rPr>
              <w:t>version, but not consistently, relative to the shorter-term basis.</w:t>
            </w:r>
            <w:r w:rsidRPr="00F42269">
              <w:rPr>
                <w:sz w:val="20"/>
                <w:szCs w:val="20"/>
              </w:rPr>
              <w:tab/>
            </w:r>
          </w:p>
          <w:p w:rsidR="00F42269" w:rsidRPr="00F42269" w:rsidRDefault="00F42269" w:rsidP="00F42269">
            <w:pPr>
              <w:spacing w:line="240" w:lineRule="auto"/>
              <w:contextualSpacing/>
              <w:rPr>
                <w:sz w:val="20"/>
                <w:szCs w:val="20"/>
              </w:rPr>
            </w:pPr>
            <w:r w:rsidRPr="00F42269">
              <w:rPr>
                <w:sz w:val="20"/>
                <w:szCs w:val="20"/>
              </w:rPr>
              <w:t>3 = Precisely equal emphasis on both versions.</w:t>
            </w:r>
            <w:r w:rsidRPr="00F42269">
              <w:rPr>
                <w:sz w:val="20"/>
                <w:szCs w:val="20"/>
              </w:rPr>
              <w:tab/>
            </w:r>
            <w:r w:rsidRPr="00F42269">
              <w:rPr>
                <w:sz w:val="20"/>
                <w:szCs w:val="20"/>
              </w:rPr>
              <w:tab/>
            </w:r>
            <w:r w:rsidRPr="00F42269">
              <w:rPr>
                <w:sz w:val="20"/>
                <w:szCs w:val="20"/>
              </w:rPr>
              <w:tab/>
            </w:r>
            <w:r w:rsidRPr="00F42269">
              <w:rPr>
                <w:sz w:val="20"/>
                <w:szCs w:val="20"/>
              </w:rPr>
              <w:tab/>
            </w:r>
            <w:r w:rsidRPr="00F42269">
              <w:rPr>
                <w:sz w:val="20"/>
                <w:szCs w:val="20"/>
              </w:rPr>
              <w:tab/>
            </w:r>
            <w:r w:rsidRPr="00F42269">
              <w:rPr>
                <w:sz w:val="20"/>
                <w:szCs w:val="20"/>
              </w:rPr>
              <w:tab/>
            </w:r>
          </w:p>
          <w:p w:rsidR="007B36C5" w:rsidRPr="00F42269" w:rsidRDefault="007B36C5" w:rsidP="00CF043C">
            <w:pPr>
              <w:spacing w:after="0" w:line="240" w:lineRule="auto"/>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lang w:eastAsia="ja-JP"/>
              </w:rPr>
              <w:t>4</w:t>
            </w:r>
            <w:r w:rsidR="00CF043C">
              <w:rPr>
                <w:rFonts w:ascii="Calibri" w:eastAsia="MS PGothic" w:hAnsi="Calibri" w:cs="MS PGothic"/>
                <w:color w:val="000000"/>
                <w:sz w:val="20"/>
                <w:szCs w:val="20"/>
                <w:lang w:eastAsia="ja-JP"/>
              </w:rPr>
              <w:t xml:space="preserve"> =</w:t>
            </w:r>
            <w:r w:rsidRPr="00F42269">
              <w:rPr>
                <w:rFonts w:ascii="Calibri" w:eastAsia="MS PGothic" w:hAnsi="Calibri" w:cs="MS PGothic"/>
                <w:color w:val="000000"/>
                <w:sz w:val="20"/>
                <w:szCs w:val="20"/>
                <w:lang w:eastAsia="ja-JP"/>
              </w:rPr>
              <w:t xml:space="preserve"> Some emphasis on the quarterly basis, but not consistently, relative to the 12-month basis</w:t>
            </w:r>
            <w:r w:rsidR="00ED118C">
              <w:rPr>
                <w:rFonts w:ascii="Calibri" w:eastAsia="MS PGothic" w:hAnsi="Calibri" w:cs="MS PGothic"/>
                <w:color w:val="000000"/>
                <w:sz w:val="20"/>
                <w:szCs w:val="20"/>
                <w:lang w:eastAsia="ja-JP"/>
              </w:rPr>
              <w:t>.</w:t>
            </w:r>
          </w:p>
        </w:tc>
      </w:tr>
      <w:tr w:rsidR="007B36C5" w:rsidRPr="00476944" w:rsidTr="00ED118C">
        <w:trPr>
          <w:trHeight w:val="300"/>
        </w:trPr>
        <w:tc>
          <w:tcPr>
            <w:tcW w:w="6357" w:type="dxa"/>
            <w:gridSpan w:val="3"/>
            <w:tcBorders>
              <w:top w:val="nil"/>
              <w:left w:val="nil"/>
              <w:bottom w:val="nil"/>
              <w:right w:val="nil"/>
            </w:tcBorders>
            <w:shd w:val="clear" w:color="000000" w:fill="FFFFFF"/>
            <w:noWrap/>
            <w:vAlign w:val="bottom"/>
            <w:hideMark/>
          </w:tcPr>
          <w:p w:rsidR="007B36C5" w:rsidRPr="00F42269" w:rsidRDefault="00CF043C" w:rsidP="00ED118C">
            <w:pPr>
              <w:spacing w:after="0" w:line="240" w:lineRule="auto"/>
              <w:rPr>
                <w:rFonts w:ascii="Calibri" w:eastAsia="MS PGothic" w:hAnsi="Calibri" w:cs="MS PGothic"/>
                <w:color w:val="000000"/>
                <w:sz w:val="20"/>
                <w:szCs w:val="20"/>
                <w:lang w:eastAsia="ja-JP"/>
              </w:rPr>
            </w:pPr>
            <w:r>
              <w:rPr>
                <w:rFonts w:ascii="Calibri" w:eastAsia="MS PGothic" w:hAnsi="Calibri" w:cs="MS PGothic"/>
                <w:color w:val="000000"/>
                <w:sz w:val="20"/>
                <w:szCs w:val="20"/>
                <w:lang w:eastAsia="ja-JP"/>
              </w:rPr>
              <w:t>5 =</w:t>
            </w:r>
            <w:r w:rsidR="007B36C5" w:rsidRPr="00F42269">
              <w:rPr>
                <w:rFonts w:ascii="Calibri" w:eastAsia="MS PGothic" w:hAnsi="Calibri" w:cs="MS PGothic"/>
                <w:color w:val="000000"/>
                <w:sz w:val="20"/>
                <w:szCs w:val="20"/>
                <w:lang w:eastAsia="ja-JP"/>
              </w:rPr>
              <w:t xml:space="preserve"> Emphasis is clearly and consistently on quarterly version</w:t>
            </w:r>
            <w:r w:rsidR="00ED118C">
              <w:rPr>
                <w:rFonts w:ascii="Calibri" w:eastAsia="MS PGothic" w:hAnsi="Calibri" w:cs="MS PGothic"/>
                <w:color w:val="000000"/>
                <w:sz w:val="20"/>
                <w:szCs w:val="20"/>
                <w:lang w:eastAsia="ja-JP"/>
              </w:rPr>
              <w:t>.</w:t>
            </w:r>
          </w:p>
        </w:tc>
        <w:tc>
          <w:tcPr>
            <w:tcW w:w="1187" w:type="dxa"/>
            <w:tcBorders>
              <w:top w:val="nil"/>
              <w:left w:val="nil"/>
              <w:bottom w:val="nil"/>
              <w:right w:val="nil"/>
            </w:tcBorders>
            <w:shd w:val="clear" w:color="000000" w:fill="FFFFFF"/>
            <w:noWrap/>
            <w:vAlign w:val="bottom"/>
            <w:hideMark/>
          </w:tcPr>
          <w:p w:rsidR="007B36C5" w:rsidRPr="00F42269" w:rsidRDefault="007B36C5" w:rsidP="008771D1">
            <w:pPr>
              <w:spacing w:after="0" w:line="240" w:lineRule="auto"/>
              <w:jc w:val="center"/>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lang w:eastAsia="ja-JP"/>
              </w:rPr>
              <w:t xml:space="preserve">　</w:t>
            </w:r>
          </w:p>
        </w:tc>
        <w:tc>
          <w:tcPr>
            <w:tcW w:w="1176" w:type="dxa"/>
            <w:tcBorders>
              <w:top w:val="nil"/>
              <w:left w:val="nil"/>
              <w:bottom w:val="nil"/>
              <w:right w:val="nil"/>
            </w:tcBorders>
            <w:shd w:val="clear" w:color="000000" w:fill="FFFFFF"/>
            <w:noWrap/>
            <w:vAlign w:val="bottom"/>
            <w:hideMark/>
          </w:tcPr>
          <w:p w:rsidR="007B36C5" w:rsidRPr="00F42269" w:rsidRDefault="007B36C5" w:rsidP="008771D1">
            <w:pPr>
              <w:spacing w:after="0" w:line="240" w:lineRule="auto"/>
              <w:jc w:val="center"/>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lang w:eastAsia="ja-JP"/>
              </w:rPr>
              <w:t xml:space="preserve">　</w:t>
            </w:r>
          </w:p>
        </w:tc>
        <w:tc>
          <w:tcPr>
            <w:tcW w:w="204" w:type="dxa"/>
            <w:vAlign w:val="center"/>
            <w:hideMark/>
          </w:tcPr>
          <w:p w:rsidR="007B36C5" w:rsidRPr="00476944" w:rsidRDefault="007B36C5" w:rsidP="008771D1">
            <w:pPr>
              <w:spacing w:after="0" w:line="240" w:lineRule="auto"/>
              <w:rPr>
                <w:rFonts w:ascii="Times New Roman" w:eastAsia="Times New Roman" w:hAnsi="Times New Roman" w:cs="Times New Roman"/>
                <w:sz w:val="20"/>
                <w:szCs w:val="20"/>
                <w:lang w:eastAsia="ja-JP"/>
              </w:rPr>
            </w:pPr>
          </w:p>
        </w:tc>
        <w:tc>
          <w:tcPr>
            <w:tcW w:w="218" w:type="dxa"/>
            <w:vAlign w:val="center"/>
            <w:hideMark/>
          </w:tcPr>
          <w:p w:rsidR="007B36C5" w:rsidRPr="00476944" w:rsidRDefault="007B36C5" w:rsidP="008771D1">
            <w:pPr>
              <w:spacing w:after="0" w:line="240" w:lineRule="auto"/>
              <w:rPr>
                <w:rFonts w:ascii="Times New Roman" w:eastAsia="Times New Roman" w:hAnsi="Times New Roman" w:cs="Times New Roman"/>
                <w:sz w:val="20"/>
                <w:szCs w:val="20"/>
                <w:lang w:eastAsia="ja-JP"/>
              </w:rPr>
            </w:pPr>
          </w:p>
        </w:tc>
        <w:tc>
          <w:tcPr>
            <w:tcW w:w="218" w:type="dxa"/>
            <w:gridSpan w:val="2"/>
            <w:vAlign w:val="center"/>
            <w:hideMark/>
          </w:tcPr>
          <w:p w:rsidR="007B36C5" w:rsidRPr="00476944" w:rsidRDefault="007B36C5" w:rsidP="008771D1">
            <w:pPr>
              <w:spacing w:after="0" w:line="240" w:lineRule="auto"/>
              <w:rPr>
                <w:rFonts w:ascii="Times New Roman" w:eastAsia="Times New Roman" w:hAnsi="Times New Roman" w:cs="Times New Roman"/>
                <w:sz w:val="20"/>
                <w:szCs w:val="20"/>
                <w:lang w:eastAsia="ja-JP"/>
              </w:rPr>
            </w:pPr>
          </w:p>
        </w:tc>
      </w:tr>
      <w:tr w:rsidR="00CF043C" w:rsidRPr="00476944" w:rsidTr="00ED118C">
        <w:trPr>
          <w:trHeight w:val="345"/>
        </w:trPr>
        <w:tc>
          <w:tcPr>
            <w:tcW w:w="8720" w:type="dxa"/>
            <w:gridSpan w:val="5"/>
            <w:tcBorders>
              <w:top w:val="nil"/>
              <w:left w:val="nil"/>
              <w:bottom w:val="nil"/>
              <w:right w:val="nil"/>
            </w:tcBorders>
            <w:shd w:val="clear" w:color="000000" w:fill="FFFFFF"/>
            <w:noWrap/>
            <w:vAlign w:val="bottom"/>
            <w:hideMark/>
          </w:tcPr>
          <w:p w:rsidR="00CF043C" w:rsidRPr="00ED118C" w:rsidRDefault="00ED118C" w:rsidP="008771D1">
            <w:pPr>
              <w:spacing w:after="0" w:line="240" w:lineRule="auto"/>
              <w:rPr>
                <w:rFonts w:ascii="Calibri" w:eastAsia="MS PGothic" w:hAnsi="Calibri" w:cs="MS PGothic"/>
                <w:color w:val="000000"/>
                <w:sz w:val="4"/>
                <w:szCs w:val="4"/>
                <w:vertAlign w:val="superscript"/>
                <w:lang w:eastAsia="ja-JP"/>
              </w:rPr>
            </w:pPr>
            <w:r w:rsidRPr="00ED118C">
              <w:rPr>
                <w:sz w:val="4"/>
                <w:szCs w:val="4"/>
              </w:rPr>
              <w:br/>
            </w:r>
            <w:r w:rsidRPr="00ED118C">
              <w:t xml:space="preserve">An appendix </w:t>
            </w:r>
            <w:hyperlink r:id="rId57" w:history="1">
              <w:r w:rsidRPr="00ED118C">
                <w:rPr>
                  <w:rStyle w:val="Hyperlink"/>
                  <w:lang w:val="nl-NL"/>
                </w:rPr>
                <w:t>available online</w:t>
              </w:r>
            </w:hyperlink>
            <w:r w:rsidRPr="00ED118C">
              <w:t xml:space="preserve"> documents the basis of the classification of each country.</w:t>
            </w:r>
            <w:r w:rsidRPr="00ED118C">
              <w:rPr>
                <w:sz w:val="4"/>
                <w:szCs w:val="4"/>
              </w:rPr>
              <w:br/>
            </w:r>
          </w:p>
          <w:p w:rsidR="00CF043C" w:rsidRDefault="00CF043C" w:rsidP="008771D1">
            <w:pPr>
              <w:spacing w:after="0" w:line="240" w:lineRule="auto"/>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vertAlign w:val="superscript"/>
                <w:lang w:eastAsia="ja-JP"/>
              </w:rPr>
              <w:t>+</w:t>
            </w:r>
            <w:r w:rsidRPr="00F42269">
              <w:rPr>
                <w:rFonts w:ascii="Calibri" w:eastAsia="MS PGothic" w:hAnsi="Calibri" w:cs="MS PGothic"/>
                <w:color w:val="000000"/>
                <w:sz w:val="20"/>
                <w:szCs w:val="20"/>
                <w:lang w:eastAsia="ja-JP"/>
              </w:rPr>
              <w:t xml:space="preserve"> Month-on-Month                 </w:t>
            </w:r>
            <w:r w:rsidRPr="001031BA">
              <w:rPr>
                <w:rFonts w:ascii="Calibri" w:eastAsia="Times New Roman" w:hAnsi="Calibri" w:cs="Times New Roman"/>
                <w:color w:val="000000"/>
                <w:sz w:val="20"/>
                <w:szCs w:val="20"/>
              </w:rPr>
              <w:t>†</w:t>
            </w:r>
            <w:r w:rsidRPr="00F42269">
              <w:rPr>
                <w:rFonts w:ascii="Calibri" w:eastAsia="MS PGothic" w:hAnsi="Calibri" w:cs="MS PGothic"/>
                <w:color w:val="000000"/>
                <w:sz w:val="20"/>
                <w:szCs w:val="20"/>
                <w:lang w:eastAsia="ja-JP"/>
              </w:rPr>
              <w:t xml:space="preserve"> Annualized Quarter-on-Quarter.</w:t>
            </w:r>
          </w:p>
          <w:p w:rsidR="00CF043C" w:rsidRDefault="00CF043C" w:rsidP="008771D1">
            <w:pPr>
              <w:spacing w:after="0" w:line="240" w:lineRule="auto"/>
              <w:rPr>
                <w:rFonts w:ascii="Calibri" w:eastAsia="MS PGothic" w:hAnsi="Calibri" w:cs="MS PGothic"/>
                <w:color w:val="000000"/>
                <w:sz w:val="20"/>
                <w:szCs w:val="20"/>
                <w:lang w:eastAsia="ja-JP"/>
              </w:rPr>
            </w:pPr>
            <w:r>
              <w:rPr>
                <w:rFonts w:ascii="Calibri" w:eastAsia="MS PGothic" w:hAnsi="Calibri" w:cs="MS PGothic"/>
                <w:color w:val="000000"/>
                <w:sz w:val="20"/>
                <w:szCs w:val="20"/>
                <w:lang w:eastAsia="ja-JP"/>
              </w:rPr>
              <w:t xml:space="preserve"># </w:t>
            </w:r>
            <w:r w:rsidRPr="00F42269">
              <w:rPr>
                <w:rFonts w:ascii="Calibri" w:eastAsia="MS PGothic" w:hAnsi="Calibri" w:cs="MS PGothic"/>
                <w:color w:val="000000"/>
                <w:sz w:val="20"/>
                <w:szCs w:val="20"/>
                <w:lang w:eastAsia="ja-JP"/>
              </w:rPr>
              <w:t xml:space="preserve">Canada also reports </w:t>
            </w:r>
            <w:r w:rsidRPr="008730EB">
              <w:rPr>
                <w:rFonts w:ascii="Calibri" w:eastAsia="MS PGothic" w:hAnsi="Calibri" w:cs="MS PGothic"/>
                <w:i/>
                <w:color w:val="000000"/>
                <w:sz w:val="20"/>
                <w:szCs w:val="20"/>
                <w:lang w:eastAsia="ja-JP"/>
              </w:rPr>
              <w:t>monthly</w:t>
            </w:r>
            <w:r w:rsidRPr="00F42269">
              <w:rPr>
                <w:rFonts w:ascii="Calibri" w:eastAsia="MS PGothic" w:hAnsi="Calibri" w:cs="MS PGothic"/>
                <w:color w:val="000000"/>
                <w:sz w:val="20"/>
                <w:szCs w:val="20"/>
                <w:lang w:eastAsia="ja-JP"/>
              </w:rPr>
              <w:t xml:space="preserve"> growth figures as a reference.</w:t>
            </w:r>
          </w:p>
          <w:p w:rsidR="00CF043C" w:rsidRPr="00F42269" w:rsidRDefault="00CF043C" w:rsidP="008771D1">
            <w:pPr>
              <w:spacing w:after="0" w:line="240" w:lineRule="auto"/>
              <w:rPr>
                <w:rFonts w:ascii="Calibri" w:eastAsia="MS PGothic" w:hAnsi="Calibri" w:cs="MS PGothic"/>
                <w:color w:val="000000"/>
                <w:sz w:val="20"/>
                <w:szCs w:val="20"/>
                <w:lang w:eastAsia="ja-JP"/>
              </w:rPr>
            </w:pPr>
            <w:r>
              <w:rPr>
                <w:rFonts w:ascii="Calibri" w:eastAsia="MS PGothic" w:hAnsi="Calibri" w:cs="MS PGothic"/>
                <w:color w:val="000000"/>
                <w:sz w:val="20"/>
                <w:szCs w:val="20"/>
                <w:lang w:eastAsia="ja-JP"/>
              </w:rPr>
              <w:t xml:space="preserve">* The Netherlands Statistics Bureau (CBS) recently changed its focus from annual to quarterly (in 2012). </w:t>
            </w:r>
          </w:p>
          <w:p w:rsidR="00CF043C" w:rsidRPr="00F42269" w:rsidRDefault="00CF043C" w:rsidP="008771D1">
            <w:pPr>
              <w:spacing w:after="0" w:line="240" w:lineRule="auto"/>
              <w:jc w:val="center"/>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lang w:eastAsia="ja-JP"/>
              </w:rPr>
              <w:t xml:space="preserve">　</w:t>
            </w:r>
          </w:p>
          <w:p w:rsidR="00CF043C" w:rsidRPr="00F42269" w:rsidRDefault="00CF043C" w:rsidP="008771D1">
            <w:pPr>
              <w:spacing w:after="0" w:line="240" w:lineRule="auto"/>
              <w:jc w:val="center"/>
              <w:rPr>
                <w:rFonts w:ascii="Calibri" w:eastAsia="MS PGothic" w:hAnsi="Calibri" w:cs="MS PGothic"/>
                <w:color w:val="000000"/>
                <w:sz w:val="20"/>
                <w:szCs w:val="20"/>
                <w:lang w:eastAsia="ja-JP"/>
              </w:rPr>
            </w:pPr>
            <w:r w:rsidRPr="00F42269">
              <w:rPr>
                <w:rFonts w:ascii="Calibri" w:eastAsia="MS PGothic" w:hAnsi="Calibri" w:cs="MS PGothic"/>
                <w:color w:val="000000"/>
                <w:sz w:val="20"/>
                <w:szCs w:val="20"/>
                <w:lang w:eastAsia="ja-JP"/>
              </w:rPr>
              <w:t xml:space="preserve">　</w:t>
            </w:r>
          </w:p>
        </w:tc>
        <w:tc>
          <w:tcPr>
            <w:tcW w:w="204" w:type="dxa"/>
            <w:vAlign w:val="center"/>
            <w:hideMark/>
          </w:tcPr>
          <w:p w:rsidR="00CF043C" w:rsidRPr="00476944" w:rsidRDefault="00CF043C" w:rsidP="008771D1">
            <w:pPr>
              <w:spacing w:after="0" w:line="240" w:lineRule="auto"/>
              <w:rPr>
                <w:rFonts w:ascii="Times New Roman" w:eastAsia="Times New Roman" w:hAnsi="Times New Roman" w:cs="Times New Roman"/>
                <w:sz w:val="20"/>
                <w:szCs w:val="20"/>
                <w:lang w:eastAsia="ja-JP"/>
              </w:rPr>
            </w:pPr>
          </w:p>
        </w:tc>
        <w:tc>
          <w:tcPr>
            <w:tcW w:w="218" w:type="dxa"/>
            <w:vAlign w:val="center"/>
            <w:hideMark/>
          </w:tcPr>
          <w:p w:rsidR="00CF043C" w:rsidRPr="00476944" w:rsidRDefault="00CF043C" w:rsidP="008771D1">
            <w:pPr>
              <w:spacing w:after="0" w:line="240" w:lineRule="auto"/>
              <w:rPr>
                <w:rFonts w:ascii="Times New Roman" w:eastAsia="Times New Roman" w:hAnsi="Times New Roman" w:cs="Times New Roman"/>
                <w:sz w:val="20"/>
                <w:szCs w:val="20"/>
                <w:lang w:eastAsia="ja-JP"/>
              </w:rPr>
            </w:pPr>
          </w:p>
        </w:tc>
        <w:tc>
          <w:tcPr>
            <w:tcW w:w="218" w:type="dxa"/>
            <w:gridSpan w:val="2"/>
            <w:vAlign w:val="center"/>
            <w:hideMark/>
          </w:tcPr>
          <w:p w:rsidR="00CF043C" w:rsidRPr="00476944" w:rsidRDefault="00CF043C" w:rsidP="008771D1">
            <w:pPr>
              <w:spacing w:after="0" w:line="240" w:lineRule="auto"/>
              <w:rPr>
                <w:rFonts w:ascii="Times New Roman" w:eastAsia="Times New Roman" w:hAnsi="Times New Roman" w:cs="Times New Roman"/>
                <w:sz w:val="20"/>
                <w:szCs w:val="20"/>
                <w:lang w:eastAsia="ja-JP"/>
              </w:rPr>
            </w:pPr>
          </w:p>
        </w:tc>
      </w:tr>
    </w:tbl>
    <w:p w:rsidR="00F42269" w:rsidRDefault="00F42269">
      <w:r>
        <w:br w:type="page"/>
      </w:r>
      <w:bookmarkStart w:id="0" w:name="_GoBack"/>
      <w:bookmarkEnd w:id="0"/>
    </w:p>
    <w:tbl>
      <w:tblPr>
        <w:tblW w:w="9053" w:type="dxa"/>
        <w:tblInd w:w="84" w:type="dxa"/>
        <w:tblCellMar>
          <w:left w:w="99" w:type="dxa"/>
          <w:right w:w="99" w:type="dxa"/>
        </w:tblCellMar>
        <w:tblLook w:val="04A0" w:firstRow="1" w:lastRow="0" w:firstColumn="1" w:lastColumn="0" w:noHBand="0" w:noVBand="1"/>
      </w:tblPr>
      <w:tblGrid>
        <w:gridCol w:w="865"/>
        <w:gridCol w:w="3031"/>
        <w:gridCol w:w="1332"/>
        <w:gridCol w:w="1078"/>
        <w:gridCol w:w="1238"/>
        <w:gridCol w:w="1509"/>
      </w:tblGrid>
      <w:tr w:rsidR="00A42E8D" w:rsidRPr="00027582" w:rsidTr="00A034D9">
        <w:trPr>
          <w:gridAfter w:val="1"/>
          <w:wAfter w:w="1509" w:type="dxa"/>
          <w:trHeight w:val="297"/>
        </w:trPr>
        <w:tc>
          <w:tcPr>
            <w:tcW w:w="7544" w:type="dxa"/>
            <w:gridSpan w:val="5"/>
            <w:tcBorders>
              <w:top w:val="nil"/>
              <w:left w:val="nil"/>
              <w:bottom w:val="nil"/>
              <w:right w:val="nil"/>
            </w:tcBorders>
            <w:shd w:val="clear" w:color="auto" w:fill="auto"/>
            <w:noWrap/>
            <w:vAlign w:val="bottom"/>
            <w:hideMark/>
          </w:tcPr>
          <w:p w:rsidR="00A42E8D" w:rsidRPr="00027582" w:rsidRDefault="00A42E8D" w:rsidP="008771D1">
            <w:pPr>
              <w:spacing w:after="0" w:line="240" w:lineRule="auto"/>
              <w:rPr>
                <w:rFonts w:ascii="Calibri" w:eastAsia="MS PGothic" w:hAnsi="Calibri" w:cs="MS PGothic"/>
                <w:color w:val="000000"/>
                <w:lang w:eastAsia="ja-JP"/>
              </w:rPr>
            </w:pPr>
            <w:r>
              <w:rPr>
                <w:rFonts w:ascii="Calibri" w:eastAsia="MS PGothic" w:hAnsi="Calibri" w:cs="MS PGothic"/>
                <w:b/>
                <w:bCs/>
                <w:color w:val="000000"/>
                <w:sz w:val="24"/>
                <w:szCs w:val="24"/>
                <w:lang w:eastAsia="ja-JP"/>
              </w:rPr>
              <w:lastRenderedPageBreak/>
              <w:t xml:space="preserve">Appendix Table </w:t>
            </w:r>
            <w:r w:rsidRPr="00A42E8D">
              <w:rPr>
                <w:rFonts w:ascii="Calibri" w:eastAsia="MS PGothic" w:hAnsi="Calibri" w:cs="MS PGothic"/>
                <w:b/>
                <w:bCs/>
                <w:color w:val="000000"/>
                <w:sz w:val="24"/>
                <w:szCs w:val="24"/>
                <w:lang w:eastAsia="ja-JP"/>
              </w:rPr>
              <w:t>1b</w:t>
            </w:r>
            <w:r>
              <w:rPr>
                <w:rFonts w:ascii="Calibri" w:eastAsia="MS PGothic" w:hAnsi="Calibri" w:cs="MS PGothic"/>
                <w:b/>
                <w:bCs/>
                <w:color w:val="000000"/>
                <w:sz w:val="24"/>
                <w:szCs w:val="24"/>
                <w:u w:val="single"/>
                <w:lang w:eastAsia="ja-JP"/>
              </w:rPr>
              <w:t xml:space="preserve"> </w:t>
            </w:r>
            <w:r w:rsidRPr="00BB7047">
              <w:rPr>
                <w:rFonts w:ascii="Calibri" w:eastAsia="MS PGothic" w:hAnsi="Calibri" w:cs="MS PGothic"/>
                <w:b/>
                <w:bCs/>
                <w:color w:val="000000"/>
                <w:sz w:val="24"/>
                <w:szCs w:val="24"/>
                <w:u w:val="single"/>
                <w:lang w:eastAsia="ja-JP"/>
              </w:rPr>
              <w:t>Change in employment</w:t>
            </w:r>
          </w:p>
        </w:tc>
      </w:tr>
      <w:tr w:rsidR="007B36C5" w:rsidRPr="00027582" w:rsidTr="00F41628">
        <w:trPr>
          <w:gridAfter w:val="1"/>
          <w:wAfter w:w="1509" w:type="dxa"/>
          <w:trHeight w:val="297"/>
        </w:trPr>
        <w:tc>
          <w:tcPr>
            <w:tcW w:w="865" w:type="dxa"/>
            <w:tcBorders>
              <w:top w:val="single" w:sz="4" w:space="0" w:color="auto"/>
              <w:left w:val="single" w:sz="4" w:space="0" w:color="auto"/>
              <w:bottom w:val="nil"/>
              <w:right w:val="single" w:sz="4" w:space="0" w:color="auto"/>
            </w:tcBorders>
            <w:shd w:val="clear" w:color="auto" w:fill="auto"/>
            <w:noWrap/>
            <w:vAlign w:val="bottom"/>
            <w:hideMark/>
          </w:tcPr>
          <w:p w:rsidR="007B36C5" w:rsidRPr="00027582" w:rsidRDefault="007B36C5" w:rsidP="008771D1">
            <w:pPr>
              <w:spacing w:after="0" w:line="240" w:lineRule="auto"/>
              <w:rPr>
                <w:rFonts w:ascii="Calibri" w:eastAsia="MS PGothic" w:hAnsi="Calibri" w:cs="MS PGothic"/>
                <w:b/>
                <w:bCs/>
                <w:color w:val="000000"/>
                <w:lang w:eastAsia="ja-JP"/>
              </w:rPr>
            </w:pPr>
            <w:r w:rsidRPr="00027582">
              <w:rPr>
                <w:rFonts w:ascii="Calibri" w:eastAsia="MS PGothic" w:hAnsi="Calibri" w:cs="MS PGothic"/>
                <w:b/>
                <w:bCs/>
                <w:color w:val="000000"/>
                <w:lang w:eastAsia="ja-JP"/>
              </w:rPr>
              <w:t xml:space="preserve">　</w:t>
            </w:r>
          </w:p>
        </w:tc>
        <w:tc>
          <w:tcPr>
            <w:tcW w:w="3031" w:type="dxa"/>
            <w:tcBorders>
              <w:top w:val="single" w:sz="4" w:space="0" w:color="auto"/>
              <w:left w:val="single" w:sz="4" w:space="0" w:color="auto"/>
              <w:bottom w:val="nil"/>
              <w:right w:val="nil"/>
            </w:tcBorders>
            <w:shd w:val="clear" w:color="auto" w:fill="auto"/>
            <w:noWrap/>
            <w:vAlign w:val="bottom"/>
            <w:hideMark/>
          </w:tcPr>
          <w:p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 xml:space="preserve">　</w:t>
            </w:r>
          </w:p>
        </w:tc>
        <w:tc>
          <w:tcPr>
            <w:tcW w:w="3648"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7B36C5" w:rsidRPr="00027582" w:rsidRDefault="007B36C5" w:rsidP="008771D1">
            <w:pPr>
              <w:spacing w:after="0" w:line="240" w:lineRule="auto"/>
              <w:jc w:val="center"/>
              <w:rPr>
                <w:rFonts w:ascii="Calibri" w:eastAsia="MS PGothic" w:hAnsi="Calibri" w:cs="MS PGothic"/>
                <w:color w:val="000000"/>
                <w:lang w:eastAsia="ja-JP"/>
              </w:rPr>
            </w:pPr>
            <w:r>
              <w:rPr>
                <w:rFonts w:ascii="Calibri" w:eastAsia="MS PGothic" w:hAnsi="Calibri" w:cs="MS PGothic"/>
                <w:color w:val="000000"/>
                <w:lang w:eastAsia="ja-JP"/>
              </w:rPr>
              <w:t>Focus of release</w:t>
            </w:r>
          </w:p>
        </w:tc>
      </w:tr>
      <w:tr w:rsidR="007B36C5" w:rsidRPr="00027582" w:rsidTr="00F41628">
        <w:trPr>
          <w:gridAfter w:val="1"/>
          <w:wAfter w:w="1509" w:type="dxa"/>
          <w:trHeight w:val="297"/>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 xml:space="preserve">　</w:t>
            </w:r>
          </w:p>
        </w:tc>
        <w:tc>
          <w:tcPr>
            <w:tcW w:w="3031" w:type="dxa"/>
            <w:tcBorders>
              <w:top w:val="nil"/>
              <w:left w:val="single" w:sz="4" w:space="0" w:color="auto"/>
              <w:bottom w:val="single" w:sz="4" w:space="0" w:color="auto"/>
              <w:right w:val="nil"/>
            </w:tcBorders>
            <w:shd w:val="clear" w:color="auto" w:fill="auto"/>
            <w:noWrap/>
            <w:vAlign w:val="bottom"/>
            <w:hideMark/>
          </w:tcPr>
          <w:p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Definition</w:t>
            </w:r>
          </w:p>
        </w:tc>
        <w:tc>
          <w:tcPr>
            <w:tcW w:w="1332"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Government</w:t>
            </w:r>
          </w:p>
        </w:tc>
        <w:tc>
          <w:tcPr>
            <w:tcW w:w="1078" w:type="dxa"/>
            <w:tcBorders>
              <w:top w:val="single" w:sz="4" w:space="0" w:color="auto"/>
              <w:left w:val="single" w:sz="4" w:space="0" w:color="auto"/>
              <w:bottom w:val="single" w:sz="4" w:space="0" w:color="auto"/>
              <w:right w:val="nil"/>
            </w:tcBorders>
            <w:shd w:val="clear" w:color="auto" w:fill="auto"/>
            <w:noWrap/>
            <w:vAlign w:val="bottom"/>
            <w:hideMark/>
          </w:tcPr>
          <w:p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Reuters</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Bloomberg</w:t>
            </w:r>
          </w:p>
        </w:tc>
      </w:tr>
      <w:tr w:rsidR="007B36C5" w:rsidRPr="00027582" w:rsidTr="00381B67">
        <w:trPr>
          <w:gridAfter w:val="1"/>
          <w:wAfter w:w="1509" w:type="dxa"/>
          <w:trHeight w:val="297"/>
        </w:trPr>
        <w:tc>
          <w:tcPr>
            <w:tcW w:w="865" w:type="dxa"/>
            <w:tcBorders>
              <w:top w:val="nil"/>
              <w:left w:val="single" w:sz="4" w:space="0" w:color="auto"/>
              <w:bottom w:val="nil"/>
              <w:right w:val="single" w:sz="4" w:space="0" w:color="auto"/>
            </w:tcBorders>
            <w:shd w:val="clear" w:color="auto" w:fill="auto"/>
            <w:noWrap/>
            <w:vAlign w:val="bottom"/>
            <w:hideMark/>
          </w:tcPr>
          <w:p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Canada</w:t>
            </w:r>
          </w:p>
        </w:tc>
        <w:tc>
          <w:tcPr>
            <w:tcW w:w="3031" w:type="dxa"/>
            <w:tcBorders>
              <w:top w:val="nil"/>
              <w:left w:val="single" w:sz="4" w:space="0" w:color="auto"/>
              <w:bottom w:val="nil"/>
              <w:right w:val="nil"/>
            </w:tcBorders>
            <w:shd w:val="clear" w:color="auto" w:fill="auto"/>
            <w:noWrap/>
            <w:vAlign w:val="bottom"/>
            <w:hideMark/>
          </w:tcPr>
          <w:p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People in Employment</w:t>
            </w:r>
          </w:p>
        </w:tc>
        <w:tc>
          <w:tcPr>
            <w:tcW w:w="1332" w:type="dxa"/>
            <w:tcBorders>
              <w:top w:val="nil"/>
              <w:left w:val="double" w:sz="6" w:space="0" w:color="auto"/>
              <w:bottom w:val="nil"/>
              <w:right w:val="single" w:sz="4" w:space="0" w:color="auto"/>
            </w:tcBorders>
            <w:shd w:val="clear" w:color="auto" w:fill="auto"/>
            <w:noWrap/>
            <w:vAlign w:val="bottom"/>
            <w:hideMark/>
          </w:tcPr>
          <w:p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MoM</w:t>
            </w:r>
          </w:p>
        </w:tc>
        <w:tc>
          <w:tcPr>
            <w:tcW w:w="1078" w:type="dxa"/>
            <w:tcBorders>
              <w:top w:val="nil"/>
              <w:left w:val="single" w:sz="4" w:space="0" w:color="auto"/>
              <w:bottom w:val="nil"/>
              <w:right w:val="nil"/>
            </w:tcBorders>
            <w:shd w:val="clear" w:color="auto" w:fill="auto"/>
            <w:noWrap/>
            <w:vAlign w:val="bottom"/>
            <w:hideMark/>
          </w:tcPr>
          <w:p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MoM</w:t>
            </w:r>
          </w:p>
        </w:tc>
        <w:tc>
          <w:tcPr>
            <w:tcW w:w="1238" w:type="dxa"/>
            <w:tcBorders>
              <w:top w:val="nil"/>
              <w:left w:val="nil"/>
              <w:bottom w:val="nil"/>
              <w:right w:val="single" w:sz="4" w:space="0" w:color="auto"/>
            </w:tcBorders>
            <w:shd w:val="clear" w:color="auto" w:fill="auto"/>
            <w:noWrap/>
            <w:vAlign w:val="bottom"/>
            <w:hideMark/>
          </w:tcPr>
          <w:p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MoM</w:t>
            </w:r>
          </w:p>
        </w:tc>
      </w:tr>
      <w:tr w:rsidR="007B36C5" w:rsidRPr="00027582" w:rsidTr="00381B67">
        <w:trPr>
          <w:gridAfter w:val="1"/>
          <w:wAfter w:w="1509" w:type="dxa"/>
          <w:trHeight w:val="297"/>
        </w:trPr>
        <w:tc>
          <w:tcPr>
            <w:tcW w:w="865" w:type="dxa"/>
            <w:tcBorders>
              <w:top w:val="nil"/>
              <w:left w:val="single" w:sz="4" w:space="0" w:color="auto"/>
              <w:bottom w:val="nil"/>
              <w:right w:val="single" w:sz="4" w:space="0" w:color="auto"/>
            </w:tcBorders>
            <w:shd w:val="clear" w:color="auto" w:fill="auto"/>
            <w:noWrap/>
            <w:vAlign w:val="bottom"/>
            <w:hideMark/>
          </w:tcPr>
          <w:p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Japan</w:t>
            </w:r>
          </w:p>
        </w:tc>
        <w:tc>
          <w:tcPr>
            <w:tcW w:w="3031" w:type="dxa"/>
            <w:tcBorders>
              <w:top w:val="nil"/>
              <w:left w:val="single" w:sz="4" w:space="0" w:color="auto"/>
              <w:bottom w:val="nil"/>
              <w:right w:val="nil"/>
            </w:tcBorders>
            <w:shd w:val="clear" w:color="auto" w:fill="auto"/>
            <w:noWrap/>
            <w:vAlign w:val="bottom"/>
            <w:hideMark/>
          </w:tcPr>
          <w:p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People at Work</w:t>
            </w:r>
          </w:p>
        </w:tc>
        <w:tc>
          <w:tcPr>
            <w:tcW w:w="1332" w:type="dxa"/>
            <w:tcBorders>
              <w:top w:val="nil"/>
              <w:left w:val="double" w:sz="6" w:space="0" w:color="auto"/>
              <w:bottom w:val="nil"/>
              <w:right w:val="single" w:sz="4" w:space="0" w:color="auto"/>
            </w:tcBorders>
            <w:shd w:val="clear" w:color="auto" w:fill="auto"/>
            <w:noWrap/>
            <w:vAlign w:val="bottom"/>
            <w:hideMark/>
          </w:tcPr>
          <w:p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YoY</w:t>
            </w:r>
          </w:p>
        </w:tc>
        <w:tc>
          <w:tcPr>
            <w:tcW w:w="1078" w:type="dxa"/>
            <w:tcBorders>
              <w:top w:val="nil"/>
              <w:left w:val="single" w:sz="4" w:space="0" w:color="auto"/>
              <w:bottom w:val="nil"/>
              <w:right w:val="nil"/>
            </w:tcBorders>
            <w:shd w:val="clear" w:color="auto" w:fill="auto"/>
            <w:noWrap/>
            <w:vAlign w:val="bottom"/>
            <w:hideMark/>
          </w:tcPr>
          <w:p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N/A*</w:t>
            </w:r>
          </w:p>
        </w:tc>
        <w:tc>
          <w:tcPr>
            <w:tcW w:w="1238" w:type="dxa"/>
            <w:tcBorders>
              <w:top w:val="nil"/>
              <w:left w:val="nil"/>
              <w:bottom w:val="nil"/>
              <w:right w:val="single" w:sz="4" w:space="0" w:color="auto"/>
            </w:tcBorders>
            <w:shd w:val="clear" w:color="auto" w:fill="auto"/>
            <w:noWrap/>
            <w:vAlign w:val="bottom"/>
            <w:hideMark/>
          </w:tcPr>
          <w:p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N/A</w:t>
            </w:r>
          </w:p>
        </w:tc>
      </w:tr>
      <w:tr w:rsidR="007B36C5" w:rsidRPr="00027582" w:rsidTr="00381B67">
        <w:trPr>
          <w:gridAfter w:val="1"/>
          <w:wAfter w:w="1509" w:type="dxa"/>
          <w:trHeight w:val="297"/>
        </w:trPr>
        <w:tc>
          <w:tcPr>
            <w:tcW w:w="865" w:type="dxa"/>
            <w:tcBorders>
              <w:top w:val="nil"/>
              <w:left w:val="single" w:sz="4" w:space="0" w:color="auto"/>
              <w:bottom w:val="nil"/>
              <w:right w:val="single" w:sz="4" w:space="0" w:color="auto"/>
            </w:tcBorders>
            <w:shd w:val="clear" w:color="auto" w:fill="auto"/>
            <w:noWrap/>
            <w:vAlign w:val="bottom"/>
            <w:hideMark/>
          </w:tcPr>
          <w:p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US</w:t>
            </w:r>
          </w:p>
        </w:tc>
        <w:tc>
          <w:tcPr>
            <w:tcW w:w="3031" w:type="dxa"/>
            <w:tcBorders>
              <w:top w:val="nil"/>
              <w:left w:val="single" w:sz="4" w:space="0" w:color="auto"/>
              <w:bottom w:val="nil"/>
              <w:right w:val="nil"/>
            </w:tcBorders>
            <w:shd w:val="clear" w:color="auto" w:fill="auto"/>
            <w:noWrap/>
            <w:vAlign w:val="bottom"/>
            <w:hideMark/>
          </w:tcPr>
          <w:p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Payroll Non-Farm Employment</w:t>
            </w:r>
          </w:p>
        </w:tc>
        <w:tc>
          <w:tcPr>
            <w:tcW w:w="1332" w:type="dxa"/>
            <w:tcBorders>
              <w:top w:val="nil"/>
              <w:left w:val="double" w:sz="6" w:space="0" w:color="auto"/>
              <w:bottom w:val="nil"/>
              <w:right w:val="single" w:sz="4" w:space="0" w:color="auto"/>
            </w:tcBorders>
            <w:shd w:val="clear" w:color="auto" w:fill="auto"/>
            <w:noWrap/>
            <w:vAlign w:val="bottom"/>
            <w:hideMark/>
          </w:tcPr>
          <w:p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MoM</w:t>
            </w:r>
          </w:p>
        </w:tc>
        <w:tc>
          <w:tcPr>
            <w:tcW w:w="1078" w:type="dxa"/>
            <w:tcBorders>
              <w:top w:val="nil"/>
              <w:left w:val="single" w:sz="4" w:space="0" w:color="auto"/>
              <w:bottom w:val="nil"/>
              <w:right w:val="nil"/>
            </w:tcBorders>
            <w:shd w:val="clear" w:color="auto" w:fill="auto"/>
            <w:noWrap/>
            <w:vAlign w:val="bottom"/>
            <w:hideMark/>
          </w:tcPr>
          <w:p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MoM</w:t>
            </w:r>
          </w:p>
        </w:tc>
        <w:tc>
          <w:tcPr>
            <w:tcW w:w="1238" w:type="dxa"/>
            <w:tcBorders>
              <w:top w:val="nil"/>
              <w:left w:val="nil"/>
              <w:bottom w:val="nil"/>
              <w:right w:val="single" w:sz="4" w:space="0" w:color="auto"/>
            </w:tcBorders>
            <w:shd w:val="clear" w:color="auto" w:fill="auto"/>
            <w:noWrap/>
            <w:vAlign w:val="bottom"/>
            <w:hideMark/>
          </w:tcPr>
          <w:p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MoM</w:t>
            </w:r>
          </w:p>
        </w:tc>
      </w:tr>
      <w:tr w:rsidR="007B36C5" w:rsidRPr="00027582" w:rsidTr="00381B67">
        <w:trPr>
          <w:gridAfter w:val="1"/>
          <w:wAfter w:w="1509" w:type="dxa"/>
          <w:trHeight w:val="297"/>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Korea</w:t>
            </w:r>
          </w:p>
        </w:tc>
        <w:tc>
          <w:tcPr>
            <w:tcW w:w="3031" w:type="dxa"/>
            <w:tcBorders>
              <w:top w:val="nil"/>
              <w:left w:val="single" w:sz="4" w:space="0" w:color="auto"/>
              <w:bottom w:val="single" w:sz="4" w:space="0" w:color="auto"/>
              <w:right w:val="nil"/>
            </w:tcBorders>
            <w:shd w:val="clear" w:color="auto" w:fill="auto"/>
            <w:noWrap/>
            <w:vAlign w:val="bottom"/>
            <w:hideMark/>
          </w:tcPr>
          <w:p w:rsidR="007B36C5" w:rsidRPr="00027582" w:rsidRDefault="007B36C5" w:rsidP="008771D1">
            <w:pPr>
              <w:spacing w:after="0" w:line="240" w:lineRule="auto"/>
              <w:rPr>
                <w:rFonts w:ascii="Calibri" w:eastAsia="MS PGothic" w:hAnsi="Calibri" w:cs="MS PGothic"/>
                <w:color w:val="000000"/>
                <w:lang w:eastAsia="ja-JP"/>
              </w:rPr>
            </w:pPr>
            <w:r w:rsidRPr="00027582">
              <w:rPr>
                <w:rFonts w:ascii="Calibri" w:eastAsia="MS PGothic" w:hAnsi="Calibri" w:cs="MS PGothic"/>
                <w:color w:val="000000"/>
                <w:lang w:eastAsia="ja-JP"/>
              </w:rPr>
              <w:t>Number of Employed</w:t>
            </w:r>
          </w:p>
        </w:tc>
        <w:tc>
          <w:tcPr>
            <w:tcW w:w="1332" w:type="dxa"/>
            <w:tcBorders>
              <w:top w:val="nil"/>
              <w:left w:val="double" w:sz="6" w:space="0" w:color="auto"/>
              <w:bottom w:val="single" w:sz="4" w:space="0" w:color="auto"/>
              <w:right w:val="single" w:sz="4" w:space="0" w:color="auto"/>
            </w:tcBorders>
            <w:shd w:val="clear" w:color="auto" w:fill="auto"/>
            <w:noWrap/>
            <w:vAlign w:val="bottom"/>
            <w:hideMark/>
          </w:tcPr>
          <w:p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YoY</w:t>
            </w:r>
          </w:p>
        </w:tc>
        <w:tc>
          <w:tcPr>
            <w:tcW w:w="1078" w:type="dxa"/>
            <w:tcBorders>
              <w:top w:val="nil"/>
              <w:left w:val="single" w:sz="4" w:space="0" w:color="auto"/>
              <w:bottom w:val="single" w:sz="4" w:space="0" w:color="auto"/>
              <w:right w:val="nil"/>
            </w:tcBorders>
            <w:shd w:val="clear" w:color="auto" w:fill="auto"/>
            <w:noWrap/>
            <w:vAlign w:val="bottom"/>
            <w:hideMark/>
          </w:tcPr>
          <w:p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N/A</w:t>
            </w:r>
          </w:p>
        </w:tc>
        <w:tc>
          <w:tcPr>
            <w:tcW w:w="1238" w:type="dxa"/>
            <w:tcBorders>
              <w:top w:val="nil"/>
              <w:left w:val="nil"/>
              <w:bottom w:val="single" w:sz="4" w:space="0" w:color="auto"/>
              <w:right w:val="single" w:sz="4" w:space="0" w:color="auto"/>
            </w:tcBorders>
            <w:shd w:val="clear" w:color="auto" w:fill="auto"/>
            <w:noWrap/>
            <w:vAlign w:val="bottom"/>
            <w:hideMark/>
          </w:tcPr>
          <w:p w:rsidR="007B36C5" w:rsidRPr="00027582" w:rsidRDefault="007B36C5" w:rsidP="008771D1">
            <w:pPr>
              <w:spacing w:after="0" w:line="240" w:lineRule="auto"/>
              <w:jc w:val="center"/>
              <w:rPr>
                <w:rFonts w:ascii="Calibri" w:eastAsia="MS PGothic" w:hAnsi="Calibri" w:cs="MS PGothic"/>
                <w:color w:val="000000"/>
                <w:lang w:eastAsia="ja-JP"/>
              </w:rPr>
            </w:pPr>
            <w:r w:rsidRPr="00027582">
              <w:rPr>
                <w:rFonts w:ascii="Calibri" w:eastAsia="MS PGothic" w:hAnsi="Calibri" w:cs="MS PGothic"/>
                <w:color w:val="000000"/>
                <w:lang w:eastAsia="ja-JP"/>
              </w:rPr>
              <w:t>N/A</w:t>
            </w:r>
          </w:p>
        </w:tc>
      </w:tr>
      <w:tr w:rsidR="007B36C5" w:rsidRPr="00027582" w:rsidTr="0044191C">
        <w:trPr>
          <w:trHeight w:val="297"/>
        </w:trPr>
        <w:tc>
          <w:tcPr>
            <w:tcW w:w="9053" w:type="dxa"/>
            <w:gridSpan w:val="6"/>
            <w:tcBorders>
              <w:top w:val="nil"/>
              <w:left w:val="nil"/>
              <w:bottom w:val="nil"/>
              <w:right w:val="nil"/>
            </w:tcBorders>
            <w:shd w:val="clear" w:color="auto" w:fill="auto"/>
            <w:noWrap/>
            <w:vAlign w:val="bottom"/>
            <w:hideMark/>
          </w:tcPr>
          <w:p w:rsidR="007B36C5" w:rsidRDefault="007B36C5" w:rsidP="00530881">
            <w:pPr>
              <w:spacing w:after="0" w:line="240" w:lineRule="auto"/>
              <w:rPr>
                <w:rFonts w:ascii="Calibri" w:eastAsia="MS PGothic" w:hAnsi="Calibri" w:cs="MS PGothic"/>
                <w:color w:val="000000"/>
                <w:sz w:val="20"/>
                <w:szCs w:val="20"/>
                <w:lang w:eastAsia="ja-JP"/>
              </w:rPr>
            </w:pPr>
            <w:r w:rsidRPr="007B36C5">
              <w:rPr>
                <w:rFonts w:ascii="Calibri" w:eastAsia="MS PGothic" w:hAnsi="Calibri" w:cs="MS PGothic"/>
                <w:color w:val="000000"/>
                <w:sz w:val="10"/>
                <w:szCs w:val="10"/>
                <w:lang w:eastAsia="ja-JP"/>
              </w:rPr>
              <w:br/>
            </w:r>
            <w:r w:rsidRPr="007B36C5">
              <w:rPr>
                <w:rFonts w:ascii="Calibri" w:eastAsia="MS PGothic" w:hAnsi="Calibri" w:cs="MS PGothic"/>
                <w:color w:val="000000"/>
                <w:sz w:val="20"/>
                <w:szCs w:val="20"/>
                <w:lang w:eastAsia="ja-JP"/>
              </w:rPr>
              <w:t xml:space="preserve">*In Japan and Korea, the news services </w:t>
            </w:r>
            <w:r w:rsidR="00745415">
              <w:rPr>
                <w:rFonts w:ascii="Calibri" w:eastAsia="MS PGothic" w:hAnsi="Calibri" w:cs="MS PGothic"/>
                <w:color w:val="000000"/>
                <w:sz w:val="20"/>
                <w:szCs w:val="20"/>
                <w:lang w:eastAsia="ja-JP"/>
              </w:rPr>
              <w:t xml:space="preserve">almost exclusively </w:t>
            </w:r>
            <w:r w:rsidR="00222657">
              <w:rPr>
                <w:rFonts w:ascii="Calibri" w:eastAsia="MS PGothic" w:hAnsi="Calibri" w:cs="MS PGothic"/>
                <w:color w:val="000000"/>
                <w:sz w:val="20"/>
                <w:szCs w:val="20"/>
                <w:lang w:eastAsia="ja-JP"/>
              </w:rPr>
              <w:t xml:space="preserve">report </w:t>
            </w:r>
            <w:r w:rsidR="005D2BC5">
              <w:rPr>
                <w:rFonts w:ascii="Calibri" w:eastAsia="MS PGothic" w:hAnsi="Calibri" w:cs="MS PGothic"/>
                <w:color w:val="000000"/>
                <w:sz w:val="20"/>
                <w:szCs w:val="20"/>
                <w:lang w:eastAsia="ja-JP"/>
              </w:rPr>
              <w:t xml:space="preserve">the </w:t>
            </w:r>
            <w:r w:rsidRPr="007B36C5">
              <w:rPr>
                <w:rFonts w:ascii="Calibri" w:eastAsia="MS PGothic" w:hAnsi="Calibri" w:cs="MS PGothic"/>
                <w:color w:val="000000"/>
                <w:sz w:val="20"/>
                <w:szCs w:val="20"/>
                <w:lang w:eastAsia="ja-JP"/>
              </w:rPr>
              <w:t xml:space="preserve">unemployment </w:t>
            </w:r>
            <w:r w:rsidRPr="009D515E">
              <w:rPr>
                <w:rFonts w:ascii="Calibri" w:eastAsia="MS PGothic" w:hAnsi="Calibri" w:cs="MS PGothic"/>
                <w:i/>
                <w:color w:val="000000"/>
                <w:sz w:val="20"/>
                <w:szCs w:val="20"/>
                <w:lang w:eastAsia="ja-JP"/>
              </w:rPr>
              <w:t>rates</w:t>
            </w:r>
            <w:r w:rsidRPr="007B36C5">
              <w:rPr>
                <w:rFonts w:ascii="Calibri" w:eastAsia="MS PGothic" w:hAnsi="Calibri" w:cs="MS PGothic"/>
                <w:color w:val="000000"/>
                <w:sz w:val="20"/>
                <w:szCs w:val="20"/>
                <w:lang w:eastAsia="ja-JP"/>
              </w:rPr>
              <w:t xml:space="preserve">, not changes in employment. </w:t>
            </w:r>
          </w:p>
          <w:p w:rsidR="00BB7047" w:rsidRPr="00C6197F" w:rsidRDefault="00BB7047" w:rsidP="00530881">
            <w:pPr>
              <w:spacing w:after="0" w:line="240" w:lineRule="auto"/>
              <w:rPr>
                <w:rFonts w:ascii="Calibri" w:eastAsia="MS PGothic" w:hAnsi="Calibri" w:cs="MS PGothic"/>
                <w:color w:val="000000"/>
                <w:sz w:val="18"/>
                <w:szCs w:val="18"/>
                <w:lang w:eastAsia="ja-JP"/>
              </w:rPr>
            </w:pPr>
          </w:p>
        </w:tc>
      </w:tr>
    </w:tbl>
    <w:p w:rsidR="00CF043C" w:rsidRDefault="00CF043C" w:rsidP="00D2716D">
      <w:pPr>
        <w:rPr>
          <w:b/>
          <w:sz w:val="24"/>
          <w:szCs w:val="24"/>
        </w:rPr>
      </w:pPr>
    </w:p>
    <w:p w:rsidR="00CF043C" w:rsidRDefault="00CF043C" w:rsidP="00D2716D">
      <w:pPr>
        <w:rPr>
          <w:b/>
          <w:sz w:val="24"/>
          <w:szCs w:val="24"/>
        </w:rPr>
      </w:pPr>
    </w:p>
    <w:p w:rsidR="00C0493C" w:rsidRDefault="00A42E8D" w:rsidP="00D2716D">
      <w:pPr>
        <w:rPr>
          <w:b/>
          <w:sz w:val="24"/>
          <w:szCs w:val="24"/>
        </w:rPr>
      </w:pPr>
      <w:r>
        <w:rPr>
          <w:b/>
          <w:sz w:val="24"/>
          <w:szCs w:val="24"/>
        </w:rPr>
        <w:t xml:space="preserve">Appendix </w:t>
      </w:r>
      <w:r w:rsidR="00C82952" w:rsidRPr="00C82952">
        <w:rPr>
          <w:b/>
          <w:sz w:val="24"/>
          <w:szCs w:val="24"/>
        </w:rPr>
        <w:t>Table 2B: Reactions to CPI releases by individual country</w:t>
      </w:r>
    </w:p>
    <w:tbl>
      <w:tblPr>
        <w:tblW w:w="9483" w:type="dxa"/>
        <w:tblInd w:w="93" w:type="dxa"/>
        <w:tblLayout w:type="fixed"/>
        <w:tblLook w:val="04A0" w:firstRow="1" w:lastRow="0" w:firstColumn="1" w:lastColumn="0" w:noHBand="0" w:noVBand="1"/>
      </w:tblPr>
      <w:tblGrid>
        <w:gridCol w:w="15"/>
        <w:gridCol w:w="1804"/>
        <w:gridCol w:w="566"/>
        <w:gridCol w:w="566"/>
        <w:gridCol w:w="724"/>
        <w:gridCol w:w="181"/>
        <w:gridCol w:w="119"/>
        <w:gridCol w:w="1710"/>
        <w:gridCol w:w="370"/>
        <w:gridCol w:w="710"/>
        <w:gridCol w:w="1440"/>
        <w:gridCol w:w="170"/>
        <w:gridCol w:w="660"/>
        <w:gridCol w:w="448"/>
      </w:tblGrid>
      <w:tr w:rsidR="00C82952" w:rsidRPr="00C82952" w:rsidTr="00085BE4">
        <w:trPr>
          <w:trHeight w:val="300"/>
        </w:trPr>
        <w:tc>
          <w:tcPr>
            <w:tcW w:w="9483" w:type="dxa"/>
            <w:gridSpan w:val="14"/>
            <w:vMerge w:val="restart"/>
            <w:tcBorders>
              <w:top w:val="single" w:sz="8" w:space="0" w:color="auto"/>
              <w:left w:val="single" w:sz="8" w:space="0" w:color="auto"/>
              <w:bottom w:val="single" w:sz="4" w:space="0" w:color="000000"/>
              <w:right w:val="single" w:sz="8" w:space="0" w:color="000000"/>
            </w:tcBorders>
            <w:shd w:val="clear" w:color="000000" w:fill="FFFFFF"/>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xml:space="preserve">Dependent Variable: % change in 10 year government bond prices                                                         </w:t>
            </w:r>
            <w:r w:rsidR="00413E7C">
              <w:rPr>
                <w:rFonts w:ascii="Calibri" w:eastAsia="Times New Roman" w:hAnsi="Calibri" w:cs="Times New Roman"/>
                <w:color w:val="000000"/>
              </w:rPr>
              <w:t xml:space="preserve">               (between the days </w:t>
            </w:r>
            <w:r w:rsidRPr="00C82952">
              <w:rPr>
                <w:rFonts w:ascii="Calibri" w:eastAsia="Times New Roman" w:hAnsi="Calibri" w:cs="Times New Roman"/>
                <w:color w:val="000000"/>
              </w:rPr>
              <w:t>before the announcement</w:t>
            </w:r>
            <w:r w:rsidR="00413E7C">
              <w:rPr>
                <w:rFonts w:ascii="Calibri" w:eastAsia="Times New Roman" w:hAnsi="Calibri" w:cs="Times New Roman"/>
                <w:color w:val="000000"/>
              </w:rPr>
              <w:t xml:space="preserve"> and the day following</w:t>
            </w:r>
            <w:r w:rsidRPr="00C82952">
              <w:rPr>
                <w:rFonts w:ascii="Calibri" w:eastAsia="Times New Roman" w:hAnsi="Calibri" w:cs="Times New Roman"/>
                <w:color w:val="000000"/>
              </w:rPr>
              <w:t>)</w:t>
            </w:r>
          </w:p>
        </w:tc>
      </w:tr>
      <w:tr w:rsidR="00C82952" w:rsidRPr="00C82952" w:rsidTr="00085BE4">
        <w:trPr>
          <w:trHeight w:val="300"/>
        </w:trPr>
        <w:tc>
          <w:tcPr>
            <w:tcW w:w="9483" w:type="dxa"/>
            <w:gridSpan w:val="14"/>
            <w:vMerge/>
            <w:tcBorders>
              <w:top w:val="single" w:sz="8" w:space="0" w:color="auto"/>
              <w:left w:val="single" w:sz="8" w:space="0" w:color="auto"/>
              <w:bottom w:val="single" w:sz="4" w:space="0" w:color="000000"/>
              <w:right w:val="single" w:sz="8" w:space="0" w:color="000000"/>
            </w:tcBorders>
            <w:vAlign w:val="center"/>
            <w:hideMark/>
          </w:tcPr>
          <w:p w:rsidR="00C82952" w:rsidRPr="00C82952" w:rsidRDefault="00C82952" w:rsidP="00C82952">
            <w:pPr>
              <w:spacing w:after="0" w:line="240" w:lineRule="auto"/>
              <w:rPr>
                <w:rFonts w:ascii="Calibri" w:eastAsia="Times New Roman" w:hAnsi="Calibri" w:cs="Times New Roman"/>
                <w:color w:val="000000"/>
              </w:rPr>
            </w:pPr>
          </w:p>
        </w:tc>
      </w:tr>
      <w:tr w:rsidR="00C82952" w:rsidRPr="00C82952" w:rsidTr="001031BA">
        <w:trPr>
          <w:trHeight w:val="179"/>
        </w:trPr>
        <w:tc>
          <w:tcPr>
            <w:tcW w:w="3856" w:type="dxa"/>
            <w:gridSpan w:val="6"/>
            <w:tcBorders>
              <w:top w:val="nil"/>
              <w:left w:val="single" w:sz="8" w:space="0" w:color="auto"/>
              <w:bottom w:val="nil"/>
              <w:right w:val="nil"/>
            </w:tcBorders>
            <w:shd w:val="clear" w:color="000000" w:fill="FFFFFF"/>
            <w:noWrap/>
            <w:vAlign w:val="bottom"/>
            <w:hideMark/>
          </w:tcPr>
          <w:p w:rsidR="00C82952" w:rsidRPr="001031BA" w:rsidRDefault="00C82952" w:rsidP="00C82952">
            <w:pPr>
              <w:spacing w:after="0" w:line="240" w:lineRule="auto"/>
              <w:rPr>
                <w:rFonts w:ascii="Calibri" w:eastAsia="Times New Roman" w:hAnsi="Calibri" w:cs="Times New Roman"/>
                <w:b/>
                <w:bCs/>
                <w:color w:val="000000"/>
              </w:rPr>
            </w:pPr>
            <w:r w:rsidRPr="00C82952">
              <w:rPr>
                <w:rFonts w:ascii="Calibri" w:eastAsia="Times New Roman" w:hAnsi="Calibri" w:cs="Times New Roman"/>
                <w:b/>
                <w:bCs/>
                <w:color w:val="000000"/>
              </w:rPr>
              <w:t>Emp</w:t>
            </w:r>
            <w:r w:rsidR="001031BA">
              <w:rPr>
                <w:rFonts w:ascii="Calibri" w:eastAsia="Times New Roman" w:hAnsi="Calibri" w:cs="Times New Roman"/>
                <w:b/>
                <w:bCs/>
                <w:color w:val="000000"/>
              </w:rPr>
              <w:t>hasis of Inflation Announcement</w:t>
            </w:r>
          </w:p>
        </w:tc>
        <w:tc>
          <w:tcPr>
            <w:tcW w:w="2909" w:type="dxa"/>
            <w:gridSpan w:val="4"/>
            <w:tcBorders>
              <w:top w:val="single" w:sz="4" w:space="0" w:color="auto"/>
              <w:left w:val="dashed" w:sz="4" w:space="0" w:color="auto"/>
              <w:bottom w:val="nil"/>
              <w:right w:val="dashed" w:sz="4" w:space="0" w:color="000000"/>
            </w:tcBorders>
            <w:shd w:val="clear" w:color="000000" w:fill="FFFFFF"/>
            <w:vAlign w:val="bottom"/>
            <w:hideMark/>
          </w:tcPr>
          <w:p w:rsidR="00C82952" w:rsidRPr="00C82952" w:rsidRDefault="00C82952" w:rsidP="00F4162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12-month inflation</w:t>
            </w:r>
            <w:r w:rsidRPr="00C82952">
              <w:rPr>
                <w:rFonts w:ascii="Calibri" w:eastAsia="Times New Roman" w:hAnsi="Calibri" w:cs="Times New Roman"/>
                <w:color w:val="000000"/>
              </w:rPr>
              <w:t xml:space="preserve"> </w:t>
            </w:r>
          </w:p>
        </w:tc>
        <w:tc>
          <w:tcPr>
            <w:tcW w:w="2718" w:type="dxa"/>
            <w:gridSpan w:val="4"/>
            <w:tcBorders>
              <w:top w:val="single" w:sz="4" w:space="0" w:color="auto"/>
              <w:left w:val="nil"/>
              <w:bottom w:val="nil"/>
              <w:right w:val="single" w:sz="8" w:space="0" w:color="000000"/>
            </w:tcBorders>
            <w:shd w:val="clear" w:color="000000" w:fill="FFFFFF"/>
            <w:vAlign w:val="bottom"/>
            <w:hideMark/>
          </w:tcPr>
          <w:p w:rsidR="00C82952" w:rsidRPr="00C82952" w:rsidRDefault="00C82952" w:rsidP="00085BE4">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Month</w:t>
            </w:r>
            <w:r w:rsidR="00085BE4">
              <w:rPr>
                <w:rFonts w:ascii="Calibri" w:eastAsia="Times New Roman" w:hAnsi="Calibri" w:cs="Times New Roman"/>
                <w:color w:val="000000"/>
              </w:rPr>
              <w:t>-on-month</w:t>
            </w:r>
          </w:p>
        </w:tc>
      </w:tr>
      <w:tr w:rsidR="00C82952" w:rsidRPr="00C82952" w:rsidTr="00870141">
        <w:trPr>
          <w:trHeight w:val="300"/>
        </w:trPr>
        <w:tc>
          <w:tcPr>
            <w:tcW w:w="3856" w:type="dxa"/>
            <w:gridSpan w:val="6"/>
            <w:tcBorders>
              <w:top w:val="nil"/>
              <w:left w:val="single" w:sz="8" w:space="0" w:color="auto"/>
              <w:bottom w:val="single" w:sz="4" w:space="0" w:color="auto"/>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r w:rsidR="001031BA">
              <w:rPr>
                <w:rFonts w:ascii="Calibri" w:eastAsia="Times New Roman" w:hAnsi="Calibri" w:cs="Times New Roman"/>
                <w:color w:val="000000"/>
              </w:rPr>
              <w:t xml:space="preserve">                                                   </w:t>
            </w:r>
            <w:r w:rsidRPr="00C82952">
              <w:rPr>
                <w:rFonts w:ascii="Calibri" w:eastAsia="Times New Roman" w:hAnsi="Calibri" w:cs="Times New Roman"/>
                <w:color w:val="000000"/>
              </w:rPr>
              <w:t>Country</w:t>
            </w:r>
          </w:p>
        </w:tc>
        <w:tc>
          <w:tcPr>
            <w:tcW w:w="1829" w:type="dxa"/>
            <w:gridSpan w:val="2"/>
            <w:tcBorders>
              <w:top w:val="nil"/>
              <w:left w:val="dashed" w:sz="4" w:space="0" w:color="auto"/>
              <w:bottom w:val="single" w:sz="4" w:space="0" w:color="auto"/>
              <w:right w:val="nil"/>
            </w:tcBorders>
            <w:shd w:val="clear" w:color="000000" w:fill="FFFFFF"/>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Canada</w:t>
            </w:r>
          </w:p>
        </w:tc>
        <w:tc>
          <w:tcPr>
            <w:tcW w:w="1080" w:type="dxa"/>
            <w:gridSpan w:val="2"/>
            <w:tcBorders>
              <w:top w:val="nil"/>
              <w:left w:val="nil"/>
              <w:bottom w:val="single" w:sz="4" w:space="0" w:color="auto"/>
              <w:right w:val="dashed" w:sz="4"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UK</w:t>
            </w:r>
          </w:p>
        </w:tc>
        <w:tc>
          <w:tcPr>
            <w:tcW w:w="1440" w:type="dxa"/>
            <w:tcBorders>
              <w:top w:val="nil"/>
              <w:left w:val="nil"/>
              <w:bottom w:val="single" w:sz="4" w:space="0" w:color="auto"/>
              <w:right w:val="nil"/>
            </w:tcBorders>
            <w:shd w:val="clear" w:color="000000" w:fill="FFFFFF"/>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Korea</w:t>
            </w:r>
          </w:p>
        </w:tc>
        <w:tc>
          <w:tcPr>
            <w:tcW w:w="1278" w:type="dxa"/>
            <w:gridSpan w:val="3"/>
            <w:tcBorders>
              <w:top w:val="nil"/>
              <w:left w:val="nil"/>
              <w:bottom w:val="single" w:sz="4" w:space="0" w:color="auto"/>
              <w:right w:val="single" w:sz="8"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US</w:t>
            </w:r>
          </w:p>
        </w:tc>
      </w:tr>
      <w:tr w:rsidR="00C82952" w:rsidRPr="00C82952" w:rsidTr="00870141">
        <w:trPr>
          <w:trHeight w:val="300"/>
        </w:trPr>
        <w:tc>
          <w:tcPr>
            <w:tcW w:w="3856" w:type="dxa"/>
            <w:gridSpan w:val="6"/>
            <w:vMerge w:val="restart"/>
            <w:tcBorders>
              <w:top w:val="single" w:sz="4" w:space="0" w:color="auto"/>
              <w:left w:val="single" w:sz="8" w:space="0" w:color="auto"/>
              <w:right w:val="nil"/>
            </w:tcBorders>
            <w:shd w:val="clear" w:color="000000" w:fill="FFFFFF"/>
            <w:noWrap/>
            <w:hideMark/>
          </w:tcPr>
          <w:p w:rsidR="00C82952" w:rsidRPr="00C82952" w:rsidRDefault="00C82952" w:rsidP="00222657">
            <w:pPr>
              <w:pBdr>
                <w:bottom w:val="double" w:sz="4" w:space="1" w:color="auto"/>
              </w:pBd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r w:rsidR="00085BE4">
              <w:rPr>
                <w:rFonts w:ascii="Calibri" w:eastAsia="Times New Roman" w:hAnsi="Calibri" w:cs="Times New Roman"/>
                <w:color w:val="000000"/>
              </w:rPr>
              <w:t> </w:t>
            </w:r>
            <w:proofErr w:type="spellStart"/>
            <w:r w:rsidRPr="00C82952">
              <w:rPr>
                <w:rFonts w:ascii="Calibri" w:eastAsia="Times New Roman" w:hAnsi="Calibri" w:cs="Times New Roman"/>
                <w:color w:val="000000"/>
              </w:rPr>
              <w:t>MoM</w:t>
            </w:r>
            <w:proofErr w:type="spellEnd"/>
            <w:r w:rsidRPr="00C82952">
              <w:rPr>
                <w:rFonts w:ascii="Calibri" w:eastAsia="Times New Roman" w:hAnsi="Calibri" w:cs="Times New Roman"/>
                <w:color w:val="000000"/>
              </w:rPr>
              <w:t xml:space="preserve"> Surprise</w:t>
            </w:r>
            <w:r w:rsidR="000B54D5" w:rsidRPr="00C82952">
              <w:rPr>
                <w:rFonts w:ascii="Calibri" w:eastAsia="Times New Roman" w:hAnsi="Calibri" w:cs="Times New Roman"/>
                <w:color w:val="000000"/>
              </w:rPr>
              <w:t>†</w:t>
            </w:r>
          </w:p>
          <w:p w:rsidR="00C82952" w:rsidRPr="00085BE4" w:rsidRDefault="000B54D5" w:rsidP="00222657">
            <w:pPr>
              <w:pBdr>
                <w:bottom w:val="double" w:sz="4" w:space="1" w:color="auto"/>
              </w:pBdr>
              <w:spacing w:after="0" w:line="240" w:lineRule="auto"/>
              <w:rPr>
                <w:rFonts w:ascii="Calibri" w:eastAsia="Times New Roman" w:hAnsi="Calibri" w:cs="Times New Roman"/>
                <w:color w:val="000000"/>
                <w:sz w:val="6"/>
                <w:szCs w:val="6"/>
              </w:rPr>
            </w:pPr>
            <w:r>
              <w:rPr>
                <w:rFonts w:ascii="Calibri" w:eastAsia="Times New Roman" w:hAnsi="Calibri" w:cs="Times New Roman"/>
                <w:color w:val="000000"/>
                <w:sz w:val="18"/>
                <w:szCs w:val="18"/>
              </w:rPr>
              <w:br/>
            </w:r>
          </w:p>
          <w:p w:rsidR="00C82952" w:rsidRPr="00085BE4" w:rsidRDefault="00C82952" w:rsidP="00222657">
            <w:pPr>
              <w:pBdr>
                <w:bottom w:val="double" w:sz="4" w:space="1" w:color="auto"/>
              </w:pBdr>
              <w:spacing w:after="0" w:line="240" w:lineRule="auto"/>
              <w:rPr>
                <w:rFonts w:ascii="Calibri" w:eastAsia="Times New Roman" w:hAnsi="Calibri" w:cs="Times New Roman"/>
                <w:color w:val="000000"/>
                <w:sz w:val="6"/>
                <w:szCs w:val="6"/>
              </w:rPr>
            </w:pPr>
            <w:r w:rsidRPr="00085BE4">
              <w:rPr>
                <w:rFonts w:ascii="Calibri" w:eastAsia="Times New Roman" w:hAnsi="Calibri" w:cs="Times New Roman"/>
                <w:color w:val="000000"/>
                <w:sz w:val="6"/>
                <w:szCs w:val="6"/>
              </w:rPr>
              <w:t> </w:t>
            </w:r>
          </w:p>
          <w:p w:rsidR="00C82952" w:rsidRPr="00C82952" w:rsidRDefault="00C82952" w:rsidP="00222657">
            <w:pPr>
              <w:pBdr>
                <w:bottom w:val="double" w:sz="4" w:space="1" w:color="auto"/>
              </w:pBd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roofErr w:type="spellStart"/>
            <w:r w:rsidRPr="00C82952">
              <w:rPr>
                <w:rFonts w:ascii="Calibri" w:eastAsia="Times New Roman" w:hAnsi="Calibri" w:cs="Times New Roman"/>
                <w:color w:val="000000"/>
              </w:rPr>
              <w:t>YoY</w:t>
            </w:r>
            <w:proofErr w:type="spellEnd"/>
            <w:r w:rsidRPr="00C82952">
              <w:rPr>
                <w:rFonts w:ascii="Calibri" w:eastAsia="Times New Roman" w:hAnsi="Calibri" w:cs="Times New Roman"/>
                <w:color w:val="000000"/>
              </w:rPr>
              <w:t xml:space="preserve"> Surprise</w:t>
            </w:r>
            <w:r w:rsidR="000B54D5" w:rsidRPr="00C82952">
              <w:rPr>
                <w:rFonts w:ascii="Calibri" w:eastAsia="Times New Roman" w:hAnsi="Calibri" w:cs="Times New Roman"/>
                <w:color w:val="000000"/>
              </w:rPr>
              <w:t>†</w:t>
            </w:r>
          </w:p>
          <w:p w:rsidR="00C82952" w:rsidRPr="006009C2" w:rsidRDefault="00C82952" w:rsidP="00222657">
            <w:pPr>
              <w:pBdr>
                <w:bottom w:val="double" w:sz="4" w:space="1" w:color="auto"/>
              </w:pBd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p w:rsidR="00870141" w:rsidRPr="000B54D5" w:rsidRDefault="00C82952" w:rsidP="00222657">
            <w:pPr>
              <w:pBdr>
                <w:bottom w:val="double" w:sz="4" w:space="1" w:color="auto"/>
              </w:pBdr>
              <w:spacing w:after="0" w:line="240" w:lineRule="auto"/>
              <w:rPr>
                <w:rFonts w:ascii="Calibri" w:hAnsi="Calibri" w:cs="Times New Roman"/>
                <w:color w:val="000000"/>
                <w:sz w:val="10"/>
                <w:szCs w:val="10"/>
                <w:lang w:eastAsia="ja-JP"/>
              </w:rPr>
            </w:pPr>
            <w:r w:rsidRPr="00085BE4">
              <w:rPr>
                <w:rFonts w:ascii="Calibri" w:eastAsia="Times New Roman" w:hAnsi="Calibri" w:cs="Times New Roman"/>
                <w:color w:val="000000"/>
                <w:sz w:val="16"/>
                <w:szCs w:val="16"/>
              </w:rPr>
              <w:t>  </w:t>
            </w:r>
            <w:r w:rsidR="006009C2" w:rsidRPr="00C82952">
              <w:rPr>
                <w:rFonts w:ascii="Calibri" w:eastAsia="Times New Roman" w:hAnsi="Calibri" w:cs="Times New Roman"/>
                <w:color w:val="000000"/>
              </w:rPr>
              <w:t>Constant</w:t>
            </w:r>
          </w:p>
          <w:p w:rsidR="000A3FB1" w:rsidRPr="000B54D5" w:rsidRDefault="000A3FB1" w:rsidP="00222657">
            <w:pPr>
              <w:pBdr>
                <w:bottom w:val="double" w:sz="4" w:space="1" w:color="auto"/>
              </w:pBdr>
              <w:spacing w:after="0" w:line="240" w:lineRule="auto"/>
              <w:rPr>
                <w:rFonts w:ascii="Calibri" w:hAnsi="Calibri" w:cs="Times New Roman"/>
                <w:color w:val="000000"/>
                <w:sz w:val="10"/>
                <w:szCs w:val="10"/>
                <w:lang w:eastAsia="ja-JP"/>
              </w:rPr>
            </w:pPr>
          </w:p>
          <w:p w:rsidR="00C82952" w:rsidRPr="00085BE4" w:rsidRDefault="00085BE4" w:rsidP="00222657">
            <w:pPr>
              <w:pBdr>
                <w:bottom w:val="double" w:sz="4" w:space="1" w:color="auto"/>
              </w:pBdr>
              <w:spacing w:after="0" w:line="240" w:lineRule="auto"/>
              <w:rPr>
                <w:rFonts w:ascii="Calibri" w:eastAsia="Times New Roman" w:hAnsi="Calibri" w:cs="Times New Roman"/>
                <w:color w:val="000000"/>
                <w:sz w:val="8"/>
                <w:szCs w:val="8"/>
              </w:rPr>
            </w:pPr>
            <w:r w:rsidRPr="00085BE4">
              <w:rPr>
                <w:rFonts w:ascii="Calibri" w:eastAsia="Times New Roman" w:hAnsi="Calibri" w:cs="Times New Roman"/>
                <w:color w:val="000000"/>
                <w:sz w:val="8"/>
                <w:szCs w:val="8"/>
              </w:rPr>
              <w:br/>
            </w:r>
          </w:p>
          <w:p w:rsidR="006009C2" w:rsidRPr="006009C2" w:rsidRDefault="006009C2" w:rsidP="00085BE4">
            <w:pPr>
              <w:spacing w:after="0" w:line="240" w:lineRule="auto"/>
              <w:rPr>
                <w:rFonts w:ascii="Calibri" w:eastAsia="Times New Roman" w:hAnsi="Calibri" w:cs="Times New Roman"/>
                <w:color w:val="000000"/>
                <w:sz w:val="10"/>
                <w:szCs w:val="10"/>
              </w:rPr>
            </w:pPr>
            <w:r w:rsidRPr="006009C2">
              <w:rPr>
                <w:rFonts w:ascii="Calibri" w:eastAsia="Times New Roman" w:hAnsi="Calibri" w:cs="Times New Roman"/>
                <w:color w:val="000000"/>
                <w:sz w:val="4"/>
                <w:szCs w:val="4"/>
              </w:rPr>
              <w:br/>
            </w:r>
            <w:r w:rsidRPr="00085BE4">
              <w:rPr>
                <w:rFonts w:ascii="Calibri" w:eastAsia="Times New Roman" w:hAnsi="Calibri" w:cs="Times New Roman"/>
                <w:color w:val="000000"/>
                <w:sz w:val="20"/>
                <w:szCs w:val="20"/>
              </w:rPr>
              <w:t xml:space="preserve">Number of observations </w:t>
            </w:r>
          </w:p>
          <w:p w:rsidR="00C82952" w:rsidRPr="000B54D5" w:rsidRDefault="006009C2" w:rsidP="00085BE4">
            <w:pPr>
              <w:spacing w:after="0" w:line="240" w:lineRule="auto"/>
              <w:rPr>
                <w:rFonts w:ascii="Calibri" w:eastAsia="Times New Roman" w:hAnsi="Calibri" w:cs="Times New Roman"/>
                <w:color w:val="000000"/>
                <w:sz w:val="2"/>
                <w:szCs w:val="2"/>
              </w:rPr>
            </w:pPr>
            <w:r w:rsidRPr="006009C2">
              <w:rPr>
                <w:rFonts w:ascii="Calibri" w:eastAsia="Times New Roman" w:hAnsi="Calibri" w:cs="Times New Roman"/>
                <w:color w:val="000000"/>
                <w:sz w:val="10"/>
                <w:szCs w:val="10"/>
              </w:rPr>
              <w:br/>
            </w:r>
            <w:r w:rsidR="00C82952" w:rsidRPr="00085BE4">
              <w:rPr>
                <w:rFonts w:ascii="Calibri" w:eastAsia="Times New Roman" w:hAnsi="Calibri" w:cs="Times New Roman"/>
                <w:color w:val="000000"/>
                <w:sz w:val="20"/>
                <w:szCs w:val="20"/>
              </w:rPr>
              <w:t>R</w:t>
            </w:r>
            <w:r w:rsidR="00C82952" w:rsidRPr="00085BE4">
              <w:rPr>
                <w:rFonts w:ascii="Calibri" w:eastAsia="Times New Roman" w:hAnsi="Calibri" w:cs="Times New Roman"/>
                <w:color w:val="000000"/>
                <w:sz w:val="20"/>
                <w:szCs w:val="20"/>
                <w:vertAlign w:val="superscript"/>
              </w:rPr>
              <w:t xml:space="preserve">2 </w:t>
            </w:r>
            <w:r w:rsidR="00085BE4" w:rsidRPr="000B54D5">
              <w:rPr>
                <w:rFonts w:ascii="Calibri" w:eastAsia="Times New Roman" w:hAnsi="Calibri" w:cs="Times New Roman"/>
                <w:color w:val="000000"/>
                <w:sz w:val="2"/>
                <w:szCs w:val="2"/>
                <w:vertAlign w:val="superscript"/>
              </w:rPr>
              <w:br/>
            </w:r>
          </w:p>
          <w:p w:rsidR="00C82952" w:rsidRPr="00C82952" w:rsidRDefault="00C82952" w:rsidP="00085BE4">
            <w:pPr>
              <w:spacing w:after="0" w:line="240" w:lineRule="auto"/>
              <w:rPr>
                <w:rFonts w:ascii="Calibri" w:eastAsia="Times New Roman" w:hAnsi="Calibri" w:cs="Times New Roman"/>
                <w:color w:val="000000"/>
              </w:rPr>
            </w:pPr>
            <w:r w:rsidRPr="00085BE4">
              <w:rPr>
                <w:rFonts w:ascii="Calibri" w:eastAsia="Times New Roman" w:hAnsi="Calibri" w:cs="Times New Roman"/>
                <w:color w:val="000000"/>
                <w:sz w:val="20"/>
                <w:szCs w:val="20"/>
              </w:rPr>
              <w:t>F-value</w:t>
            </w:r>
            <w:r w:rsidR="00085BE4" w:rsidRPr="00085BE4">
              <w:rPr>
                <w:rFonts w:ascii="Calibri" w:eastAsia="Times New Roman" w:hAnsi="Calibri" w:cs="Times New Roman"/>
                <w:color w:val="000000"/>
                <w:sz w:val="8"/>
                <w:szCs w:val="8"/>
              </w:rPr>
              <w:br/>
            </w:r>
            <w:r w:rsidR="00085BE4" w:rsidRPr="00085BE4">
              <w:rPr>
                <w:rFonts w:ascii="Calibri" w:eastAsia="Times New Roman" w:hAnsi="Calibri" w:cs="Times New Roman"/>
                <w:color w:val="000000"/>
                <w:sz w:val="8"/>
                <w:szCs w:val="8"/>
              </w:rPr>
              <w:br/>
            </w:r>
            <w:proofErr w:type="spellStart"/>
            <w:r w:rsidRPr="00085BE4">
              <w:rPr>
                <w:rFonts w:ascii="Calibri" w:eastAsia="Times New Roman" w:hAnsi="Calibri" w:cs="Times New Roman"/>
                <w:color w:val="000000"/>
                <w:sz w:val="20"/>
                <w:szCs w:val="20"/>
              </w:rPr>
              <w:t>Prob</w:t>
            </w:r>
            <w:proofErr w:type="spellEnd"/>
            <w:r w:rsidRPr="00085BE4">
              <w:rPr>
                <w:rFonts w:ascii="Calibri" w:eastAsia="Times New Roman" w:hAnsi="Calibri" w:cs="Times New Roman"/>
                <w:color w:val="000000"/>
                <w:sz w:val="20"/>
                <w:szCs w:val="20"/>
              </w:rPr>
              <w:t xml:space="preserve"> &gt; F</w:t>
            </w:r>
          </w:p>
        </w:tc>
        <w:tc>
          <w:tcPr>
            <w:tcW w:w="1829" w:type="dxa"/>
            <w:gridSpan w:val="2"/>
            <w:tcBorders>
              <w:top w:val="single" w:sz="4" w:space="0" w:color="auto"/>
              <w:left w:val="dashed" w:sz="4" w:space="0" w:color="auto"/>
              <w:bottom w:val="nil"/>
              <w:right w:val="nil"/>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-0.0006</w:t>
            </w:r>
          </w:p>
        </w:tc>
        <w:tc>
          <w:tcPr>
            <w:tcW w:w="1080" w:type="dxa"/>
            <w:gridSpan w:val="2"/>
            <w:tcBorders>
              <w:top w:val="single" w:sz="4" w:space="0" w:color="auto"/>
              <w:left w:val="nil"/>
              <w:bottom w:val="nil"/>
              <w:right w:val="dashed" w:sz="4"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0.01</w:t>
            </w:r>
          </w:p>
        </w:tc>
        <w:tc>
          <w:tcPr>
            <w:tcW w:w="1440" w:type="dxa"/>
            <w:tcBorders>
              <w:top w:val="single" w:sz="4" w:space="0" w:color="auto"/>
              <w:left w:val="nil"/>
              <w:bottom w:val="nil"/>
              <w:right w:val="nil"/>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-0.065</w:t>
            </w:r>
          </w:p>
        </w:tc>
        <w:tc>
          <w:tcPr>
            <w:tcW w:w="1278" w:type="dxa"/>
            <w:gridSpan w:val="3"/>
            <w:tcBorders>
              <w:top w:val="single" w:sz="4" w:space="0" w:color="auto"/>
              <w:left w:val="nil"/>
              <w:bottom w:val="nil"/>
              <w:right w:val="single" w:sz="8"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-0.02</w:t>
            </w:r>
          </w:p>
        </w:tc>
      </w:tr>
      <w:tr w:rsidR="00C82952" w:rsidRPr="00C82952" w:rsidTr="00085BE4">
        <w:trPr>
          <w:trHeight w:val="135"/>
        </w:trPr>
        <w:tc>
          <w:tcPr>
            <w:tcW w:w="3856" w:type="dxa"/>
            <w:gridSpan w:val="6"/>
            <w:vMerge/>
            <w:tcBorders>
              <w:left w:val="single" w:sz="8" w:space="0" w:color="auto"/>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p>
        </w:tc>
        <w:tc>
          <w:tcPr>
            <w:tcW w:w="1829" w:type="dxa"/>
            <w:gridSpan w:val="2"/>
            <w:tcBorders>
              <w:top w:val="nil"/>
              <w:left w:val="dashed" w:sz="4" w:space="0" w:color="auto"/>
              <w:bottom w:val="nil"/>
              <w:right w:val="nil"/>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[-0.21]</w:t>
            </w:r>
          </w:p>
        </w:tc>
        <w:tc>
          <w:tcPr>
            <w:tcW w:w="1080" w:type="dxa"/>
            <w:gridSpan w:val="2"/>
            <w:tcBorders>
              <w:top w:val="nil"/>
              <w:left w:val="nil"/>
              <w:bottom w:val="nil"/>
              <w:right w:val="dashed" w:sz="4"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[0.03]</w:t>
            </w:r>
          </w:p>
        </w:tc>
        <w:tc>
          <w:tcPr>
            <w:tcW w:w="144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[-1.61]</w:t>
            </w:r>
          </w:p>
        </w:tc>
        <w:tc>
          <w:tcPr>
            <w:tcW w:w="1278" w:type="dxa"/>
            <w:gridSpan w:val="3"/>
            <w:tcBorders>
              <w:top w:val="nil"/>
              <w:left w:val="nil"/>
              <w:bottom w:val="nil"/>
              <w:right w:val="single" w:sz="8"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[-1.03]</w:t>
            </w:r>
          </w:p>
        </w:tc>
      </w:tr>
      <w:tr w:rsidR="00C82952" w:rsidRPr="00C82952" w:rsidTr="00085BE4">
        <w:trPr>
          <w:trHeight w:val="300"/>
        </w:trPr>
        <w:tc>
          <w:tcPr>
            <w:tcW w:w="3856" w:type="dxa"/>
            <w:gridSpan w:val="6"/>
            <w:vMerge/>
            <w:tcBorders>
              <w:left w:val="single" w:sz="8" w:space="0" w:color="auto"/>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p>
        </w:tc>
        <w:tc>
          <w:tcPr>
            <w:tcW w:w="1829" w:type="dxa"/>
            <w:gridSpan w:val="2"/>
            <w:tcBorders>
              <w:top w:val="nil"/>
              <w:left w:val="dashed" w:sz="4" w:space="0" w:color="auto"/>
              <w:bottom w:val="nil"/>
              <w:right w:val="nil"/>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-0.002</w:t>
            </w:r>
          </w:p>
        </w:tc>
        <w:tc>
          <w:tcPr>
            <w:tcW w:w="1080" w:type="dxa"/>
            <w:gridSpan w:val="2"/>
            <w:tcBorders>
              <w:top w:val="nil"/>
              <w:left w:val="nil"/>
              <w:bottom w:val="nil"/>
              <w:right w:val="dashed" w:sz="4"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-0.02</w:t>
            </w:r>
            <w:r w:rsidRPr="00C82952">
              <w:rPr>
                <w:rFonts w:ascii="Calibri" w:eastAsia="Times New Roman" w:hAnsi="Calibri" w:cs="Times New Roman"/>
                <w:b/>
                <w:bCs/>
                <w:color w:val="000000"/>
                <w:vertAlign w:val="superscript"/>
              </w:rPr>
              <w:t>***</w:t>
            </w:r>
          </w:p>
        </w:tc>
        <w:tc>
          <w:tcPr>
            <w:tcW w:w="144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0.005</w:t>
            </w:r>
          </w:p>
        </w:tc>
        <w:tc>
          <w:tcPr>
            <w:tcW w:w="1278" w:type="dxa"/>
            <w:gridSpan w:val="3"/>
            <w:tcBorders>
              <w:top w:val="nil"/>
              <w:left w:val="nil"/>
              <w:bottom w:val="nil"/>
              <w:right w:val="single" w:sz="8"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0.001</w:t>
            </w:r>
          </w:p>
        </w:tc>
      </w:tr>
      <w:tr w:rsidR="00C82952" w:rsidRPr="00C82952" w:rsidTr="00085BE4">
        <w:trPr>
          <w:trHeight w:val="117"/>
        </w:trPr>
        <w:tc>
          <w:tcPr>
            <w:tcW w:w="3856" w:type="dxa"/>
            <w:gridSpan w:val="6"/>
            <w:vMerge/>
            <w:tcBorders>
              <w:left w:val="single" w:sz="8" w:space="0" w:color="auto"/>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p>
        </w:tc>
        <w:tc>
          <w:tcPr>
            <w:tcW w:w="1829" w:type="dxa"/>
            <w:gridSpan w:val="2"/>
            <w:tcBorders>
              <w:top w:val="nil"/>
              <w:left w:val="dashed" w:sz="4" w:space="0" w:color="auto"/>
              <w:bottom w:val="nil"/>
              <w:right w:val="nil"/>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[-0.70]</w:t>
            </w:r>
          </w:p>
        </w:tc>
        <w:tc>
          <w:tcPr>
            <w:tcW w:w="1080" w:type="dxa"/>
            <w:gridSpan w:val="2"/>
            <w:tcBorders>
              <w:top w:val="nil"/>
              <w:left w:val="nil"/>
              <w:bottom w:val="nil"/>
              <w:right w:val="dashed" w:sz="4"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b/>
                <w:bCs/>
                <w:color w:val="000000"/>
              </w:rPr>
            </w:pPr>
            <w:r w:rsidRPr="00C82952">
              <w:rPr>
                <w:rFonts w:ascii="Calibri" w:eastAsia="Times New Roman" w:hAnsi="Calibri" w:cs="Times New Roman"/>
                <w:b/>
                <w:bCs/>
                <w:color w:val="000000"/>
              </w:rPr>
              <w:t>[-3.56]</w:t>
            </w:r>
          </w:p>
        </w:tc>
        <w:tc>
          <w:tcPr>
            <w:tcW w:w="1440" w:type="dxa"/>
            <w:tcBorders>
              <w:top w:val="nil"/>
              <w:left w:val="nil"/>
              <w:bottom w:val="nil"/>
              <w:right w:val="nil"/>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[1.60]</w:t>
            </w:r>
          </w:p>
        </w:tc>
        <w:tc>
          <w:tcPr>
            <w:tcW w:w="1278" w:type="dxa"/>
            <w:gridSpan w:val="3"/>
            <w:tcBorders>
              <w:top w:val="nil"/>
              <w:left w:val="nil"/>
              <w:bottom w:val="nil"/>
              <w:right w:val="single" w:sz="8"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[1.01]</w:t>
            </w:r>
          </w:p>
        </w:tc>
      </w:tr>
      <w:tr w:rsidR="00C82952" w:rsidRPr="00C82952" w:rsidTr="00085BE4">
        <w:trPr>
          <w:trHeight w:val="300"/>
        </w:trPr>
        <w:tc>
          <w:tcPr>
            <w:tcW w:w="3856" w:type="dxa"/>
            <w:gridSpan w:val="6"/>
            <w:vMerge/>
            <w:tcBorders>
              <w:left w:val="single" w:sz="8" w:space="0" w:color="auto"/>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p>
        </w:tc>
        <w:tc>
          <w:tcPr>
            <w:tcW w:w="1829" w:type="dxa"/>
            <w:gridSpan w:val="2"/>
            <w:tcBorders>
              <w:top w:val="nil"/>
              <w:left w:val="dashed" w:sz="4" w:space="0" w:color="auto"/>
              <w:bottom w:val="nil"/>
              <w:right w:val="nil"/>
            </w:tcBorders>
            <w:shd w:val="clear" w:color="000000" w:fill="FFFFFF"/>
            <w:noWrap/>
            <w:vAlign w:val="bottom"/>
            <w:hideMark/>
          </w:tcPr>
          <w:p w:rsid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-0.0002</w:t>
            </w:r>
          </w:p>
          <w:p w:rsidR="00C451A0" w:rsidRPr="00C82952" w:rsidRDefault="00C451A0"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[-0.58]</w:t>
            </w:r>
          </w:p>
        </w:tc>
        <w:tc>
          <w:tcPr>
            <w:tcW w:w="1080" w:type="dxa"/>
            <w:gridSpan w:val="2"/>
            <w:tcBorders>
              <w:top w:val="nil"/>
              <w:left w:val="nil"/>
              <w:bottom w:val="nil"/>
              <w:right w:val="dashed" w:sz="4" w:space="0" w:color="auto"/>
            </w:tcBorders>
            <w:shd w:val="clear" w:color="000000" w:fill="FFFFFF"/>
            <w:noWrap/>
            <w:vAlign w:val="bottom"/>
            <w:hideMark/>
          </w:tcPr>
          <w:p w:rsid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-0.002</w:t>
            </w:r>
          </w:p>
          <w:p w:rsidR="00C451A0" w:rsidRPr="00C82952" w:rsidRDefault="00C451A0"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[0.57]</w:t>
            </w:r>
          </w:p>
        </w:tc>
        <w:tc>
          <w:tcPr>
            <w:tcW w:w="1440" w:type="dxa"/>
            <w:tcBorders>
              <w:top w:val="nil"/>
              <w:left w:val="nil"/>
              <w:bottom w:val="nil"/>
              <w:right w:val="nil"/>
            </w:tcBorders>
            <w:shd w:val="clear" w:color="000000" w:fill="FFFFFF"/>
            <w:noWrap/>
            <w:vAlign w:val="bottom"/>
            <w:hideMark/>
          </w:tcPr>
          <w:p w:rsid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-0.0006</w:t>
            </w:r>
          </w:p>
          <w:p w:rsidR="00C451A0" w:rsidRPr="00C82952" w:rsidRDefault="00C451A0"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[-1.37]</w:t>
            </w:r>
          </w:p>
        </w:tc>
        <w:tc>
          <w:tcPr>
            <w:tcW w:w="1278" w:type="dxa"/>
            <w:gridSpan w:val="3"/>
            <w:tcBorders>
              <w:top w:val="nil"/>
              <w:left w:val="nil"/>
              <w:bottom w:val="nil"/>
              <w:right w:val="single" w:sz="8" w:space="0" w:color="auto"/>
            </w:tcBorders>
            <w:shd w:val="clear" w:color="000000" w:fill="FFFFFF"/>
            <w:noWrap/>
            <w:vAlign w:val="bottom"/>
            <w:hideMark/>
          </w:tcPr>
          <w:p w:rsidR="00C82952" w:rsidRDefault="00C82952"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0.0008</w:t>
            </w:r>
          </w:p>
          <w:p w:rsidR="00C451A0" w:rsidRPr="00C82952" w:rsidRDefault="00C451A0" w:rsidP="00C8295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[1.55]</w:t>
            </w:r>
          </w:p>
        </w:tc>
      </w:tr>
      <w:tr w:rsidR="00C82952" w:rsidRPr="00C82952" w:rsidTr="000B54D5">
        <w:trPr>
          <w:trHeight w:val="66"/>
        </w:trPr>
        <w:tc>
          <w:tcPr>
            <w:tcW w:w="3856" w:type="dxa"/>
            <w:gridSpan w:val="6"/>
            <w:vMerge/>
            <w:tcBorders>
              <w:left w:val="single" w:sz="8" w:space="0" w:color="auto"/>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p>
        </w:tc>
        <w:tc>
          <w:tcPr>
            <w:tcW w:w="1829" w:type="dxa"/>
            <w:gridSpan w:val="2"/>
            <w:tcBorders>
              <w:top w:val="nil"/>
              <w:left w:val="dashed" w:sz="4" w:space="0" w:color="auto"/>
              <w:bottom w:val="double" w:sz="6" w:space="0" w:color="auto"/>
              <w:right w:val="nil"/>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p>
        </w:tc>
        <w:tc>
          <w:tcPr>
            <w:tcW w:w="1080" w:type="dxa"/>
            <w:gridSpan w:val="2"/>
            <w:tcBorders>
              <w:top w:val="nil"/>
              <w:left w:val="nil"/>
              <w:bottom w:val="double" w:sz="6" w:space="0" w:color="auto"/>
              <w:right w:val="dashed" w:sz="4"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p>
        </w:tc>
        <w:tc>
          <w:tcPr>
            <w:tcW w:w="1440" w:type="dxa"/>
            <w:tcBorders>
              <w:top w:val="nil"/>
              <w:left w:val="nil"/>
              <w:bottom w:val="double" w:sz="6" w:space="0" w:color="auto"/>
              <w:right w:val="nil"/>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p>
        </w:tc>
        <w:tc>
          <w:tcPr>
            <w:tcW w:w="1278" w:type="dxa"/>
            <w:gridSpan w:val="3"/>
            <w:tcBorders>
              <w:top w:val="nil"/>
              <w:left w:val="nil"/>
              <w:bottom w:val="double" w:sz="6" w:space="0" w:color="auto"/>
              <w:right w:val="single" w:sz="8" w:space="0" w:color="auto"/>
            </w:tcBorders>
            <w:shd w:val="clear" w:color="000000" w:fill="FFFFFF"/>
            <w:noWrap/>
            <w:vAlign w:val="bottom"/>
            <w:hideMark/>
          </w:tcPr>
          <w:p w:rsidR="00C82952" w:rsidRPr="00C82952" w:rsidRDefault="00C82952" w:rsidP="00C82952">
            <w:pPr>
              <w:spacing w:after="0" w:line="240" w:lineRule="auto"/>
              <w:jc w:val="center"/>
              <w:rPr>
                <w:rFonts w:ascii="Calibri" w:eastAsia="Times New Roman" w:hAnsi="Calibri" w:cs="Times New Roman"/>
                <w:color w:val="000000"/>
              </w:rPr>
            </w:pPr>
          </w:p>
        </w:tc>
      </w:tr>
      <w:tr w:rsidR="00C82952" w:rsidRPr="00C82952" w:rsidTr="00085BE4">
        <w:trPr>
          <w:trHeight w:val="315"/>
        </w:trPr>
        <w:tc>
          <w:tcPr>
            <w:tcW w:w="3856" w:type="dxa"/>
            <w:gridSpan w:val="6"/>
            <w:vMerge/>
            <w:tcBorders>
              <w:left w:val="single" w:sz="8" w:space="0" w:color="auto"/>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p>
        </w:tc>
        <w:tc>
          <w:tcPr>
            <w:tcW w:w="1829" w:type="dxa"/>
            <w:gridSpan w:val="2"/>
            <w:tcBorders>
              <w:top w:val="nil"/>
              <w:left w:val="dashed" w:sz="4" w:space="0" w:color="auto"/>
              <w:bottom w:val="nil"/>
              <w:right w:val="nil"/>
            </w:tcBorders>
            <w:shd w:val="clear" w:color="000000" w:fill="FFFFFF"/>
            <w:noWrap/>
            <w:vAlign w:val="bottom"/>
            <w:hideMark/>
          </w:tcPr>
          <w:p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139</w:t>
            </w:r>
          </w:p>
        </w:tc>
        <w:tc>
          <w:tcPr>
            <w:tcW w:w="1080" w:type="dxa"/>
            <w:gridSpan w:val="2"/>
            <w:tcBorders>
              <w:top w:val="nil"/>
              <w:left w:val="nil"/>
              <w:bottom w:val="nil"/>
              <w:right w:val="dashed" w:sz="4" w:space="0" w:color="auto"/>
            </w:tcBorders>
            <w:shd w:val="clear" w:color="000000" w:fill="FFFFFF"/>
            <w:noWrap/>
            <w:vAlign w:val="bottom"/>
            <w:hideMark/>
          </w:tcPr>
          <w:p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128</w:t>
            </w:r>
          </w:p>
        </w:tc>
        <w:tc>
          <w:tcPr>
            <w:tcW w:w="1440" w:type="dxa"/>
            <w:tcBorders>
              <w:top w:val="nil"/>
              <w:left w:val="nil"/>
              <w:bottom w:val="nil"/>
              <w:right w:val="nil"/>
            </w:tcBorders>
            <w:shd w:val="clear" w:color="000000" w:fill="FFFFFF"/>
            <w:noWrap/>
            <w:vAlign w:val="bottom"/>
            <w:hideMark/>
          </w:tcPr>
          <w:p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120</w:t>
            </w:r>
          </w:p>
        </w:tc>
        <w:tc>
          <w:tcPr>
            <w:tcW w:w="1278" w:type="dxa"/>
            <w:gridSpan w:val="3"/>
            <w:tcBorders>
              <w:top w:val="nil"/>
              <w:left w:val="nil"/>
              <w:bottom w:val="nil"/>
              <w:right w:val="single" w:sz="8" w:space="0" w:color="auto"/>
            </w:tcBorders>
            <w:shd w:val="clear" w:color="000000" w:fill="FFFFFF"/>
            <w:noWrap/>
            <w:vAlign w:val="bottom"/>
            <w:hideMark/>
          </w:tcPr>
          <w:p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139</w:t>
            </w:r>
          </w:p>
        </w:tc>
      </w:tr>
      <w:tr w:rsidR="00C82952" w:rsidRPr="00C82952" w:rsidTr="00085BE4">
        <w:trPr>
          <w:trHeight w:val="315"/>
        </w:trPr>
        <w:tc>
          <w:tcPr>
            <w:tcW w:w="3856" w:type="dxa"/>
            <w:gridSpan w:val="6"/>
            <w:vMerge/>
            <w:tcBorders>
              <w:left w:val="single" w:sz="8" w:space="0" w:color="auto"/>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p>
        </w:tc>
        <w:tc>
          <w:tcPr>
            <w:tcW w:w="1829" w:type="dxa"/>
            <w:gridSpan w:val="2"/>
            <w:tcBorders>
              <w:top w:val="nil"/>
              <w:left w:val="dashed" w:sz="4" w:space="0" w:color="auto"/>
              <w:bottom w:val="nil"/>
              <w:right w:val="nil"/>
            </w:tcBorders>
            <w:shd w:val="clear" w:color="000000" w:fill="FFFFFF"/>
            <w:noWrap/>
            <w:vAlign w:val="bottom"/>
            <w:hideMark/>
          </w:tcPr>
          <w:p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0.02</w:t>
            </w:r>
          </w:p>
        </w:tc>
        <w:tc>
          <w:tcPr>
            <w:tcW w:w="1080" w:type="dxa"/>
            <w:gridSpan w:val="2"/>
            <w:tcBorders>
              <w:top w:val="nil"/>
              <w:left w:val="nil"/>
              <w:bottom w:val="nil"/>
              <w:right w:val="dashed" w:sz="4" w:space="0" w:color="auto"/>
            </w:tcBorders>
            <w:shd w:val="clear" w:color="000000" w:fill="FFFFFF"/>
            <w:noWrap/>
            <w:vAlign w:val="bottom"/>
            <w:hideMark/>
          </w:tcPr>
          <w:p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0.13</w:t>
            </w:r>
          </w:p>
        </w:tc>
        <w:tc>
          <w:tcPr>
            <w:tcW w:w="1440" w:type="dxa"/>
            <w:tcBorders>
              <w:top w:val="nil"/>
              <w:left w:val="nil"/>
              <w:bottom w:val="nil"/>
              <w:right w:val="nil"/>
            </w:tcBorders>
            <w:shd w:val="clear" w:color="000000" w:fill="FFFFFF"/>
            <w:noWrap/>
            <w:vAlign w:val="bottom"/>
            <w:hideMark/>
          </w:tcPr>
          <w:p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0.02</w:t>
            </w:r>
          </w:p>
        </w:tc>
        <w:tc>
          <w:tcPr>
            <w:tcW w:w="1278" w:type="dxa"/>
            <w:gridSpan w:val="3"/>
            <w:tcBorders>
              <w:top w:val="nil"/>
              <w:left w:val="nil"/>
              <w:bottom w:val="nil"/>
              <w:right w:val="single" w:sz="8" w:space="0" w:color="auto"/>
            </w:tcBorders>
            <w:shd w:val="clear" w:color="000000" w:fill="FFFFFF"/>
            <w:noWrap/>
            <w:vAlign w:val="bottom"/>
            <w:hideMark/>
          </w:tcPr>
          <w:p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0.01</w:t>
            </w:r>
          </w:p>
        </w:tc>
      </w:tr>
      <w:tr w:rsidR="00C82952" w:rsidRPr="00C82952" w:rsidTr="00085BE4">
        <w:trPr>
          <w:trHeight w:val="300"/>
        </w:trPr>
        <w:tc>
          <w:tcPr>
            <w:tcW w:w="3856" w:type="dxa"/>
            <w:gridSpan w:val="6"/>
            <w:vMerge/>
            <w:tcBorders>
              <w:left w:val="single" w:sz="8" w:space="0" w:color="auto"/>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p>
        </w:tc>
        <w:tc>
          <w:tcPr>
            <w:tcW w:w="1829" w:type="dxa"/>
            <w:gridSpan w:val="2"/>
            <w:tcBorders>
              <w:top w:val="nil"/>
              <w:left w:val="dashed" w:sz="4" w:space="0" w:color="auto"/>
              <w:bottom w:val="nil"/>
              <w:right w:val="nil"/>
            </w:tcBorders>
            <w:shd w:val="clear" w:color="000000" w:fill="FFFFFF"/>
            <w:noWrap/>
            <w:vAlign w:val="bottom"/>
            <w:hideMark/>
          </w:tcPr>
          <w:p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1.28</w:t>
            </w:r>
          </w:p>
        </w:tc>
        <w:tc>
          <w:tcPr>
            <w:tcW w:w="1080" w:type="dxa"/>
            <w:gridSpan w:val="2"/>
            <w:tcBorders>
              <w:top w:val="nil"/>
              <w:left w:val="nil"/>
              <w:bottom w:val="nil"/>
              <w:right w:val="dashed" w:sz="4" w:space="0" w:color="auto"/>
            </w:tcBorders>
            <w:shd w:val="clear" w:color="000000" w:fill="FFFFFF"/>
            <w:noWrap/>
            <w:vAlign w:val="bottom"/>
            <w:hideMark/>
          </w:tcPr>
          <w:p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6.66</w:t>
            </w:r>
          </w:p>
        </w:tc>
        <w:tc>
          <w:tcPr>
            <w:tcW w:w="1440" w:type="dxa"/>
            <w:tcBorders>
              <w:top w:val="nil"/>
              <w:left w:val="nil"/>
              <w:bottom w:val="nil"/>
              <w:right w:val="nil"/>
            </w:tcBorders>
            <w:shd w:val="clear" w:color="000000" w:fill="FFFFFF"/>
            <w:noWrap/>
            <w:vAlign w:val="bottom"/>
            <w:hideMark/>
          </w:tcPr>
          <w:p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1.3</w:t>
            </w:r>
          </w:p>
        </w:tc>
        <w:tc>
          <w:tcPr>
            <w:tcW w:w="1278" w:type="dxa"/>
            <w:gridSpan w:val="3"/>
            <w:tcBorders>
              <w:top w:val="nil"/>
              <w:left w:val="nil"/>
              <w:bottom w:val="nil"/>
              <w:right w:val="single" w:sz="8" w:space="0" w:color="auto"/>
            </w:tcBorders>
            <w:shd w:val="clear" w:color="000000" w:fill="FFFFFF"/>
            <w:noWrap/>
            <w:vAlign w:val="bottom"/>
            <w:hideMark/>
          </w:tcPr>
          <w:p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0.59</w:t>
            </w:r>
          </w:p>
        </w:tc>
      </w:tr>
      <w:tr w:rsidR="00C82952" w:rsidRPr="00C82952" w:rsidTr="00870141">
        <w:trPr>
          <w:trHeight w:val="315"/>
        </w:trPr>
        <w:tc>
          <w:tcPr>
            <w:tcW w:w="3856" w:type="dxa"/>
            <w:gridSpan w:val="6"/>
            <w:vMerge/>
            <w:tcBorders>
              <w:left w:val="single" w:sz="8" w:space="0" w:color="auto"/>
              <w:bottom w:val="double" w:sz="6" w:space="0" w:color="auto"/>
              <w:right w:val="nil"/>
            </w:tcBorders>
            <w:shd w:val="clear" w:color="000000" w:fill="FFFFFF"/>
            <w:noWrap/>
            <w:vAlign w:val="bottom"/>
            <w:hideMark/>
          </w:tcPr>
          <w:p w:rsidR="00C82952" w:rsidRPr="00C82952" w:rsidRDefault="00C82952" w:rsidP="00C82952">
            <w:pPr>
              <w:spacing w:after="0" w:line="240" w:lineRule="auto"/>
              <w:jc w:val="right"/>
              <w:rPr>
                <w:rFonts w:ascii="Calibri" w:eastAsia="Times New Roman" w:hAnsi="Calibri" w:cs="Times New Roman"/>
                <w:color w:val="000000"/>
              </w:rPr>
            </w:pPr>
          </w:p>
        </w:tc>
        <w:tc>
          <w:tcPr>
            <w:tcW w:w="1829" w:type="dxa"/>
            <w:gridSpan w:val="2"/>
            <w:tcBorders>
              <w:top w:val="nil"/>
              <w:left w:val="dashed" w:sz="4" w:space="0" w:color="auto"/>
              <w:bottom w:val="double" w:sz="6" w:space="0" w:color="auto"/>
              <w:right w:val="nil"/>
            </w:tcBorders>
            <w:shd w:val="clear" w:color="000000" w:fill="FFFFFF"/>
            <w:noWrap/>
            <w:vAlign w:val="bottom"/>
            <w:hideMark/>
          </w:tcPr>
          <w:p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0.28</w:t>
            </w:r>
          </w:p>
        </w:tc>
        <w:tc>
          <w:tcPr>
            <w:tcW w:w="1080" w:type="dxa"/>
            <w:gridSpan w:val="2"/>
            <w:tcBorders>
              <w:top w:val="nil"/>
              <w:left w:val="nil"/>
              <w:bottom w:val="double" w:sz="6" w:space="0" w:color="auto"/>
              <w:right w:val="dashed" w:sz="4" w:space="0" w:color="auto"/>
            </w:tcBorders>
            <w:shd w:val="clear" w:color="000000" w:fill="FFFFFF"/>
            <w:noWrap/>
            <w:vAlign w:val="bottom"/>
            <w:hideMark/>
          </w:tcPr>
          <w:p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0.002</w:t>
            </w:r>
          </w:p>
        </w:tc>
        <w:tc>
          <w:tcPr>
            <w:tcW w:w="1440" w:type="dxa"/>
            <w:tcBorders>
              <w:top w:val="nil"/>
              <w:left w:val="nil"/>
              <w:bottom w:val="double" w:sz="6" w:space="0" w:color="auto"/>
              <w:right w:val="nil"/>
            </w:tcBorders>
            <w:shd w:val="clear" w:color="000000" w:fill="FFFFFF"/>
            <w:noWrap/>
            <w:vAlign w:val="bottom"/>
            <w:hideMark/>
          </w:tcPr>
          <w:p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0.28</w:t>
            </w:r>
          </w:p>
        </w:tc>
        <w:tc>
          <w:tcPr>
            <w:tcW w:w="1278" w:type="dxa"/>
            <w:gridSpan w:val="3"/>
            <w:tcBorders>
              <w:top w:val="nil"/>
              <w:left w:val="nil"/>
              <w:bottom w:val="double" w:sz="6" w:space="0" w:color="auto"/>
              <w:right w:val="single" w:sz="8" w:space="0" w:color="auto"/>
            </w:tcBorders>
            <w:shd w:val="clear" w:color="000000" w:fill="FFFFFF"/>
            <w:noWrap/>
            <w:vAlign w:val="bottom"/>
            <w:hideMark/>
          </w:tcPr>
          <w:p w:rsidR="00C82952" w:rsidRPr="00085BE4" w:rsidRDefault="00C82952" w:rsidP="00C82952">
            <w:pPr>
              <w:spacing w:after="0" w:line="240" w:lineRule="auto"/>
              <w:jc w:val="center"/>
              <w:rPr>
                <w:rFonts w:ascii="Calibri" w:eastAsia="Times New Roman" w:hAnsi="Calibri" w:cs="Times New Roman"/>
                <w:color w:val="000000"/>
                <w:sz w:val="20"/>
                <w:szCs w:val="20"/>
              </w:rPr>
            </w:pPr>
            <w:r w:rsidRPr="00085BE4">
              <w:rPr>
                <w:rFonts w:ascii="Calibri" w:eastAsia="Times New Roman" w:hAnsi="Calibri" w:cs="Times New Roman"/>
                <w:color w:val="000000"/>
                <w:sz w:val="20"/>
                <w:szCs w:val="20"/>
              </w:rPr>
              <w:t>0.56</w:t>
            </w:r>
          </w:p>
        </w:tc>
      </w:tr>
      <w:tr w:rsidR="00C82952" w:rsidRPr="00C82952" w:rsidTr="00870141">
        <w:trPr>
          <w:trHeight w:val="300"/>
        </w:trPr>
        <w:tc>
          <w:tcPr>
            <w:tcW w:w="1819" w:type="dxa"/>
            <w:gridSpan w:val="2"/>
            <w:tcBorders>
              <w:top w:val="double" w:sz="6" w:space="0" w:color="auto"/>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566" w:type="dxa"/>
            <w:tcBorders>
              <w:top w:val="double" w:sz="6" w:space="0" w:color="auto"/>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566" w:type="dxa"/>
            <w:tcBorders>
              <w:top w:val="double" w:sz="6" w:space="0" w:color="auto"/>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905" w:type="dxa"/>
            <w:gridSpan w:val="2"/>
            <w:tcBorders>
              <w:top w:val="double" w:sz="6" w:space="0" w:color="auto"/>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1829" w:type="dxa"/>
            <w:gridSpan w:val="2"/>
            <w:tcBorders>
              <w:top w:val="double" w:sz="6" w:space="0" w:color="auto"/>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1080" w:type="dxa"/>
            <w:gridSpan w:val="2"/>
            <w:tcBorders>
              <w:top w:val="double" w:sz="6" w:space="0" w:color="auto"/>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1440" w:type="dxa"/>
            <w:tcBorders>
              <w:top w:val="double" w:sz="6" w:space="0" w:color="auto"/>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c>
          <w:tcPr>
            <w:tcW w:w="1278" w:type="dxa"/>
            <w:gridSpan w:val="3"/>
            <w:tcBorders>
              <w:top w:val="double" w:sz="6" w:space="0" w:color="auto"/>
              <w:left w:val="nil"/>
              <w:bottom w:val="nil"/>
              <w:right w:val="nil"/>
            </w:tcBorders>
            <w:shd w:val="clear" w:color="000000" w:fill="FFFFFF"/>
            <w:noWrap/>
            <w:vAlign w:val="bottom"/>
            <w:hideMark/>
          </w:tcPr>
          <w:p w:rsidR="00C82952" w:rsidRPr="00C82952" w:rsidRDefault="00C82952" w:rsidP="00C82952">
            <w:pPr>
              <w:spacing w:after="0" w:line="240" w:lineRule="auto"/>
              <w:rPr>
                <w:rFonts w:ascii="Calibri" w:eastAsia="Times New Roman" w:hAnsi="Calibri" w:cs="Times New Roman"/>
                <w:color w:val="000000"/>
              </w:rPr>
            </w:pPr>
            <w:r w:rsidRPr="00C82952">
              <w:rPr>
                <w:rFonts w:ascii="Calibri" w:eastAsia="Times New Roman" w:hAnsi="Calibri" w:cs="Times New Roman"/>
                <w:color w:val="000000"/>
              </w:rPr>
              <w:t> </w:t>
            </w:r>
          </w:p>
        </w:tc>
      </w:tr>
      <w:tr w:rsidR="00085BE4" w:rsidRPr="00C82952" w:rsidTr="00085BE4">
        <w:trPr>
          <w:gridBefore w:val="1"/>
          <w:gridAfter w:val="2"/>
          <w:wBefore w:w="15" w:type="dxa"/>
          <w:wAfter w:w="1108" w:type="dxa"/>
          <w:trHeight w:val="300"/>
        </w:trPr>
        <w:tc>
          <w:tcPr>
            <w:tcW w:w="8360" w:type="dxa"/>
            <w:gridSpan w:val="11"/>
            <w:tcBorders>
              <w:top w:val="nil"/>
              <w:left w:val="nil"/>
              <w:bottom w:val="nil"/>
              <w:right w:val="nil"/>
            </w:tcBorders>
            <w:shd w:val="clear" w:color="000000" w:fill="FFFFFF"/>
            <w:noWrap/>
            <w:vAlign w:val="bottom"/>
            <w:hideMark/>
          </w:tcPr>
          <w:p w:rsidR="00085BE4" w:rsidRPr="001031BA" w:rsidRDefault="00085BE4" w:rsidP="007D6172">
            <w:pPr>
              <w:spacing w:after="0" w:line="240" w:lineRule="auto"/>
              <w:rPr>
                <w:rFonts w:ascii="Calibri" w:eastAsia="Times New Roman" w:hAnsi="Calibri" w:cs="Times New Roman"/>
                <w:color w:val="000000"/>
                <w:sz w:val="20"/>
                <w:szCs w:val="20"/>
              </w:rPr>
            </w:pPr>
            <w:r w:rsidRPr="001031BA">
              <w:rPr>
                <w:rFonts w:ascii="Calibri" w:eastAsia="Times New Roman" w:hAnsi="Calibri" w:cs="Times New Roman"/>
                <w:color w:val="000000"/>
                <w:sz w:val="20"/>
                <w:szCs w:val="20"/>
              </w:rPr>
              <w:t>*** Statistically significant at 1% level.              (t-statistics are in parentheses.)</w:t>
            </w:r>
            <w:r w:rsidR="001031BA">
              <w:rPr>
                <w:rFonts w:ascii="Calibri" w:eastAsia="Times New Roman" w:hAnsi="Calibri" w:cs="Times New Roman"/>
                <w:color w:val="000000"/>
                <w:sz w:val="20"/>
                <w:szCs w:val="20"/>
              </w:rPr>
              <w:br/>
            </w:r>
            <w:r w:rsidR="001031BA" w:rsidRPr="00413E7C">
              <w:rPr>
                <w:rFonts w:ascii="Calibri" w:eastAsia="Times New Roman" w:hAnsi="Calibri" w:cs="Times New Roman"/>
                <w:color w:val="000000"/>
                <w:sz w:val="20"/>
                <w:szCs w:val="20"/>
              </w:rPr>
              <w:t>Regression</w:t>
            </w:r>
            <w:r w:rsidR="00413E7C">
              <w:rPr>
                <w:rFonts w:ascii="Calibri" w:eastAsia="Times New Roman" w:hAnsi="Calibri" w:cs="Times New Roman"/>
                <w:color w:val="000000"/>
                <w:sz w:val="20"/>
                <w:szCs w:val="20"/>
              </w:rPr>
              <w:t>s use</w:t>
            </w:r>
            <w:r w:rsidR="001031BA" w:rsidRPr="00413E7C">
              <w:rPr>
                <w:rFonts w:ascii="Calibri" w:eastAsia="Times New Roman" w:hAnsi="Calibri" w:cs="Times New Roman"/>
                <w:color w:val="000000"/>
                <w:sz w:val="20"/>
                <w:szCs w:val="20"/>
              </w:rPr>
              <w:t xml:space="preserve"> heteroscedasticity-consistent standard errors.</w:t>
            </w:r>
          </w:p>
        </w:tc>
      </w:tr>
      <w:tr w:rsidR="00085BE4" w:rsidRPr="00C82952" w:rsidTr="00085BE4">
        <w:trPr>
          <w:gridBefore w:val="1"/>
          <w:gridAfter w:val="1"/>
          <w:wBefore w:w="15" w:type="dxa"/>
          <w:wAfter w:w="448" w:type="dxa"/>
          <w:trHeight w:val="300"/>
        </w:trPr>
        <w:tc>
          <w:tcPr>
            <w:tcW w:w="9020" w:type="dxa"/>
            <w:gridSpan w:val="12"/>
            <w:tcBorders>
              <w:top w:val="nil"/>
              <w:left w:val="nil"/>
              <w:bottom w:val="nil"/>
              <w:right w:val="nil"/>
            </w:tcBorders>
            <w:shd w:val="clear" w:color="000000" w:fill="FFFFFF"/>
            <w:vAlign w:val="bottom"/>
            <w:hideMark/>
          </w:tcPr>
          <w:p w:rsidR="00085BE4" w:rsidRPr="001031BA" w:rsidRDefault="00A42E8D" w:rsidP="007D6172">
            <w:pPr>
              <w:spacing w:after="0" w:line="240" w:lineRule="auto"/>
              <w:rPr>
                <w:rFonts w:ascii="Calibri" w:eastAsia="Times New Roman" w:hAnsi="Calibri" w:cs="Times New Roman"/>
                <w:color w:val="000000"/>
                <w:sz w:val="20"/>
                <w:szCs w:val="20"/>
              </w:rPr>
            </w:pPr>
            <w:r w:rsidRPr="00C82952">
              <w:rPr>
                <w:rFonts w:ascii="Calibri" w:eastAsia="Times New Roman" w:hAnsi="Calibri" w:cs="Times New Roman"/>
                <w:color w:val="000000"/>
              </w:rPr>
              <w:t xml:space="preserve">† </w:t>
            </w:r>
            <w:r w:rsidRPr="00B435FC">
              <w:rPr>
                <w:rFonts w:ascii="Calibri" w:eastAsia="Times New Roman" w:hAnsi="Calibri" w:cs="Times New Roman"/>
                <w:color w:val="000000"/>
                <w:sz w:val="20"/>
                <w:szCs w:val="20"/>
              </w:rPr>
              <w:t>Surprise ≡ announcement minus forecast.  Forecast is from average of analysts' for</w:t>
            </w:r>
            <w:r>
              <w:rPr>
                <w:rFonts w:ascii="Calibri" w:eastAsia="Times New Roman" w:hAnsi="Calibri" w:cs="Times New Roman"/>
                <w:color w:val="000000"/>
                <w:sz w:val="20"/>
                <w:szCs w:val="20"/>
              </w:rPr>
              <w:t>ecasts of that number (</w:t>
            </w:r>
            <w:proofErr w:type="spellStart"/>
            <w:r>
              <w:rPr>
                <w:rFonts w:ascii="Calibri" w:eastAsia="Times New Roman" w:hAnsi="Calibri" w:cs="Times New Roman"/>
                <w:color w:val="000000"/>
                <w:sz w:val="20"/>
                <w:szCs w:val="20"/>
              </w:rPr>
              <w:t>MoM</w:t>
            </w:r>
            <w:proofErr w:type="spellEnd"/>
            <w:r>
              <w:rPr>
                <w:rFonts w:ascii="Calibri" w:eastAsia="Times New Roman" w:hAnsi="Calibri" w:cs="Times New Roman"/>
                <w:color w:val="000000"/>
                <w:sz w:val="20"/>
                <w:szCs w:val="20"/>
              </w:rPr>
              <w:t xml:space="preserve"> or </w:t>
            </w:r>
            <w:proofErr w:type="spellStart"/>
            <w:r>
              <w:rPr>
                <w:rFonts w:ascii="Calibri" w:eastAsia="Times New Roman" w:hAnsi="Calibri" w:cs="Times New Roman"/>
                <w:color w:val="000000"/>
                <w:sz w:val="20"/>
                <w:szCs w:val="20"/>
              </w:rPr>
              <w:t>YoY</w:t>
            </w:r>
            <w:proofErr w:type="spellEnd"/>
            <w:r>
              <w:rPr>
                <w:rFonts w:ascii="Calibri" w:eastAsia="Times New Roman" w:hAnsi="Calibri" w:cs="Times New Roman"/>
                <w:color w:val="000000"/>
                <w:sz w:val="20"/>
                <w:szCs w:val="20"/>
              </w:rPr>
              <w:t>) before announcement. The s</w:t>
            </w:r>
            <w:r w:rsidRPr="00B435FC">
              <w:rPr>
                <w:rFonts w:ascii="Calibri" w:eastAsia="Times New Roman" w:hAnsi="Calibri" w:cs="Times New Roman"/>
                <w:color w:val="000000"/>
                <w:sz w:val="20"/>
                <w:szCs w:val="20"/>
              </w:rPr>
              <w:t>ource</w:t>
            </w:r>
            <w:r>
              <w:rPr>
                <w:rFonts w:ascii="Calibri" w:eastAsia="Times New Roman" w:hAnsi="Calibri" w:cs="Times New Roman"/>
                <w:color w:val="000000"/>
                <w:sz w:val="20"/>
                <w:szCs w:val="20"/>
              </w:rPr>
              <w:t xml:space="preserve"> is Bloomberg.</w:t>
            </w:r>
          </w:p>
        </w:tc>
      </w:tr>
      <w:tr w:rsidR="00085BE4" w:rsidRPr="00C82952" w:rsidTr="00085BE4">
        <w:trPr>
          <w:gridBefore w:val="1"/>
          <w:gridAfter w:val="1"/>
          <w:wBefore w:w="15" w:type="dxa"/>
          <w:wAfter w:w="448" w:type="dxa"/>
          <w:trHeight w:val="20"/>
        </w:trPr>
        <w:tc>
          <w:tcPr>
            <w:tcW w:w="9020" w:type="dxa"/>
            <w:gridSpan w:val="12"/>
            <w:tcBorders>
              <w:top w:val="nil"/>
              <w:left w:val="nil"/>
              <w:bottom w:val="nil"/>
              <w:right w:val="nil"/>
            </w:tcBorders>
            <w:shd w:val="clear" w:color="000000" w:fill="FFFFFF"/>
            <w:vAlign w:val="bottom"/>
            <w:hideMark/>
          </w:tcPr>
          <w:p w:rsidR="00085BE4" w:rsidRPr="001031BA" w:rsidRDefault="00085BE4" w:rsidP="007D6172">
            <w:pPr>
              <w:spacing w:after="0" w:line="240" w:lineRule="auto"/>
              <w:rPr>
                <w:rFonts w:ascii="Calibri" w:eastAsia="Times New Roman" w:hAnsi="Calibri" w:cs="Times New Roman"/>
                <w:color w:val="000000"/>
                <w:sz w:val="20"/>
                <w:szCs w:val="20"/>
              </w:rPr>
            </w:pPr>
            <w:r w:rsidRPr="001031BA">
              <w:rPr>
                <w:rFonts w:ascii="Calibri" w:eastAsia="Times New Roman" w:hAnsi="Calibri" w:cs="Times New Roman"/>
                <w:color w:val="000000"/>
                <w:sz w:val="20"/>
                <w:szCs w:val="20"/>
              </w:rPr>
              <w:t> </w:t>
            </w:r>
          </w:p>
        </w:tc>
      </w:tr>
      <w:tr w:rsidR="00085BE4" w:rsidRPr="00C82952" w:rsidTr="00085BE4">
        <w:trPr>
          <w:gridBefore w:val="1"/>
          <w:gridAfter w:val="2"/>
          <w:wBefore w:w="15" w:type="dxa"/>
          <w:wAfter w:w="1108" w:type="dxa"/>
          <w:trHeight w:val="300"/>
        </w:trPr>
        <w:tc>
          <w:tcPr>
            <w:tcW w:w="3660" w:type="dxa"/>
            <w:gridSpan w:val="4"/>
            <w:tcBorders>
              <w:top w:val="nil"/>
              <w:left w:val="nil"/>
              <w:bottom w:val="nil"/>
              <w:right w:val="nil"/>
            </w:tcBorders>
            <w:shd w:val="clear" w:color="000000" w:fill="FFFFFF"/>
            <w:noWrap/>
            <w:vAlign w:val="bottom"/>
            <w:hideMark/>
          </w:tcPr>
          <w:p w:rsidR="00085BE4" w:rsidRPr="001031BA" w:rsidRDefault="00085BE4" w:rsidP="007D6172">
            <w:pPr>
              <w:spacing w:after="0" w:line="240" w:lineRule="auto"/>
              <w:rPr>
                <w:rFonts w:ascii="Calibri" w:eastAsia="Times New Roman" w:hAnsi="Calibri" w:cs="Times New Roman"/>
                <w:b/>
                <w:bCs/>
                <w:color w:val="000000"/>
                <w:sz w:val="20"/>
                <w:szCs w:val="20"/>
              </w:rPr>
            </w:pPr>
            <w:r w:rsidRPr="001031BA">
              <w:rPr>
                <w:rFonts w:ascii="Calibri" w:eastAsia="Times New Roman" w:hAnsi="Calibri" w:cs="Times New Roman"/>
                <w:b/>
                <w:bCs/>
                <w:color w:val="000000"/>
                <w:sz w:val="20"/>
                <w:szCs w:val="20"/>
              </w:rPr>
              <w:t>Sample period (by month of release)</w:t>
            </w:r>
          </w:p>
        </w:tc>
        <w:tc>
          <w:tcPr>
            <w:tcW w:w="300" w:type="dxa"/>
            <w:gridSpan w:val="2"/>
            <w:tcBorders>
              <w:top w:val="nil"/>
              <w:left w:val="nil"/>
              <w:bottom w:val="nil"/>
              <w:right w:val="nil"/>
            </w:tcBorders>
            <w:shd w:val="clear" w:color="000000" w:fill="FFFFFF"/>
            <w:noWrap/>
            <w:vAlign w:val="bottom"/>
            <w:hideMark/>
          </w:tcPr>
          <w:p w:rsidR="00085BE4" w:rsidRPr="001031BA" w:rsidRDefault="00085BE4" w:rsidP="007D6172">
            <w:pPr>
              <w:spacing w:after="0" w:line="240" w:lineRule="auto"/>
              <w:rPr>
                <w:rFonts w:ascii="Calibri" w:eastAsia="Times New Roman" w:hAnsi="Calibri" w:cs="Times New Roman"/>
                <w:b/>
                <w:bCs/>
                <w:color w:val="000000"/>
                <w:sz w:val="20"/>
                <w:szCs w:val="20"/>
              </w:rPr>
            </w:pPr>
            <w:r w:rsidRPr="001031BA">
              <w:rPr>
                <w:rFonts w:ascii="Calibri" w:eastAsia="Times New Roman" w:hAnsi="Calibri" w:cs="Times New Roman"/>
                <w:b/>
                <w:bCs/>
                <w:color w:val="000000"/>
                <w:sz w:val="20"/>
                <w:szCs w:val="20"/>
              </w:rPr>
              <w:t> </w:t>
            </w:r>
          </w:p>
        </w:tc>
        <w:tc>
          <w:tcPr>
            <w:tcW w:w="2080" w:type="dxa"/>
            <w:gridSpan w:val="2"/>
            <w:tcBorders>
              <w:top w:val="nil"/>
              <w:left w:val="nil"/>
              <w:bottom w:val="nil"/>
              <w:right w:val="nil"/>
            </w:tcBorders>
            <w:shd w:val="clear" w:color="000000" w:fill="FFFFFF"/>
            <w:noWrap/>
            <w:vAlign w:val="bottom"/>
            <w:hideMark/>
          </w:tcPr>
          <w:p w:rsidR="00085BE4" w:rsidRPr="00C82952" w:rsidRDefault="00085BE4" w:rsidP="007D617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c>
          <w:tcPr>
            <w:tcW w:w="2320" w:type="dxa"/>
            <w:gridSpan w:val="3"/>
            <w:tcBorders>
              <w:top w:val="nil"/>
              <w:left w:val="nil"/>
              <w:bottom w:val="nil"/>
              <w:right w:val="nil"/>
            </w:tcBorders>
            <w:shd w:val="clear" w:color="000000" w:fill="FFFFFF"/>
            <w:noWrap/>
            <w:vAlign w:val="bottom"/>
            <w:hideMark/>
          </w:tcPr>
          <w:p w:rsidR="00085BE4" w:rsidRPr="00C82952" w:rsidRDefault="00085BE4" w:rsidP="007D617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r>
      <w:tr w:rsidR="00085BE4" w:rsidRPr="00C82952" w:rsidTr="00085BE4">
        <w:trPr>
          <w:gridBefore w:val="1"/>
          <w:gridAfter w:val="2"/>
          <w:wBefore w:w="15" w:type="dxa"/>
          <w:wAfter w:w="1108" w:type="dxa"/>
          <w:trHeight w:val="300"/>
        </w:trPr>
        <w:tc>
          <w:tcPr>
            <w:tcW w:w="3660" w:type="dxa"/>
            <w:gridSpan w:val="4"/>
            <w:tcBorders>
              <w:top w:val="nil"/>
              <w:left w:val="nil"/>
              <w:bottom w:val="nil"/>
              <w:right w:val="nil"/>
            </w:tcBorders>
            <w:shd w:val="clear" w:color="000000" w:fill="FFFFFF"/>
            <w:noWrap/>
            <w:vAlign w:val="bottom"/>
            <w:hideMark/>
          </w:tcPr>
          <w:p w:rsidR="00085BE4" w:rsidRPr="001031BA" w:rsidRDefault="00085BE4" w:rsidP="007D6172">
            <w:pPr>
              <w:spacing w:after="0" w:line="240" w:lineRule="auto"/>
              <w:rPr>
                <w:rFonts w:ascii="Calibri" w:eastAsia="Times New Roman" w:hAnsi="Calibri" w:cs="Times New Roman"/>
                <w:color w:val="000000"/>
                <w:sz w:val="20"/>
                <w:szCs w:val="20"/>
              </w:rPr>
            </w:pPr>
            <w:r w:rsidRPr="001031BA">
              <w:rPr>
                <w:rFonts w:ascii="Calibri" w:eastAsia="Times New Roman" w:hAnsi="Calibri" w:cs="Times New Roman"/>
                <w:color w:val="000000"/>
                <w:sz w:val="20"/>
                <w:szCs w:val="20"/>
              </w:rPr>
              <w:t>Canada: February 2003 - August 2014</w:t>
            </w:r>
          </w:p>
        </w:tc>
        <w:tc>
          <w:tcPr>
            <w:tcW w:w="300" w:type="dxa"/>
            <w:gridSpan w:val="2"/>
            <w:tcBorders>
              <w:top w:val="nil"/>
              <w:left w:val="nil"/>
              <w:bottom w:val="nil"/>
              <w:right w:val="nil"/>
            </w:tcBorders>
            <w:shd w:val="clear" w:color="000000" w:fill="FFFFFF"/>
            <w:noWrap/>
            <w:vAlign w:val="bottom"/>
            <w:hideMark/>
          </w:tcPr>
          <w:p w:rsidR="00085BE4" w:rsidRPr="001031BA" w:rsidRDefault="00085BE4" w:rsidP="007D6172">
            <w:pPr>
              <w:spacing w:after="0" w:line="240" w:lineRule="auto"/>
              <w:rPr>
                <w:rFonts w:ascii="Calibri" w:eastAsia="Times New Roman" w:hAnsi="Calibri" w:cs="Times New Roman"/>
                <w:color w:val="000000"/>
                <w:sz w:val="20"/>
                <w:szCs w:val="20"/>
              </w:rPr>
            </w:pPr>
            <w:r w:rsidRPr="001031BA">
              <w:rPr>
                <w:rFonts w:ascii="Calibri" w:eastAsia="Times New Roman" w:hAnsi="Calibri" w:cs="Times New Roman"/>
                <w:color w:val="000000"/>
                <w:sz w:val="20"/>
                <w:szCs w:val="20"/>
              </w:rPr>
              <w:t> </w:t>
            </w:r>
          </w:p>
        </w:tc>
        <w:tc>
          <w:tcPr>
            <w:tcW w:w="2080" w:type="dxa"/>
            <w:gridSpan w:val="2"/>
            <w:tcBorders>
              <w:top w:val="nil"/>
              <w:left w:val="nil"/>
              <w:bottom w:val="nil"/>
              <w:right w:val="nil"/>
            </w:tcBorders>
            <w:shd w:val="clear" w:color="000000" w:fill="FFFFFF"/>
            <w:noWrap/>
            <w:vAlign w:val="bottom"/>
            <w:hideMark/>
          </w:tcPr>
          <w:p w:rsidR="00085BE4" w:rsidRPr="00C82952" w:rsidRDefault="00085BE4" w:rsidP="007D617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c>
          <w:tcPr>
            <w:tcW w:w="2320" w:type="dxa"/>
            <w:gridSpan w:val="3"/>
            <w:tcBorders>
              <w:top w:val="nil"/>
              <w:left w:val="nil"/>
              <w:bottom w:val="nil"/>
              <w:right w:val="nil"/>
            </w:tcBorders>
            <w:shd w:val="clear" w:color="000000" w:fill="FFFFFF"/>
            <w:noWrap/>
            <w:vAlign w:val="bottom"/>
            <w:hideMark/>
          </w:tcPr>
          <w:p w:rsidR="00085BE4" w:rsidRPr="00C82952" w:rsidRDefault="00085BE4" w:rsidP="007D617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r>
      <w:tr w:rsidR="00085BE4" w:rsidRPr="00C82952" w:rsidTr="00085BE4">
        <w:trPr>
          <w:gridBefore w:val="1"/>
          <w:gridAfter w:val="2"/>
          <w:wBefore w:w="15" w:type="dxa"/>
          <w:wAfter w:w="1108" w:type="dxa"/>
          <w:trHeight w:val="300"/>
        </w:trPr>
        <w:tc>
          <w:tcPr>
            <w:tcW w:w="3660" w:type="dxa"/>
            <w:gridSpan w:val="4"/>
            <w:tcBorders>
              <w:top w:val="nil"/>
              <w:left w:val="nil"/>
              <w:bottom w:val="nil"/>
              <w:right w:val="nil"/>
            </w:tcBorders>
            <w:shd w:val="clear" w:color="000000" w:fill="FFFFFF"/>
            <w:noWrap/>
            <w:vAlign w:val="bottom"/>
            <w:hideMark/>
          </w:tcPr>
          <w:p w:rsidR="00085BE4" w:rsidRPr="001031BA" w:rsidRDefault="00085BE4" w:rsidP="007D6172">
            <w:pPr>
              <w:spacing w:after="0" w:line="240" w:lineRule="auto"/>
              <w:rPr>
                <w:rFonts w:ascii="Calibri" w:eastAsia="Times New Roman" w:hAnsi="Calibri" w:cs="Times New Roman"/>
                <w:color w:val="000000"/>
                <w:sz w:val="20"/>
                <w:szCs w:val="20"/>
              </w:rPr>
            </w:pPr>
            <w:r w:rsidRPr="001031BA">
              <w:rPr>
                <w:rFonts w:ascii="Calibri" w:eastAsia="Times New Roman" w:hAnsi="Calibri" w:cs="Times New Roman"/>
                <w:color w:val="000000"/>
                <w:sz w:val="20"/>
                <w:szCs w:val="20"/>
              </w:rPr>
              <w:t>Korea: Feb 2004 - Dec 2013</w:t>
            </w:r>
          </w:p>
        </w:tc>
        <w:tc>
          <w:tcPr>
            <w:tcW w:w="300" w:type="dxa"/>
            <w:gridSpan w:val="2"/>
            <w:tcBorders>
              <w:top w:val="nil"/>
              <w:left w:val="nil"/>
              <w:bottom w:val="nil"/>
              <w:right w:val="nil"/>
            </w:tcBorders>
            <w:shd w:val="clear" w:color="000000" w:fill="FFFFFF"/>
            <w:noWrap/>
            <w:vAlign w:val="bottom"/>
            <w:hideMark/>
          </w:tcPr>
          <w:p w:rsidR="00085BE4" w:rsidRPr="001031BA" w:rsidRDefault="00085BE4" w:rsidP="007D6172">
            <w:pPr>
              <w:spacing w:after="0" w:line="240" w:lineRule="auto"/>
              <w:rPr>
                <w:rFonts w:ascii="Calibri" w:eastAsia="Times New Roman" w:hAnsi="Calibri" w:cs="Times New Roman"/>
                <w:color w:val="000000"/>
                <w:sz w:val="20"/>
                <w:szCs w:val="20"/>
              </w:rPr>
            </w:pPr>
            <w:r w:rsidRPr="001031BA">
              <w:rPr>
                <w:rFonts w:ascii="Calibri" w:eastAsia="Times New Roman" w:hAnsi="Calibri" w:cs="Times New Roman"/>
                <w:color w:val="000000"/>
                <w:sz w:val="20"/>
                <w:szCs w:val="20"/>
              </w:rPr>
              <w:t> </w:t>
            </w:r>
          </w:p>
        </w:tc>
        <w:tc>
          <w:tcPr>
            <w:tcW w:w="2080" w:type="dxa"/>
            <w:gridSpan w:val="2"/>
            <w:tcBorders>
              <w:top w:val="nil"/>
              <w:left w:val="nil"/>
              <w:bottom w:val="nil"/>
              <w:right w:val="nil"/>
            </w:tcBorders>
            <w:shd w:val="clear" w:color="000000" w:fill="FFFFFF"/>
            <w:noWrap/>
            <w:vAlign w:val="bottom"/>
            <w:hideMark/>
          </w:tcPr>
          <w:p w:rsidR="00085BE4" w:rsidRPr="00C82952" w:rsidRDefault="00085BE4" w:rsidP="007D617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c>
          <w:tcPr>
            <w:tcW w:w="2320" w:type="dxa"/>
            <w:gridSpan w:val="3"/>
            <w:tcBorders>
              <w:top w:val="nil"/>
              <w:left w:val="nil"/>
              <w:bottom w:val="nil"/>
              <w:right w:val="nil"/>
            </w:tcBorders>
            <w:shd w:val="clear" w:color="000000" w:fill="FFFFFF"/>
            <w:noWrap/>
            <w:vAlign w:val="bottom"/>
            <w:hideMark/>
          </w:tcPr>
          <w:p w:rsidR="00085BE4" w:rsidRPr="00C82952" w:rsidRDefault="00085BE4" w:rsidP="007D617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r>
      <w:tr w:rsidR="00085BE4" w:rsidRPr="00C82952" w:rsidTr="00085BE4">
        <w:trPr>
          <w:gridBefore w:val="1"/>
          <w:gridAfter w:val="2"/>
          <w:wBefore w:w="15" w:type="dxa"/>
          <w:wAfter w:w="1108" w:type="dxa"/>
          <w:trHeight w:val="300"/>
        </w:trPr>
        <w:tc>
          <w:tcPr>
            <w:tcW w:w="3660" w:type="dxa"/>
            <w:gridSpan w:val="4"/>
            <w:tcBorders>
              <w:top w:val="nil"/>
              <w:left w:val="nil"/>
              <w:bottom w:val="nil"/>
              <w:right w:val="nil"/>
            </w:tcBorders>
            <w:shd w:val="clear" w:color="000000" w:fill="FFFFFF"/>
            <w:noWrap/>
            <w:vAlign w:val="bottom"/>
            <w:hideMark/>
          </w:tcPr>
          <w:p w:rsidR="00085BE4" w:rsidRPr="001031BA" w:rsidRDefault="00085BE4" w:rsidP="007D6172">
            <w:pPr>
              <w:spacing w:after="0" w:line="240" w:lineRule="auto"/>
              <w:rPr>
                <w:rFonts w:ascii="Calibri" w:eastAsia="Times New Roman" w:hAnsi="Calibri" w:cs="Times New Roman"/>
                <w:color w:val="000000"/>
                <w:sz w:val="20"/>
                <w:szCs w:val="20"/>
              </w:rPr>
            </w:pPr>
            <w:r w:rsidRPr="001031BA">
              <w:rPr>
                <w:rFonts w:ascii="Calibri" w:eastAsia="Times New Roman" w:hAnsi="Calibri" w:cs="Times New Roman"/>
                <w:color w:val="000000"/>
                <w:sz w:val="20"/>
                <w:szCs w:val="20"/>
              </w:rPr>
              <w:t>UK: Dec 2003 - August 2014</w:t>
            </w:r>
          </w:p>
        </w:tc>
        <w:tc>
          <w:tcPr>
            <w:tcW w:w="300" w:type="dxa"/>
            <w:gridSpan w:val="2"/>
            <w:tcBorders>
              <w:top w:val="nil"/>
              <w:left w:val="nil"/>
              <w:bottom w:val="nil"/>
              <w:right w:val="nil"/>
            </w:tcBorders>
            <w:shd w:val="clear" w:color="000000" w:fill="FFFFFF"/>
            <w:noWrap/>
            <w:vAlign w:val="bottom"/>
            <w:hideMark/>
          </w:tcPr>
          <w:p w:rsidR="00085BE4" w:rsidRPr="001031BA" w:rsidRDefault="00085BE4" w:rsidP="007D6172">
            <w:pPr>
              <w:spacing w:after="0" w:line="240" w:lineRule="auto"/>
              <w:rPr>
                <w:rFonts w:ascii="Calibri" w:eastAsia="Times New Roman" w:hAnsi="Calibri" w:cs="Times New Roman"/>
                <w:color w:val="000000"/>
                <w:sz w:val="20"/>
                <w:szCs w:val="20"/>
              </w:rPr>
            </w:pPr>
            <w:r w:rsidRPr="001031BA">
              <w:rPr>
                <w:rFonts w:ascii="Calibri" w:eastAsia="Times New Roman" w:hAnsi="Calibri" w:cs="Times New Roman"/>
                <w:color w:val="000000"/>
                <w:sz w:val="20"/>
                <w:szCs w:val="20"/>
              </w:rPr>
              <w:t> </w:t>
            </w:r>
          </w:p>
        </w:tc>
        <w:tc>
          <w:tcPr>
            <w:tcW w:w="2080" w:type="dxa"/>
            <w:gridSpan w:val="2"/>
            <w:tcBorders>
              <w:top w:val="nil"/>
              <w:left w:val="nil"/>
              <w:bottom w:val="nil"/>
              <w:right w:val="nil"/>
            </w:tcBorders>
            <w:shd w:val="clear" w:color="000000" w:fill="FFFFFF"/>
            <w:noWrap/>
            <w:vAlign w:val="bottom"/>
            <w:hideMark/>
          </w:tcPr>
          <w:p w:rsidR="00085BE4" w:rsidRPr="00C82952" w:rsidRDefault="00085BE4" w:rsidP="007D617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c>
          <w:tcPr>
            <w:tcW w:w="2320" w:type="dxa"/>
            <w:gridSpan w:val="3"/>
            <w:tcBorders>
              <w:top w:val="nil"/>
              <w:left w:val="nil"/>
              <w:bottom w:val="nil"/>
              <w:right w:val="nil"/>
            </w:tcBorders>
            <w:shd w:val="clear" w:color="000000" w:fill="FFFFFF"/>
            <w:noWrap/>
            <w:vAlign w:val="bottom"/>
            <w:hideMark/>
          </w:tcPr>
          <w:p w:rsidR="00085BE4" w:rsidRPr="00C82952" w:rsidRDefault="00085BE4" w:rsidP="007D617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r>
      <w:tr w:rsidR="00085BE4" w:rsidRPr="00C82952" w:rsidTr="00085BE4">
        <w:trPr>
          <w:gridBefore w:val="1"/>
          <w:gridAfter w:val="2"/>
          <w:wBefore w:w="15" w:type="dxa"/>
          <w:wAfter w:w="1108" w:type="dxa"/>
          <w:trHeight w:val="300"/>
        </w:trPr>
        <w:tc>
          <w:tcPr>
            <w:tcW w:w="3660" w:type="dxa"/>
            <w:gridSpan w:val="4"/>
            <w:tcBorders>
              <w:top w:val="nil"/>
              <w:left w:val="nil"/>
              <w:bottom w:val="nil"/>
              <w:right w:val="nil"/>
            </w:tcBorders>
            <w:shd w:val="clear" w:color="000000" w:fill="FFFFFF"/>
            <w:noWrap/>
            <w:vAlign w:val="bottom"/>
            <w:hideMark/>
          </w:tcPr>
          <w:p w:rsidR="00085BE4" w:rsidRPr="001031BA" w:rsidRDefault="00085BE4" w:rsidP="007D6172">
            <w:pPr>
              <w:spacing w:after="0" w:line="240" w:lineRule="auto"/>
              <w:rPr>
                <w:rFonts w:ascii="Calibri" w:eastAsia="Times New Roman" w:hAnsi="Calibri" w:cs="Times New Roman"/>
                <w:color w:val="000000"/>
                <w:sz w:val="20"/>
                <w:szCs w:val="20"/>
              </w:rPr>
            </w:pPr>
            <w:r w:rsidRPr="001031BA">
              <w:rPr>
                <w:rFonts w:ascii="Calibri" w:eastAsia="Times New Roman" w:hAnsi="Calibri" w:cs="Times New Roman"/>
                <w:color w:val="000000"/>
                <w:sz w:val="20"/>
                <w:szCs w:val="20"/>
              </w:rPr>
              <w:t>US: February 2003 - August 2014</w:t>
            </w:r>
          </w:p>
        </w:tc>
        <w:tc>
          <w:tcPr>
            <w:tcW w:w="300" w:type="dxa"/>
            <w:gridSpan w:val="2"/>
            <w:tcBorders>
              <w:top w:val="nil"/>
              <w:left w:val="nil"/>
              <w:bottom w:val="nil"/>
              <w:right w:val="nil"/>
            </w:tcBorders>
            <w:shd w:val="clear" w:color="000000" w:fill="FFFFFF"/>
            <w:noWrap/>
            <w:vAlign w:val="bottom"/>
            <w:hideMark/>
          </w:tcPr>
          <w:p w:rsidR="00085BE4" w:rsidRPr="001031BA" w:rsidRDefault="00085BE4" w:rsidP="007D6172">
            <w:pPr>
              <w:spacing w:after="0" w:line="240" w:lineRule="auto"/>
              <w:rPr>
                <w:rFonts w:ascii="Calibri" w:eastAsia="Times New Roman" w:hAnsi="Calibri" w:cs="Times New Roman"/>
                <w:color w:val="000000"/>
                <w:sz w:val="20"/>
                <w:szCs w:val="20"/>
              </w:rPr>
            </w:pPr>
            <w:r w:rsidRPr="001031BA">
              <w:rPr>
                <w:rFonts w:ascii="Calibri" w:eastAsia="Times New Roman" w:hAnsi="Calibri" w:cs="Times New Roman"/>
                <w:color w:val="000000"/>
                <w:sz w:val="20"/>
                <w:szCs w:val="20"/>
              </w:rPr>
              <w:t> </w:t>
            </w:r>
          </w:p>
        </w:tc>
        <w:tc>
          <w:tcPr>
            <w:tcW w:w="2080" w:type="dxa"/>
            <w:gridSpan w:val="2"/>
            <w:tcBorders>
              <w:top w:val="nil"/>
              <w:left w:val="nil"/>
              <w:bottom w:val="nil"/>
              <w:right w:val="nil"/>
            </w:tcBorders>
            <w:shd w:val="clear" w:color="000000" w:fill="FFFFFF"/>
            <w:noWrap/>
            <w:vAlign w:val="bottom"/>
            <w:hideMark/>
          </w:tcPr>
          <w:p w:rsidR="00085BE4" w:rsidRPr="00C82952" w:rsidRDefault="00085BE4" w:rsidP="007D617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c>
          <w:tcPr>
            <w:tcW w:w="2320" w:type="dxa"/>
            <w:gridSpan w:val="3"/>
            <w:tcBorders>
              <w:top w:val="nil"/>
              <w:left w:val="nil"/>
              <w:bottom w:val="nil"/>
              <w:right w:val="nil"/>
            </w:tcBorders>
            <w:shd w:val="clear" w:color="000000" w:fill="FFFFFF"/>
            <w:noWrap/>
            <w:vAlign w:val="bottom"/>
            <w:hideMark/>
          </w:tcPr>
          <w:p w:rsidR="00085BE4" w:rsidRPr="00C82952" w:rsidRDefault="00085BE4" w:rsidP="007D6172">
            <w:pPr>
              <w:spacing w:after="0" w:line="240" w:lineRule="auto"/>
              <w:jc w:val="center"/>
              <w:rPr>
                <w:rFonts w:ascii="Calibri" w:eastAsia="Times New Roman" w:hAnsi="Calibri" w:cs="Times New Roman"/>
                <w:color w:val="000000"/>
              </w:rPr>
            </w:pPr>
            <w:r w:rsidRPr="00C82952">
              <w:rPr>
                <w:rFonts w:ascii="Calibri" w:eastAsia="Times New Roman" w:hAnsi="Calibri" w:cs="Times New Roman"/>
                <w:color w:val="000000"/>
              </w:rPr>
              <w:t> </w:t>
            </w:r>
          </w:p>
        </w:tc>
      </w:tr>
    </w:tbl>
    <w:p w:rsidR="00C82952" w:rsidRPr="00C82952" w:rsidRDefault="00C82952" w:rsidP="00D2716D">
      <w:pPr>
        <w:rPr>
          <w:b/>
          <w:sz w:val="24"/>
          <w:szCs w:val="24"/>
        </w:rPr>
      </w:pPr>
    </w:p>
    <w:sectPr w:rsidR="00C82952" w:rsidRPr="00C82952" w:rsidSect="00E855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4D9" w:rsidRDefault="00A034D9" w:rsidP="00337199">
      <w:pPr>
        <w:spacing w:after="0" w:line="240" w:lineRule="auto"/>
      </w:pPr>
      <w:r>
        <w:separator/>
      </w:r>
    </w:p>
  </w:endnote>
  <w:endnote w:type="continuationSeparator" w:id="0">
    <w:p w:rsidR="00A034D9" w:rsidRDefault="00A034D9" w:rsidP="00337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4D9" w:rsidRDefault="00A034D9" w:rsidP="00337199">
      <w:pPr>
        <w:spacing w:after="0" w:line="240" w:lineRule="auto"/>
      </w:pPr>
      <w:r>
        <w:separator/>
      </w:r>
    </w:p>
  </w:footnote>
  <w:footnote w:type="continuationSeparator" w:id="0">
    <w:p w:rsidR="00A034D9" w:rsidRDefault="00A034D9" w:rsidP="00337199">
      <w:pPr>
        <w:spacing w:after="0" w:line="240" w:lineRule="auto"/>
      </w:pPr>
      <w:r>
        <w:continuationSeparator/>
      </w:r>
    </w:p>
  </w:footnote>
  <w:footnote w:id="1">
    <w:p w:rsidR="00A034D9" w:rsidRPr="000231EC" w:rsidRDefault="00A034D9">
      <w:pPr>
        <w:pStyle w:val="FootnoteText"/>
        <w:rPr>
          <w:sz w:val="10"/>
          <w:szCs w:val="10"/>
        </w:rPr>
      </w:pPr>
      <w:r>
        <w:rPr>
          <w:rStyle w:val="FootnoteReference"/>
        </w:rPr>
        <w:footnoteRef/>
      </w:r>
      <w:r>
        <w:t xml:space="preserve"> The views expressed here are solely the ones of authors and do not necessarily reflect the views of De Nederlandsche Bank (the Dutch central bank, DNB). The authors would like to thank Zion Gorgi (DNB) and Martin Admiraal (DNB) for valuable help. </w:t>
      </w:r>
      <w:r w:rsidRPr="000231EC">
        <w:rPr>
          <w:sz w:val="10"/>
          <w:szCs w:val="10"/>
        </w:rPr>
        <w:br/>
      </w:r>
    </w:p>
  </w:footnote>
  <w:footnote w:id="2">
    <w:p w:rsidR="00A034D9" w:rsidRDefault="00A034D9">
      <w:pPr>
        <w:pStyle w:val="FootnoteText"/>
      </w:pPr>
      <w:r>
        <w:rPr>
          <w:rStyle w:val="FootnoteReference"/>
        </w:rPr>
        <w:footnoteRef/>
      </w:r>
      <w:r>
        <w:t xml:space="preserve"> There are also other systematic differences in the way that governments report statistics in different countries.   In the United States, quarterly GDP growth rates are multiplied by four to express them at annual rates.  Europeans and others do not multiply by four.  The US Bureau of Labor Statistics (BLS), on the other hand, does not multiply the percentage change in the CPI or PPI by 12 in its press releases;  as a result, inflation news reports usually headline an uninformative 0.1%  number, for everything between 0.6% p.a. and 1.8% p.a. (i.e., between 0.05% and 0.15% per month).  There are also international reporting differences with respect to headline versus core, seasonally adjusted versus not, etc.  This paper is concerned only with the question of whether the releases emphasize the most recent period or the last year.</w:t>
      </w:r>
    </w:p>
  </w:footnote>
  <w:footnote w:id="3">
    <w:p w:rsidR="00A034D9" w:rsidRPr="000231EC" w:rsidRDefault="00A034D9">
      <w:pPr>
        <w:pStyle w:val="FootnoteText"/>
        <w:rPr>
          <w:sz w:val="16"/>
          <w:szCs w:val="16"/>
        </w:rPr>
      </w:pPr>
      <w:r>
        <w:rPr>
          <w:rStyle w:val="FootnoteReference"/>
        </w:rPr>
        <w:footnoteRef/>
      </w:r>
      <w:r>
        <w:t xml:space="preserve"> The necessary mental adjustment is perhaps analogous to what was needed 30 years ago to get macroeconomists interested in real-time government announcement effects in the first place.   Some reactions were along the lines “why should we be interested in original announcements in dusty archives, when we have the correct revised numbers?”  [A particular version of the rational expectations hypothesis had in effect held that economic agents intuit the true state of the economy, so that real time releases regarding economic statistics subject to subsequent revision would not be of interest.]</w:t>
      </w:r>
      <w:r w:rsidRPr="000231EC">
        <w:rPr>
          <w:sz w:val="16"/>
          <w:szCs w:val="16"/>
        </w:rPr>
        <w:br/>
      </w:r>
    </w:p>
  </w:footnote>
  <w:footnote w:id="4">
    <w:p w:rsidR="00A034D9" w:rsidRPr="00671F48" w:rsidRDefault="00A034D9" w:rsidP="00671F48">
      <w:pPr>
        <w:rPr>
          <w:rFonts w:eastAsiaTheme="minorEastAsia"/>
          <w:sz w:val="20"/>
          <w:szCs w:val="20"/>
          <w:lang w:eastAsia="ko-KR"/>
        </w:rPr>
      </w:pPr>
      <w:r w:rsidRPr="00155BDB">
        <w:rPr>
          <w:rStyle w:val="FootnoteReference"/>
          <w:sz w:val="20"/>
          <w:szCs w:val="20"/>
        </w:rPr>
        <w:footnoteRef/>
      </w:r>
      <w:r w:rsidRPr="00155BDB">
        <w:rPr>
          <w:sz w:val="20"/>
          <w:szCs w:val="20"/>
        </w:rPr>
        <w:t xml:space="preserve"> E.g., </w:t>
      </w:r>
      <w:r w:rsidRPr="00155BDB">
        <w:rPr>
          <w:rFonts w:eastAsiaTheme="minorEastAsia" w:cs="Arial"/>
          <w:sz w:val="20"/>
          <w:szCs w:val="20"/>
          <w:shd w:val="clear" w:color="auto" w:fill="FFFFFF"/>
          <w:lang w:eastAsia="ko-KR"/>
        </w:rPr>
        <w:t>Kahneman and Tversky (1984),</w:t>
      </w:r>
      <w:r w:rsidRPr="007C0BDC">
        <w:rPr>
          <w:rFonts w:eastAsiaTheme="minorEastAsia" w:cs="Arial"/>
          <w:sz w:val="20"/>
          <w:szCs w:val="20"/>
          <w:shd w:val="clear" w:color="auto" w:fill="FFFFFF"/>
          <w:lang w:eastAsia="ko-KR"/>
        </w:rPr>
        <w:t xml:space="preserve"> </w:t>
      </w:r>
      <w:r w:rsidRPr="007C0BDC">
        <w:rPr>
          <w:bCs/>
          <w:sz w:val="20"/>
          <w:szCs w:val="20"/>
        </w:rPr>
        <w:t>Benartzi and</w:t>
      </w:r>
      <w:r w:rsidRPr="007C0BDC">
        <w:rPr>
          <w:rStyle w:val="apple-converted-space"/>
          <w:bCs/>
          <w:sz w:val="20"/>
          <w:szCs w:val="20"/>
        </w:rPr>
        <w:t xml:space="preserve"> </w:t>
      </w:r>
      <w:r w:rsidRPr="007C0BDC">
        <w:rPr>
          <w:sz w:val="20"/>
          <w:szCs w:val="20"/>
        </w:rPr>
        <w:t>Thaler (</w:t>
      </w:r>
      <w:r w:rsidRPr="007C0BDC">
        <w:rPr>
          <w:bCs/>
          <w:color w:val="333333"/>
          <w:sz w:val="20"/>
          <w:szCs w:val="20"/>
          <w:shd w:val="clear" w:color="auto" w:fill="FFFFFF"/>
        </w:rPr>
        <w:t xml:space="preserve">1995), </w:t>
      </w:r>
      <w:r w:rsidRPr="007C0BDC">
        <w:rPr>
          <w:rFonts w:eastAsiaTheme="minorEastAsia" w:cs="Arial"/>
          <w:sz w:val="20"/>
          <w:szCs w:val="20"/>
          <w:shd w:val="clear" w:color="auto" w:fill="FFFFFF"/>
          <w:lang w:eastAsia="ko-KR"/>
        </w:rPr>
        <w:t xml:space="preserve">De Bondt and Thaler (1996), </w:t>
      </w:r>
      <w:r w:rsidRPr="007C0BDC">
        <w:rPr>
          <w:rFonts w:cs="Arial"/>
          <w:color w:val="222222"/>
          <w:sz w:val="20"/>
          <w:szCs w:val="20"/>
          <w:shd w:val="clear" w:color="auto" w:fill="FFFFFF"/>
        </w:rPr>
        <w:t>Thaler, Tversky, Kahneman, and Schwartz (1997</w:t>
      </w:r>
      <w:r w:rsidRPr="0009522D">
        <w:rPr>
          <w:rFonts w:cs="Arial"/>
          <w:color w:val="222222"/>
          <w:sz w:val="20"/>
          <w:szCs w:val="20"/>
          <w:shd w:val="clear" w:color="auto" w:fill="FFFFFF"/>
        </w:rPr>
        <w:t>), Daniel, Hirshleifer, and Subrahmanyam (1998),</w:t>
      </w:r>
      <w:r>
        <w:rPr>
          <w:rFonts w:cs="Arial"/>
          <w:color w:val="222222"/>
          <w:sz w:val="20"/>
          <w:szCs w:val="20"/>
          <w:shd w:val="clear" w:color="auto" w:fill="FFFFFF"/>
        </w:rPr>
        <w:t xml:space="preserve"> </w:t>
      </w:r>
      <w:r w:rsidRPr="00822188">
        <w:rPr>
          <w:rFonts w:cs="Arial"/>
          <w:color w:val="222222"/>
          <w:sz w:val="20"/>
          <w:szCs w:val="20"/>
          <w:shd w:val="clear" w:color="auto" w:fill="FFFFFF"/>
        </w:rPr>
        <w:t>Barberis, Shleifer, and Vishny (1998),</w:t>
      </w:r>
      <w:r w:rsidRPr="00E87A1A">
        <w:rPr>
          <w:rFonts w:cs="Arial"/>
          <w:color w:val="222222"/>
          <w:sz w:val="18"/>
          <w:szCs w:val="18"/>
          <w:shd w:val="clear" w:color="auto" w:fill="FFFFFF"/>
        </w:rPr>
        <w:t xml:space="preserve"> </w:t>
      </w:r>
      <w:r w:rsidRPr="00E87A1A">
        <w:rPr>
          <w:rFonts w:cs="Arial"/>
          <w:color w:val="222222"/>
          <w:sz w:val="20"/>
          <w:szCs w:val="20"/>
          <w:shd w:val="clear" w:color="auto" w:fill="FFFFFF"/>
        </w:rPr>
        <w:t>Barberis, Huang, and Santos (2001),</w:t>
      </w:r>
      <w:r>
        <w:rPr>
          <w:rFonts w:cs="Arial"/>
          <w:color w:val="222222"/>
          <w:sz w:val="20"/>
          <w:szCs w:val="20"/>
          <w:shd w:val="clear" w:color="auto" w:fill="FFFFFF"/>
        </w:rPr>
        <w:t xml:space="preserve"> </w:t>
      </w:r>
      <w:r w:rsidRPr="00BB6581">
        <w:rPr>
          <w:rFonts w:cs="Arial"/>
          <w:color w:val="222222"/>
          <w:sz w:val="20"/>
          <w:szCs w:val="20"/>
          <w:shd w:val="clear" w:color="auto" w:fill="FFFFFF"/>
        </w:rPr>
        <w:t>Daniel, Hirshleifer, and Teoh (2002),</w:t>
      </w:r>
      <w:r w:rsidRPr="00BB6581">
        <w:rPr>
          <w:rFonts w:cs="Arial"/>
          <w:color w:val="222222"/>
          <w:sz w:val="18"/>
          <w:szCs w:val="18"/>
          <w:shd w:val="clear" w:color="auto" w:fill="FFFFFF"/>
        </w:rPr>
        <w:t xml:space="preserve"> </w:t>
      </w:r>
      <w:r w:rsidRPr="007C0BDC">
        <w:rPr>
          <w:rFonts w:cs="Arial"/>
          <w:sz w:val="20"/>
          <w:szCs w:val="20"/>
          <w:shd w:val="clear" w:color="auto" w:fill="FFFFFF"/>
        </w:rPr>
        <w:t>Barberis and Thaler (2003), and Thaler (2005)</w:t>
      </w:r>
      <w:r>
        <w:rPr>
          <w:rFonts w:cs="Arial"/>
          <w:sz w:val="20"/>
          <w:szCs w:val="20"/>
          <w:shd w:val="clear" w:color="auto" w:fill="FFFFFF"/>
        </w:rPr>
        <w:t>, among others</w:t>
      </w:r>
      <w:r w:rsidRPr="007C0BDC">
        <w:rPr>
          <w:rFonts w:cs="Arial"/>
          <w:sz w:val="20"/>
          <w:szCs w:val="20"/>
          <w:shd w:val="clear" w:color="auto" w:fill="FFFFFF"/>
        </w:rPr>
        <w:t>.</w:t>
      </w:r>
    </w:p>
  </w:footnote>
  <w:footnote w:id="5">
    <w:p w:rsidR="00A034D9" w:rsidRPr="000231EC" w:rsidRDefault="00A034D9" w:rsidP="00896CBF">
      <w:pPr>
        <w:shd w:val="clear" w:color="auto" w:fill="FFFFFF"/>
        <w:spacing w:after="0" w:line="240" w:lineRule="auto"/>
        <w:textAlignment w:val="baseline"/>
        <w:rPr>
          <w:sz w:val="16"/>
          <w:szCs w:val="16"/>
        </w:rPr>
      </w:pPr>
      <w:r w:rsidRPr="00896CBF">
        <w:rPr>
          <w:rStyle w:val="FootnoteReference"/>
          <w:sz w:val="20"/>
          <w:szCs w:val="20"/>
        </w:rPr>
        <w:footnoteRef/>
      </w:r>
      <w:r w:rsidRPr="00896CBF">
        <w:rPr>
          <w:sz w:val="20"/>
          <w:szCs w:val="20"/>
        </w:rPr>
        <w:t xml:space="preserve"> E.g.,</w:t>
      </w:r>
      <w:r w:rsidRPr="00155BDB">
        <w:rPr>
          <w:sz w:val="20"/>
          <w:szCs w:val="20"/>
        </w:rPr>
        <w:t xml:space="preserve"> </w:t>
      </w:r>
      <w:r w:rsidRPr="00155BDB">
        <w:rPr>
          <w:rFonts w:eastAsia="Times New Roman" w:cs="Lucida Sans Unicode"/>
          <w:bCs/>
          <w:sz w:val="20"/>
          <w:szCs w:val="20"/>
          <w:bdr w:val="none" w:sz="0" w:space="0" w:color="auto" w:frame="1"/>
          <w:lang w:eastAsia="ko-KR"/>
        </w:rPr>
        <w:t xml:space="preserve">Bolton, </w:t>
      </w:r>
      <w:r w:rsidRPr="00155BDB">
        <w:rPr>
          <w:rFonts w:eastAsiaTheme="minorEastAsia" w:cs="Lucida Sans Unicode"/>
          <w:bCs/>
          <w:sz w:val="20"/>
          <w:szCs w:val="20"/>
          <w:bdr w:val="none" w:sz="0" w:space="0" w:color="auto" w:frame="1"/>
          <w:lang w:eastAsia="ko-KR"/>
        </w:rPr>
        <w:t>Scheinkman</w:t>
      </w:r>
      <w:r w:rsidRPr="00155BDB">
        <w:rPr>
          <w:rFonts w:eastAsiaTheme="minorEastAsia" w:cs="Lucida Sans Unicode"/>
          <w:bCs/>
          <w:sz w:val="20"/>
          <w:szCs w:val="20"/>
          <w:lang w:eastAsia="ko-KR"/>
        </w:rPr>
        <w:t> and </w:t>
      </w:r>
      <w:hyperlink r:id="rId1" w:history="1">
        <w:r w:rsidRPr="00155BDB">
          <w:rPr>
            <w:rFonts w:eastAsiaTheme="minorEastAsia" w:cs="Lucida Sans Unicode"/>
            <w:bCs/>
            <w:sz w:val="20"/>
            <w:szCs w:val="20"/>
            <w:bdr w:val="none" w:sz="0" w:space="0" w:color="auto" w:frame="1"/>
            <w:lang w:eastAsia="ko-KR"/>
          </w:rPr>
          <w:t>Xiong</w:t>
        </w:r>
      </w:hyperlink>
      <w:r w:rsidRPr="00896CBF">
        <w:rPr>
          <w:rFonts w:eastAsia="Times New Roman" w:cs="Lucida Sans Unicode"/>
          <w:bCs/>
          <w:color w:val="000000"/>
          <w:sz w:val="20"/>
          <w:szCs w:val="20"/>
          <w:bdr w:val="none" w:sz="0" w:space="0" w:color="auto" w:frame="1"/>
          <w:lang w:eastAsia="ko-KR"/>
        </w:rPr>
        <w:t xml:space="preserve"> (2006) and </w:t>
      </w:r>
      <w:r w:rsidRPr="00896CBF">
        <w:rPr>
          <w:rFonts w:eastAsiaTheme="minorEastAsia" w:cs="Lucida Sans Unicode"/>
          <w:bCs/>
          <w:color w:val="000000"/>
          <w:sz w:val="20"/>
          <w:szCs w:val="20"/>
          <w:lang w:eastAsia="ko-KR"/>
        </w:rPr>
        <w:t>Froot, Scharfstein</w:t>
      </w:r>
      <w:r>
        <w:rPr>
          <w:rFonts w:eastAsiaTheme="minorEastAsia" w:cs="Lucida Sans Unicode"/>
          <w:bCs/>
          <w:color w:val="000000"/>
          <w:sz w:val="20"/>
          <w:szCs w:val="20"/>
          <w:lang w:eastAsia="ko-KR"/>
        </w:rPr>
        <w:t xml:space="preserve"> and</w:t>
      </w:r>
      <w:r w:rsidRPr="00896CBF">
        <w:rPr>
          <w:rFonts w:eastAsiaTheme="minorEastAsia" w:cs="Lucida Sans Unicode"/>
          <w:bCs/>
          <w:color w:val="000000"/>
          <w:sz w:val="20"/>
          <w:szCs w:val="20"/>
          <w:lang w:eastAsia="ko-KR"/>
        </w:rPr>
        <w:t xml:space="preserve"> Stein (1992).</w:t>
      </w:r>
      <w:r w:rsidRPr="000231EC">
        <w:rPr>
          <w:rFonts w:eastAsiaTheme="minorEastAsia" w:cs="Lucida Sans Unicode"/>
          <w:bCs/>
          <w:color w:val="000000"/>
          <w:sz w:val="16"/>
          <w:szCs w:val="16"/>
          <w:lang w:eastAsia="ko-KR"/>
        </w:rPr>
        <w:br/>
      </w:r>
    </w:p>
  </w:footnote>
  <w:footnote w:id="6">
    <w:p w:rsidR="00A034D9" w:rsidRDefault="00A034D9">
      <w:pPr>
        <w:pStyle w:val="FootnoteText"/>
      </w:pPr>
      <w:r>
        <w:rPr>
          <w:rStyle w:val="FootnoteReference"/>
        </w:rPr>
        <w:footnoteRef/>
      </w:r>
      <w:r>
        <w:t xml:space="preserve"> Bartolini, Goldberg and Sacarny (2008) are among those noting that the markets react to the advanced estimate of GDP but not noticeably to the revisions.  This is important because Mankiw and Shapiro (1986), </w:t>
      </w:r>
      <w:r w:rsidRPr="00C31A53">
        <w:rPr>
          <w:color w:val="000000" w:themeColor="text1"/>
        </w:rPr>
        <w:t>Faust, Rogers and Wright (2005)</w:t>
      </w:r>
      <w:r w:rsidRPr="00C31A53">
        <w:t>,</w:t>
      </w:r>
      <w:r>
        <w:t xml:space="preserve"> and others have documented that changes from the US flash estimate to preliminary, and from preliminary to revised, are usually large in magnitude.  The market reactions don’t necessarily  prove irrationality or over-reaction, however, because the incremental value in each of the revisions might still be too small, when the first advanced number (even though highly imperfect) is already known.  But it is highly suggestive that the Bureau of Economic Analysis stopped altogether reporting the preliminary flash estimate after 1985 </w:t>
      </w:r>
      <w:r w:rsidRPr="00E21434">
        <w:rPr>
          <w:sz w:val="16"/>
          <w:szCs w:val="16"/>
        </w:rPr>
        <w:t>(http://www.bea.gov/scb/account_art</w:t>
      </w:r>
      <w:r>
        <w:rPr>
          <w:sz w:val="16"/>
          <w:szCs w:val="16"/>
        </w:rPr>
        <w:t>icles/national/1093od/box1.htm)</w:t>
      </w:r>
      <w:r>
        <w:t>. Whatever useful information there had been in the early estimate was apparently considered to be of less value than the danger that the public would read too much into a measure that BEA considered very noisy.</w:t>
      </w:r>
    </w:p>
  </w:footnote>
  <w:footnote w:id="7">
    <w:p w:rsidR="00A034D9" w:rsidRDefault="00A034D9">
      <w:pPr>
        <w:pStyle w:val="FootnoteText"/>
      </w:pPr>
      <w:r>
        <w:rPr>
          <w:rStyle w:val="FootnoteReference"/>
        </w:rPr>
        <w:footnoteRef/>
      </w:r>
      <w:r w:rsidRPr="009529E2">
        <w:rPr>
          <w:lang w:val="nl-NL"/>
        </w:rPr>
        <w:t xml:space="preserve"> E.g.,</w:t>
      </w:r>
      <w:r w:rsidRPr="009529E2">
        <w:rPr>
          <w:rFonts w:cs="Lucida Sans Unicode"/>
          <w:bCs/>
          <w:color w:val="000000"/>
          <w:lang w:val="nl-NL"/>
        </w:rPr>
        <w:t xml:space="preserve"> Andersen, Bollerslev, Diebold and Vega (2007)</w:t>
      </w:r>
      <w:r>
        <w:rPr>
          <w:rFonts w:cs="Lucida Sans Unicode"/>
          <w:bCs/>
          <w:color w:val="000000"/>
          <w:lang w:val="nl-NL"/>
        </w:rPr>
        <w:t xml:space="preserve">,  </w:t>
      </w:r>
      <w:r w:rsidRPr="009D7F45">
        <w:rPr>
          <w:rFonts w:cs="Arial"/>
          <w:color w:val="222222"/>
          <w:shd w:val="clear" w:color="auto" w:fill="FFFFFF"/>
        </w:rPr>
        <w:t>Evans and Lyons (2005),</w:t>
      </w:r>
      <w:r>
        <w:rPr>
          <w:rFonts w:ascii="Arial" w:hAnsi="Arial" w:cs="Arial"/>
          <w:color w:val="222222"/>
          <w:shd w:val="clear" w:color="auto" w:fill="FFFFFF"/>
        </w:rPr>
        <w:t xml:space="preserve"> </w:t>
      </w:r>
      <w:r w:rsidRPr="008519E0">
        <w:rPr>
          <w:rFonts w:cs="Arial"/>
          <w:color w:val="222222"/>
          <w:shd w:val="clear" w:color="auto" w:fill="FFFFFF"/>
        </w:rPr>
        <w:t xml:space="preserve">Galati and Ho (2003), </w:t>
      </w:r>
      <w:r w:rsidRPr="008519E0">
        <w:rPr>
          <w:rFonts w:cs="Lucida Sans Unicode"/>
          <w:bCs/>
          <w:color w:val="000000"/>
          <w:lang w:val="nl-NL"/>
        </w:rPr>
        <w:t>and</w:t>
      </w:r>
      <w:r>
        <w:rPr>
          <w:rFonts w:cs="Lucida Sans Unicode"/>
          <w:bCs/>
          <w:color w:val="000000"/>
          <w:lang w:val="nl-NL"/>
        </w:rPr>
        <w:t xml:space="preserve"> </w:t>
      </w:r>
      <w:r w:rsidRPr="009D7F45">
        <w:rPr>
          <w:color w:val="000000"/>
        </w:rPr>
        <w:t>Love</w:t>
      </w:r>
      <w:r>
        <w:rPr>
          <w:color w:val="000000"/>
        </w:rPr>
        <w:t xml:space="preserve"> and</w:t>
      </w:r>
      <w:r w:rsidRPr="009D7F45">
        <w:rPr>
          <w:color w:val="000000"/>
        </w:rPr>
        <w:t xml:space="preserve"> Payne (2008)</w:t>
      </w:r>
      <w:r w:rsidRPr="009D7F45">
        <w:rPr>
          <w:rFonts w:cs="Lucida Sans Unicode"/>
          <w:bCs/>
          <w:color w:val="000000"/>
          <w:lang w:val="nl-NL"/>
        </w:rPr>
        <w:t>.</w:t>
      </w:r>
      <w:r w:rsidRPr="009529E2">
        <w:rPr>
          <w:lang w:val="nl-NL"/>
        </w:rPr>
        <w:t xml:space="preserve">  </w:t>
      </w:r>
      <w:r>
        <w:t>It is a large literature. Studies of short-term reactions to monetary releases, for example, go back at least to Pearce and Roley (1985) in the stock market and to Engel and Frankel (1982, 1984)</w:t>
      </w:r>
      <w:r w:rsidRPr="00575CC1">
        <w:t xml:space="preserve"> </w:t>
      </w:r>
      <w:r>
        <w:t>in the foreign exchange market.</w:t>
      </w:r>
    </w:p>
  </w:footnote>
  <w:footnote w:id="8">
    <w:p w:rsidR="00A034D9" w:rsidRPr="008B5AAB" w:rsidRDefault="00A034D9" w:rsidP="000C4494">
      <w:pPr>
        <w:pStyle w:val="FootnoteText"/>
        <w:rPr>
          <w:sz w:val="16"/>
          <w:szCs w:val="16"/>
        </w:rPr>
      </w:pPr>
      <w:r>
        <w:rPr>
          <w:rStyle w:val="FootnoteReference"/>
        </w:rPr>
        <w:footnoteRef/>
      </w:r>
      <w:r>
        <w:t xml:space="preserve"> Preliminary tests of GDP and employment releases, and reactions in other markets, have not yielded very edifying results so far.  This may be because of the coarseness of the one-day interval.  Or it may be because of the theoretical ambiguities mentioned above, which take hold when we move away from the effect of inflation announcements on bond prices.</w:t>
      </w:r>
      <w:r w:rsidRPr="008B5AAB">
        <w:rPr>
          <w:sz w:val="16"/>
          <w:szCs w:val="16"/>
        </w:rPr>
        <w:br/>
      </w:r>
    </w:p>
  </w:footnote>
  <w:footnote w:id="9">
    <w:p w:rsidR="00A034D9" w:rsidRDefault="00A034D9">
      <w:pPr>
        <w:pStyle w:val="FootnoteText"/>
      </w:pPr>
      <w:r>
        <w:rPr>
          <w:rStyle w:val="FootnoteReference"/>
        </w:rPr>
        <w:footnoteRef/>
      </w:r>
      <w:r>
        <w:t xml:space="preserve"> This point was made to the author by Larry Summers.  </w:t>
      </w:r>
    </w:p>
  </w:footnote>
  <w:footnote w:id="10">
    <w:p w:rsidR="00A034D9" w:rsidRDefault="00A034D9">
      <w:pPr>
        <w:pStyle w:val="FootnoteText"/>
      </w:pPr>
      <w:r>
        <w:rPr>
          <w:rStyle w:val="FootnoteReference"/>
        </w:rPr>
        <w:footnoteRef/>
      </w:r>
      <w:r>
        <w:t xml:space="preserve"> </w:t>
      </w:r>
    </w:p>
  </w:footnote>
  <w:footnote w:id="11">
    <w:p w:rsidR="00A034D9" w:rsidRPr="009A5FC6" w:rsidRDefault="00A034D9">
      <w:pPr>
        <w:pStyle w:val="FootnoteText"/>
      </w:pPr>
      <w:r w:rsidRPr="009A5FC6">
        <w:rPr>
          <w:rStyle w:val="FootnoteReference"/>
        </w:rPr>
        <w:footnoteRef/>
      </w:r>
      <w:r w:rsidRPr="009A5FC6">
        <w:t xml:space="preserve">  </w:t>
      </w:r>
      <w:proofErr w:type="gramStart"/>
      <w:r w:rsidRPr="009A5FC6">
        <w:t xml:space="preserve">E.g., Mankiw, Reis, and </w:t>
      </w:r>
      <w:proofErr w:type="spellStart"/>
      <w:r w:rsidRPr="009A5FC6">
        <w:t>Wolfers</w:t>
      </w:r>
      <w:proofErr w:type="spellEnd"/>
      <w:r w:rsidRPr="009A5FC6">
        <w:t xml:space="preserve"> (2003).</w:t>
      </w:r>
      <w:proofErr w:type="gramEnd"/>
    </w:p>
  </w:footnote>
  <w:footnote w:id="12">
    <w:p w:rsidR="00A034D9" w:rsidRDefault="00A034D9">
      <w:pPr>
        <w:pStyle w:val="FootnoteText"/>
      </w:pPr>
      <w:r>
        <w:rPr>
          <w:rStyle w:val="FootnoteReference"/>
        </w:rPr>
        <w:footnoteRef/>
      </w:r>
      <w:r>
        <w:t xml:space="preserve"> Any change in procedure should be decided and announced during one president’s term to take effect during the next.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592E"/>
    <w:multiLevelType w:val="multilevel"/>
    <w:tmpl w:val="0F86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141867"/>
    <w:multiLevelType w:val="multilevel"/>
    <w:tmpl w:val="CBC8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870D64"/>
    <w:multiLevelType w:val="multilevel"/>
    <w:tmpl w:val="D920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1410AF"/>
    <w:multiLevelType w:val="multilevel"/>
    <w:tmpl w:val="82D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07"/>
    <w:rsid w:val="00002579"/>
    <w:rsid w:val="00014658"/>
    <w:rsid w:val="00020219"/>
    <w:rsid w:val="000231EC"/>
    <w:rsid w:val="00027582"/>
    <w:rsid w:val="00030255"/>
    <w:rsid w:val="0003037F"/>
    <w:rsid w:val="000305FC"/>
    <w:rsid w:val="00031556"/>
    <w:rsid w:val="000419F0"/>
    <w:rsid w:val="00046240"/>
    <w:rsid w:val="00050E28"/>
    <w:rsid w:val="00052452"/>
    <w:rsid w:val="00056294"/>
    <w:rsid w:val="00065FF0"/>
    <w:rsid w:val="00071803"/>
    <w:rsid w:val="00077DC9"/>
    <w:rsid w:val="000828F4"/>
    <w:rsid w:val="000838DA"/>
    <w:rsid w:val="0008564B"/>
    <w:rsid w:val="00085BE4"/>
    <w:rsid w:val="0009522D"/>
    <w:rsid w:val="000A0DEB"/>
    <w:rsid w:val="000A3FB1"/>
    <w:rsid w:val="000A767E"/>
    <w:rsid w:val="000B54D5"/>
    <w:rsid w:val="000C4494"/>
    <w:rsid w:val="000C5588"/>
    <w:rsid w:val="000E3CA6"/>
    <w:rsid w:val="000E52B6"/>
    <w:rsid w:val="000E6BCA"/>
    <w:rsid w:val="000F5347"/>
    <w:rsid w:val="000F7FA9"/>
    <w:rsid w:val="001031BA"/>
    <w:rsid w:val="00103F6D"/>
    <w:rsid w:val="00117010"/>
    <w:rsid w:val="00122AEA"/>
    <w:rsid w:val="00124E3F"/>
    <w:rsid w:val="001306D0"/>
    <w:rsid w:val="00131134"/>
    <w:rsid w:val="00135009"/>
    <w:rsid w:val="00135632"/>
    <w:rsid w:val="00140AE5"/>
    <w:rsid w:val="001427EF"/>
    <w:rsid w:val="001474F1"/>
    <w:rsid w:val="00150F97"/>
    <w:rsid w:val="00153888"/>
    <w:rsid w:val="00155BDB"/>
    <w:rsid w:val="001627AE"/>
    <w:rsid w:val="00170813"/>
    <w:rsid w:val="00170D75"/>
    <w:rsid w:val="00173E76"/>
    <w:rsid w:val="00174556"/>
    <w:rsid w:val="001775D5"/>
    <w:rsid w:val="00181385"/>
    <w:rsid w:val="00181E07"/>
    <w:rsid w:val="001843C6"/>
    <w:rsid w:val="001848B4"/>
    <w:rsid w:val="00195415"/>
    <w:rsid w:val="001A0263"/>
    <w:rsid w:val="001A1CF4"/>
    <w:rsid w:val="001A2647"/>
    <w:rsid w:val="001A5F22"/>
    <w:rsid w:val="001A6F65"/>
    <w:rsid w:val="001B3310"/>
    <w:rsid w:val="001B6EE4"/>
    <w:rsid w:val="001C0FF9"/>
    <w:rsid w:val="001C1A73"/>
    <w:rsid w:val="001C3A80"/>
    <w:rsid w:val="001C5374"/>
    <w:rsid w:val="001E1046"/>
    <w:rsid w:val="001E2949"/>
    <w:rsid w:val="001E406A"/>
    <w:rsid w:val="001F0EB8"/>
    <w:rsid w:val="00204AC1"/>
    <w:rsid w:val="002104F0"/>
    <w:rsid w:val="00222657"/>
    <w:rsid w:val="00224A04"/>
    <w:rsid w:val="0023575D"/>
    <w:rsid w:val="00246B3D"/>
    <w:rsid w:val="00252CD3"/>
    <w:rsid w:val="00256802"/>
    <w:rsid w:val="00257197"/>
    <w:rsid w:val="002607B1"/>
    <w:rsid w:val="00260E10"/>
    <w:rsid w:val="00262F7E"/>
    <w:rsid w:val="00266258"/>
    <w:rsid w:val="0027186C"/>
    <w:rsid w:val="002737C7"/>
    <w:rsid w:val="002906EE"/>
    <w:rsid w:val="00297EF7"/>
    <w:rsid w:val="002A390F"/>
    <w:rsid w:val="002B16FD"/>
    <w:rsid w:val="002C3170"/>
    <w:rsid w:val="002D2C04"/>
    <w:rsid w:val="002D4686"/>
    <w:rsid w:val="002D4A4B"/>
    <w:rsid w:val="002D6550"/>
    <w:rsid w:val="002E0CBB"/>
    <w:rsid w:val="002E406C"/>
    <w:rsid w:val="002E680B"/>
    <w:rsid w:val="002F241E"/>
    <w:rsid w:val="002F66D8"/>
    <w:rsid w:val="0030628D"/>
    <w:rsid w:val="0030774F"/>
    <w:rsid w:val="00324FFE"/>
    <w:rsid w:val="003370AE"/>
    <w:rsid w:val="00337199"/>
    <w:rsid w:val="003379BE"/>
    <w:rsid w:val="00340494"/>
    <w:rsid w:val="003435AB"/>
    <w:rsid w:val="003573E0"/>
    <w:rsid w:val="00363B25"/>
    <w:rsid w:val="00381B67"/>
    <w:rsid w:val="00381CAD"/>
    <w:rsid w:val="003877B5"/>
    <w:rsid w:val="00393891"/>
    <w:rsid w:val="003A5EE4"/>
    <w:rsid w:val="003A7A13"/>
    <w:rsid w:val="003B04E2"/>
    <w:rsid w:val="003B1B98"/>
    <w:rsid w:val="003C35DE"/>
    <w:rsid w:val="003C3D89"/>
    <w:rsid w:val="003C6F4C"/>
    <w:rsid w:val="003D3390"/>
    <w:rsid w:val="003D3CF2"/>
    <w:rsid w:val="003D46E7"/>
    <w:rsid w:val="003F028C"/>
    <w:rsid w:val="004020DE"/>
    <w:rsid w:val="00406C9B"/>
    <w:rsid w:val="00411273"/>
    <w:rsid w:val="00413E7C"/>
    <w:rsid w:val="00416D2D"/>
    <w:rsid w:val="004347E1"/>
    <w:rsid w:val="004405FF"/>
    <w:rsid w:val="0044191C"/>
    <w:rsid w:val="00446DA5"/>
    <w:rsid w:val="0044746B"/>
    <w:rsid w:val="0045098A"/>
    <w:rsid w:val="0045342C"/>
    <w:rsid w:val="00453AD7"/>
    <w:rsid w:val="00460671"/>
    <w:rsid w:val="0046248D"/>
    <w:rsid w:val="00472FDE"/>
    <w:rsid w:val="00476944"/>
    <w:rsid w:val="00481EDD"/>
    <w:rsid w:val="00486BC3"/>
    <w:rsid w:val="00496FE3"/>
    <w:rsid w:val="004C1096"/>
    <w:rsid w:val="004C3810"/>
    <w:rsid w:val="004C38C9"/>
    <w:rsid w:val="004D2615"/>
    <w:rsid w:val="004D33B7"/>
    <w:rsid w:val="004D3D07"/>
    <w:rsid w:val="004D752A"/>
    <w:rsid w:val="004E4370"/>
    <w:rsid w:val="004E6A07"/>
    <w:rsid w:val="004F736B"/>
    <w:rsid w:val="00500EA5"/>
    <w:rsid w:val="00502E79"/>
    <w:rsid w:val="00503E63"/>
    <w:rsid w:val="005078EA"/>
    <w:rsid w:val="00512583"/>
    <w:rsid w:val="00516E34"/>
    <w:rsid w:val="00521BAD"/>
    <w:rsid w:val="00530881"/>
    <w:rsid w:val="00530BE2"/>
    <w:rsid w:val="005373EE"/>
    <w:rsid w:val="00540CC8"/>
    <w:rsid w:val="0054364F"/>
    <w:rsid w:val="0055069D"/>
    <w:rsid w:val="00552DAD"/>
    <w:rsid w:val="0056066A"/>
    <w:rsid w:val="00560832"/>
    <w:rsid w:val="0056308E"/>
    <w:rsid w:val="00563A6F"/>
    <w:rsid w:val="00570838"/>
    <w:rsid w:val="00573553"/>
    <w:rsid w:val="00575CC1"/>
    <w:rsid w:val="00575DB9"/>
    <w:rsid w:val="00581F50"/>
    <w:rsid w:val="005821E4"/>
    <w:rsid w:val="005835B6"/>
    <w:rsid w:val="00583E9F"/>
    <w:rsid w:val="00587629"/>
    <w:rsid w:val="005901F4"/>
    <w:rsid w:val="00592665"/>
    <w:rsid w:val="005935F8"/>
    <w:rsid w:val="00594132"/>
    <w:rsid w:val="005A0BA8"/>
    <w:rsid w:val="005B32E9"/>
    <w:rsid w:val="005B47BB"/>
    <w:rsid w:val="005C3BCF"/>
    <w:rsid w:val="005C5FE7"/>
    <w:rsid w:val="005D0484"/>
    <w:rsid w:val="005D142C"/>
    <w:rsid w:val="005D2BC5"/>
    <w:rsid w:val="005E1BAE"/>
    <w:rsid w:val="005E5AA9"/>
    <w:rsid w:val="005F73C9"/>
    <w:rsid w:val="006009C2"/>
    <w:rsid w:val="0061452F"/>
    <w:rsid w:val="006161AB"/>
    <w:rsid w:val="00624642"/>
    <w:rsid w:val="006275BD"/>
    <w:rsid w:val="00630353"/>
    <w:rsid w:val="0063045A"/>
    <w:rsid w:val="0063552C"/>
    <w:rsid w:val="006437E8"/>
    <w:rsid w:val="0064653F"/>
    <w:rsid w:val="00652DC0"/>
    <w:rsid w:val="00652DD6"/>
    <w:rsid w:val="006702CE"/>
    <w:rsid w:val="00670D44"/>
    <w:rsid w:val="00671F48"/>
    <w:rsid w:val="00675D67"/>
    <w:rsid w:val="006808C4"/>
    <w:rsid w:val="00680EE5"/>
    <w:rsid w:val="00683D1D"/>
    <w:rsid w:val="00692E5A"/>
    <w:rsid w:val="00697F19"/>
    <w:rsid w:val="006A2055"/>
    <w:rsid w:val="006A526C"/>
    <w:rsid w:val="006B184C"/>
    <w:rsid w:val="006B60C6"/>
    <w:rsid w:val="006C1330"/>
    <w:rsid w:val="006C6419"/>
    <w:rsid w:val="006D37A1"/>
    <w:rsid w:val="006D63C8"/>
    <w:rsid w:val="006E0B0B"/>
    <w:rsid w:val="006E5A7A"/>
    <w:rsid w:val="006E73FD"/>
    <w:rsid w:val="006F4F01"/>
    <w:rsid w:val="006F5589"/>
    <w:rsid w:val="006F7D81"/>
    <w:rsid w:val="00706F97"/>
    <w:rsid w:val="00707F5D"/>
    <w:rsid w:val="00726A3F"/>
    <w:rsid w:val="00735EA1"/>
    <w:rsid w:val="00735FCF"/>
    <w:rsid w:val="00742ED7"/>
    <w:rsid w:val="00745415"/>
    <w:rsid w:val="007463ED"/>
    <w:rsid w:val="007646BF"/>
    <w:rsid w:val="00765B0F"/>
    <w:rsid w:val="00766502"/>
    <w:rsid w:val="007745E6"/>
    <w:rsid w:val="00781B8A"/>
    <w:rsid w:val="00784761"/>
    <w:rsid w:val="00786505"/>
    <w:rsid w:val="007909D3"/>
    <w:rsid w:val="007B36C5"/>
    <w:rsid w:val="007B388D"/>
    <w:rsid w:val="007B5126"/>
    <w:rsid w:val="007C0BDC"/>
    <w:rsid w:val="007C2ED2"/>
    <w:rsid w:val="007C38D7"/>
    <w:rsid w:val="007C412A"/>
    <w:rsid w:val="007D43D3"/>
    <w:rsid w:val="007D46A9"/>
    <w:rsid w:val="007D6172"/>
    <w:rsid w:val="007E3D08"/>
    <w:rsid w:val="007E6410"/>
    <w:rsid w:val="007F1AE5"/>
    <w:rsid w:val="007F58AB"/>
    <w:rsid w:val="007F6EF5"/>
    <w:rsid w:val="008102B2"/>
    <w:rsid w:val="00811219"/>
    <w:rsid w:val="008175E9"/>
    <w:rsid w:val="00817E17"/>
    <w:rsid w:val="00822188"/>
    <w:rsid w:val="0082267C"/>
    <w:rsid w:val="00823250"/>
    <w:rsid w:val="008244BB"/>
    <w:rsid w:val="00831CC5"/>
    <w:rsid w:val="00841674"/>
    <w:rsid w:val="00841796"/>
    <w:rsid w:val="00841CFA"/>
    <w:rsid w:val="008519E0"/>
    <w:rsid w:val="00860914"/>
    <w:rsid w:val="00860A1B"/>
    <w:rsid w:val="00860F94"/>
    <w:rsid w:val="00870141"/>
    <w:rsid w:val="008725B8"/>
    <w:rsid w:val="008730EB"/>
    <w:rsid w:val="008740BC"/>
    <w:rsid w:val="008771D1"/>
    <w:rsid w:val="00896CBF"/>
    <w:rsid w:val="008A0D49"/>
    <w:rsid w:val="008A12A9"/>
    <w:rsid w:val="008A6526"/>
    <w:rsid w:val="008B0883"/>
    <w:rsid w:val="008B2161"/>
    <w:rsid w:val="008B5AAB"/>
    <w:rsid w:val="008B5ACD"/>
    <w:rsid w:val="008C06EB"/>
    <w:rsid w:val="008D4CC5"/>
    <w:rsid w:val="008E4AE1"/>
    <w:rsid w:val="008E4B72"/>
    <w:rsid w:val="008F1076"/>
    <w:rsid w:val="008F1AD6"/>
    <w:rsid w:val="008F525F"/>
    <w:rsid w:val="009010E0"/>
    <w:rsid w:val="0090433A"/>
    <w:rsid w:val="0091776C"/>
    <w:rsid w:val="0092114C"/>
    <w:rsid w:val="00921882"/>
    <w:rsid w:val="00922052"/>
    <w:rsid w:val="009302B3"/>
    <w:rsid w:val="00933488"/>
    <w:rsid w:val="009404B8"/>
    <w:rsid w:val="00941B01"/>
    <w:rsid w:val="00943AFF"/>
    <w:rsid w:val="00946525"/>
    <w:rsid w:val="00946708"/>
    <w:rsid w:val="009472F2"/>
    <w:rsid w:val="009502A2"/>
    <w:rsid w:val="009529E2"/>
    <w:rsid w:val="00953EB5"/>
    <w:rsid w:val="00964FBC"/>
    <w:rsid w:val="00966AAF"/>
    <w:rsid w:val="0097077A"/>
    <w:rsid w:val="00972D4E"/>
    <w:rsid w:val="009749A6"/>
    <w:rsid w:val="00974A54"/>
    <w:rsid w:val="009A4356"/>
    <w:rsid w:val="009A5FC6"/>
    <w:rsid w:val="009B0B26"/>
    <w:rsid w:val="009B6E3F"/>
    <w:rsid w:val="009B7D2E"/>
    <w:rsid w:val="009C04CC"/>
    <w:rsid w:val="009C167E"/>
    <w:rsid w:val="009C4AAD"/>
    <w:rsid w:val="009D28DF"/>
    <w:rsid w:val="009D515E"/>
    <w:rsid w:val="009D7F45"/>
    <w:rsid w:val="009E3EB2"/>
    <w:rsid w:val="009F72DD"/>
    <w:rsid w:val="00A02070"/>
    <w:rsid w:val="00A034D9"/>
    <w:rsid w:val="00A05BEE"/>
    <w:rsid w:val="00A13FFE"/>
    <w:rsid w:val="00A17D69"/>
    <w:rsid w:val="00A22724"/>
    <w:rsid w:val="00A22DCC"/>
    <w:rsid w:val="00A31B8F"/>
    <w:rsid w:val="00A356DE"/>
    <w:rsid w:val="00A42E8D"/>
    <w:rsid w:val="00A46DDE"/>
    <w:rsid w:val="00A511A0"/>
    <w:rsid w:val="00A53675"/>
    <w:rsid w:val="00A544D5"/>
    <w:rsid w:val="00A55480"/>
    <w:rsid w:val="00A83E00"/>
    <w:rsid w:val="00A848B5"/>
    <w:rsid w:val="00A8539D"/>
    <w:rsid w:val="00A917ED"/>
    <w:rsid w:val="00A94A89"/>
    <w:rsid w:val="00A9650C"/>
    <w:rsid w:val="00AB1252"/>
    <w:rsid w:val="00AC3205"/>
    <w:rsid w:val="00AD2E19"/>
    <w:rsid w:val="00AE2994"/>
    <w:rsid w:val="00AE2B4E"/>
    <w:rsid w:val="00AE2BA1"/>
    <w:rsid w:val="00AF4833"/>
    <w:rsid w:val="00B027B1"/>
    <w:rsid w:val="00B21BE6"/>
    <w:rsid w:val="00B269A6"/>
    <w:rsid w:val="00B31C63"/>
    <w:rsid w:val="00B349E2"/>
    <w:rsid w:val="00B435FC"/>
    <w:rsid w:val="00B43938"/>
    <w:rsid w:val="00B4609F"/>
    <w:rsid w:val="00B504CA"/>
    <w:rsid w:val="00B530BE"/>
    <w:rsid w:val="00B6054E"/>
    <w:rsid w:val="00B7365F"/>
    <w:rsid w:val="00B76CF4"/>
    <w:rsid w:val="00B76EA4"/>
    <w:rsid w:val="00B77668"/>
    <w:rsid w:val="00B82673"/>
    <w:rsid w:val="00B83B33"/>
    <w:rsid w:val="00B87546"/>
    <w:rsid w:val="00B93606"/>
    <w:rsid w:val="00BA146C"/>
    <w:rsid w:val="00BA1FC8"/>
    <w:rsid w:val="00BB1F00"/>
    <w:rsid w:val="00BB3513"/>
    <w:rsid w:val="00BB3C25"/>
    <w:rsid w:val="00BB6581"/>
    <w:rsid w:val="00BB7047"/>
    <w:rsid w:val="00BC0F08"/>
    <w:rsid w:val="00BD6A7A"/>
    <w:rsid w:val="00BD7004"/>
    <w:rsid w:val="00BF0803"/>
    <w:rsid w:val="00BF2A4A"/>
    <w:rsid w:val="00C0493C"/>
    <w:rsid w:val="00C118E2"/>
    <w:rsid w:val="00C15A15"/>
    <w:rsid w:val="00C26A47"/>
    <w:rsid w:val="00C27846"/>
    <w:rsid w:val="00C31A53"/>
    <w:rsid w:val="00C3745F"/>
    <w:rsid w:val="00C428F2"/>
    <w:rsid w:val="00C451A0"/>
    <w:rsid w:val="00C47152"/>
    <w:rsid w:val="00C47742"/>
    <w:rsid w:val="00C523B1"/>
    <w:rsid w:val="00C52880"/>
    <w:rsid w:val="00C6197F"/>
    <w:rsid w:val="00C61E82"/>
    <w:rsid w:val="00C763A5"/>
    <w:rsid w:val="00C7655D"/>
    <w:rsid w:val="00C82952"/>
    <w:rsid w:val="00C84918"/>
    <w:rsid w:val="00C9199B"/>
    <w:rsid w:val="00C954E9"/>
    <w:rsid w:val="00C95627"/>
    <w:rsid w:val="00C96101"/>
    <w:rsid w:val="00CA3D00"/>
    <w:rsid w:val="00CA5E09"/>
    <w:rsid w:val="00CC2106"/>
    <w:rsid w:val="00CD5014"/>
    <w:rsid w:val="00CD74E8"/>
    <w:rsid w:val="00CE07FE"/>
    <w:rsid w:val="00CE4DF4"/>
    <w:rsid w:val="00CF043C"/>
    <w:rsid w:val="00CF43DF"/>
    <w:rsid w:val="00D1163F"/>
    <w:rsid w:val="00D12596"/>
    <w:rsid w:val="00D148F7"/>
    <w:rsid w:val="00D14DCE"/>
    <w:rsid w:val="00D20C47"/>
    <w:rsid w:val="00D213E3"/>
    <w:rsid w:val="00D2549F"/>
    <w:rsid w:val="00D25DD8"/>
    <w:rsid w:val="00D2716D"/>
    <w:rsid w:val="00D27763"/>
    <w:rsid w:val="00D31FAE"/>
    <w:rsid w:val="00D3503A"/>
    <w:rsid w:val="00D357AD"/>
    <w:rsid w:val="00D371A1"/>
    <w:rsid w:val="00D42853"/>
    <w:rsid w:val="00D46CDD"/>
    <w:rsid w:val="00D57D98"/>
    <w:rsid w:val="00D617AE"/>
    <w:rsid w:val="00D673BE"/>
    <w:rsid w:val="00D7382E"/>
    <w:rsid w:val="00D74A3B"/>
    <w:rsid w:val="00D909BE"/>
    <w:rsid w:val="00D91632"/>
    <w:rsid w:val="00D92563"/>
    <w:rsid w:val="00D934A9"/>
    <w:rsid w:val="00D96766"/>
    <w:rsid w:val="00DA378D"/>
    <w:rsid w:val="00DA4A9C"/>
    <w:rsid w:val="00DC46FE"/>
    <w:rsid w:val="00DC4AAC"/>
    <w:rsid w:val="00DC7648"/>
    <w:rsid w:val="00DD3AE2"/>
    <w:rsid w:val="00DD6706"/>
    <w:rsid w:val="00DD68D3"/>
    <w:rsid w:val="00DE0280"/>
    <w:rsid w:val="00E00810"/>
    <w:rsid w:val="00E00F7A"/>
    <w:rsid w:val="00E0511C"/>
    <w:rsid w:val="00E21434"/>
    <w:rsid w:val="00E22DB0"/>
    <w:rsid w:val="00E2579B"/>
    <w:rsid w:val="00E43A30"/>
    <w:rsid w:val="00E443CC"/>
    <w:rsid w:val="00E5233B"/>
    <w:rsid w:val="00E608FA"/>
    <w:rsid w:val="00E60FF3"/>
    <w:rsid w:val="00E61614"/>
    <w:rsid w:val="00E65BC7"/>
    <w:rsid w:val="00E705F5"/>
    <w:rsid w:val="00E75810"/>
    <w:rsid w:val="00E81F53"/>
    <w:rsid w:val="00E82105"/>
    <w:rsid w:val="00E85528"/>
    <w:rsid w:val="00E87A1A"/>
    <w:rsid w:val="00E96C97"/>
    <w:rsid w:val="00EA5108"/>
    <w:rsid w:val="00EA6660"/>
    <w:rsid w:val="00EB781E"/>
    <w:rsid w:val="00ED118C"/>
    <w:rsid w:val="00ED4D6A"/>
    <w:rsid w:val="00EF79D7"/>
    <w:rsid w:val="00EF7BB9"/>
    <w:rsid w:val="00F11B8F"/>
    <w:rsid w:val="00F31A56"/>
    <w:rsid w:val="00F32A1E"/>
    <w:rsid w:val="00F32C34"/>
    <w:rsid w:val="00F3687E"/>
    <w:rsid w:val="00F41628"/>
    <w:rsid w:val="00F42269"/>
    <w:rsid w:val="00F4605B"/>
    <w:rsid w:val="00F61474"/>
    <w:rsid w:val="00F643FD"/>
    <w:rsid w:val="00F81188"/>
    <w:rsid w:val="00F860D7"/>
    <w:rsid w:val="00F92295"/>
    <w:rsid w:val="00F976A2"/>
    <w:rsid w:val="00FA0A3E"/>
    <w:rsid w:val="00FB6F73"/>
    <w:rsid w:val="00FC1953"/>
    <w:rsid w:val="00FD0483"/>
    <w:rsid w:val="00FE4368"/>
    <w:rsid w:val="00FE47A3"/>
    <w:rsid w:val="00FE53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75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paragraph" w:styleId="Heading2">
    <w:name w:val="heading 2"/>
    <w:basedOn w:val="Normal"/>
    <w:next w:val="Normal"/>
    <w:link w:val="Heading2Char"/>
    <w:uiPriority w:val="9"/>
    <w:unhideWhenUsed/>
    <w:qFormat/>
    <w:rsid w:val="007C0B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2D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71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7199"/>
    <w:rPr>
      <w:sz w:val="20"/>
      <w:szCs w:val="20"/>
    </w:rPr>
  </w:style>
  <w:style w:type="character" w:styleId="FootnoteReference">
    <w:name w:val="footnote reference"/>
    <w:basedOn w:val="DefaultParagraphFont"/>
    <w:uiPriority w:val="99"/>
    <w:semiHidden/>
    <w:unhideWhenUsed/>
    <w:rsid w:val="00337199"/>
    <w:rPr>
      <w:vertAlign w:val="superscript"/>
    </w:rPr>
  </w:style>
  <w:style w:type="paragraph" w:styleId="BalloonText">
    <w:name w:val="Balloon Text"/>
    <w:basedOn w:val="Normal"/>
    <w:link w:val="BalloonTextChar"/>
    <w:uiPriority w:val="99"/>
    <w:semiHidden/>
    <w:unhideWhenUsed/>
    <w:rsid w:val="00E96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C97"/>
    <w:rPr>
      <w:rFonts w:ascii="Tahoma" w:hAnsi="Tahoma" w:cs="Tahoma"/>
      <w:sz w:val="16"/>
      <w:szCs w:val="16"/>
    </w:rPr>
  </w:style>
  <w:style w:type="character" w:styleId="Hyperlink">
    <w:name w:val="Hyperlink"/>
    <w:basedOn w:val="DefaultParagraphFont"/>
    <w:uiPriority w:val="99"/>
    <w:unhideWhenUsed/>
    <w:rsid w:val="0090433A"/>
    <w:rPr>
      <w:color w:val="0000FF"/>
      <w:u w:val="single"/>
    </w:rPr>
  </w:style>
  <w:style w:type="character" w:customStyle="1" w:styleId="name">
    <w:name w:val="name"/>
    <w:basedOn w:val="DefaultParagraphFont"/>
    <w:rsid w:val="00B43938"/>
  </w:style>
  <w:style w:type="character" w:customStyle="1" w:styleId="apple-converted-space">
    <w:name w:val="apple-converted-space"/>
    <w:basedOn w:val="DefaultParagraphFont"/>
    <w:rsid w:val="00B43938"/>
  </w:style>
  <w:style w:type="paragraph" w:styleId="ListParagraph">
    <w:name w:val="List Paragraph"/>
    <w:basedOn w:val="Normal"/>
    <w:uiPriority w:val="34"/>
    <w:qFormat/>
    <w:rsid w:val="00B43938"/>
    <w:pPr>
      <w:ind w:left="720"/>
      <w:contextualSpacing/>
    </w:pPr>
  </w:style>
  <w:style w:type="character" w:customStyle="1" w:styleId="Heading1Char">
    <w:name w:val="Heading 1 Char"/>
    <w:basedOn w:val="DefaultParagraphFont"/>
    <w:link w:val="Heading1"/>
    <w:uiPriority w:val="9"/>
    <w:rsid w:val="00B87546"/>
    <w:rPr>
      <w:rFonts w:ascii="Times New Roman" w:eastAsia="Times New Roman" w:hAnsi="Times New Roman" w:cs="Times New Roman"/>
      <w:b/>
      <w:bCs/>
      <w:kern w:val="36"/>
      <w:sz w:val="48"/>
      <w:szCs w:val="48"/>
      <w:lang w:eastAsia="ko-KR"/>
    </w:rPr>
  </w:style>
  <w:style w:type="character" w:customStyle="1" w:styleId="scdddoi">
    <w:name w:val="s_c_dddoi"/>
    <w:basedOn w:val="DefaultParagraphFont"/>
    <w:rsid w:val="005B32E9"/>
    <w:rPr>
      <w:sz w:val="24"/>
      <w:szCs w:val="24"/>
      <w:bdr w:val="none" w:sz="0" w:space="0" w:color="auto" w:frame="1"/>
      <w:vertAlign w:val="baseline"/>
    </w:rPr>
  </w:style>
  <w:style w:type="character" w:customStyle="1" w:styleId="addmd">
    <w:name w:val="addmd"/>
    <w:basedOn w:val="DefaultParagraphFont"/>
    <w:rsid w:val="00DD6706"/>
  </w:style>
  <w:style w:type="character" w:customStyle="1" w:styleId="Heading3Char">
    <w:name w:val="Heading 3 Char"/>
    <w:basedOn w:val="DefaultParagraphFont"/>
    <w:link w:val="Heading3"/>
    <w:uiPriority w:val="9"/>
    <w:rsid w:val="00652DC0"/>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C0BDC"/>
    <w:rPr>
      <w:rFonts w:asciiTheme="majorHAnsi" w:eastAsiaTheme="majorEastAsia" w:hAnsiTheme="majorHAnsi" w:cstheme="majorBidi"/>
      <w:b/>
      <w:bCs/>
      <w:color w:val="4F81BD" w:themeColor="accent1"/>
      <w:sz w:val="26"/>
      <w:szCs w:val="26"/>
    </w:rPr>
  </w:style>
  <w:style w:type="paragraph" w:customStyle="1" w:styleId="bibtop">
    <w:name w:val="bibtop"/>
    <w:basedOn w:val="Normal"/>
    <w:rsid w:val="007C0BD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437E8"/>
    <w:rPr>
      <w:sz w:val="16"/>
      <w:szCs w:val="16"/>
    </w:rPr>
  </w:style>
  <w:style w:type="paragraph" w:styleId="CommentText">
    <w:name w:val="annotation text"/>
    <w:basedOn w:val="Normal"/>
    <w:link w:val="CommentTextChar"/>
    <w:uiPriority w:val="99"/>
    <w:semiHidden/>
    <w:unhideWhenUsed/>
    <w:rsid w:val="006437E8"/>
    <w:pPr>
      <w:spacing w:line="240" w:lineRule="auto"/>
    </w:pPr>
    <w:rPr>
      <w:sz w:val="20"/>
      <w:szCs w:val="20"/>
    </w:rPr>
  </w:style>
  <w:style w:type="character" w:customStyle="1" w:styleId="CommentTextChar">
    <w:name w:val="Comment Text Char"/>
    <w:basedOn w:val="DefaultParagraphFont"/>
    <w:link w:val="CommentText"/>
    <w:uiPriority w:val="99"/>
    <w:semiHidden/>
    <w:rsid w:val="006437E8"/>
    <w:rPr>
      <w:sz w:val="20"/>
      <w:szCs w:val="20"/>
    </w:rPr>
  </w:style>
  <w:style w:type="paragraph" w:styleId="CommentSubject">
    <w:name w:val="annotation subject"/>
    <w:basedOn w:val="CommentText"/>
    <w:next w:val="CommentText"/>
    <w:link w:val="CommentSubjectChar"/>
    <w:uiPriority w:val="99"/>
    <w:semiHidden/>
    <w:unhideWhenUsed/>
    <w:rsid w:val="006437E8"/>
    <w:rPr>
      <w:b/>
      <w:bCs/>
    </w:rPr>
  </w:style>
  <w:style w:type="character" w:customStyle="1" w:styleId="CommentSubjectChar">
    <w:name w:val="Comment Subject Char"/>
    <w:basedOn w:val="CommentTextChar"/>
    <w:link w:val="CommentSubject"/>
    <w:uiPriority w:val="99"/>
    <w:semiHidden/>
    <w:rsid w:val="006437E8"/>
    <w:rPr>
      <w:b/>
      <w:bCs/>
      <w:sz w:val="20"/>
      <w:szCs w:val="20"/>
    </w:rPr>
  </w:style>
  <w:style w:type="character" w:styleId="FollowedHyperlink">
    <w:name w:val="FollowedHyperlink"/>
    <w:basedOn w:val="DefaultParagraphFont"/>
    <w:uiPriority w:val="99"/>
    <w:semiHidden/>
    <w:unhideWhenUsed/>
    <w:rsid w:val="00786505"/>
    <w:rPr>
      <w:color w:val="800080" w:themeColor="followedHyperlink"/>
      <w:u w:val="single"/>
    </w:rPr>
  </w:style>
  <w:style w:type="paragraph" w:styleId="Header">
    <w:name w:val="header"/>
    <w:basedOn w:val="Normal"/>
    <w:link w:val="HeaderChar"/>
    <w:uiPriority w:val="99"/>
    <w:unhideWhenUsed/>
    <w:rsid w:val="00C954E9"/>
    <w:pPr>
      <w:tabs>
        <w:tab w:val="center" w:pos="4536"/>
        <w:tab w:val="right" w:pos="9072"/>
      </w:tabs>
      <w:snapToGrid w:val="0"/>
    </w:pPr>
  </w:style>
  <w:style w:type="character" w:customStyle="1" w:styleId="HeaderChar">
    <w:name w:val="Header Char"/>
    <w:basedOn w:val="DefaultParagraphFont"/>
    <w:link w:val="Header"/>
    <w:uiPriority w:val="99"/>
    <w:rsid w:val="00C954E9"/>
  </w:style>
  <w:style w:type="paragraph" w:styleId="Footer">
    <w:name w:val="footer"/>
    <w:basedOn w:val="Normal"/>
    <w:link w:val="FooterChar"/>
    <w:uiPriority w:val="99"/>
    <w:unhideWhenUsed/>
    <w:rsid w:val="00C954E9"/>
    <w:pPr>
      <w:tabs>
        <w:tab w:val="center" w:pos="4536"/>
        <w:tab w:val="right" w:pos="9072"/>
      </w:tabs>
      <w:snapToGrid w:val="0"/>
    </w:pPr>
  </w:style>
  <w:style w:type="character" w:customStyle="1" w:styleId="FooterChar">
    <w:name w:val="Footer Char"/>
    <w:basedOn w:val="DefaultParagraphFont"/>
    <w:link w:val="Footer"/>
    <w:uiPriority w:val="99"/>
    <w:rsid w:val="00C954E9"/>
  </w:style>
  <w:style w:type="paragraph" w:styleId="HTMLPreformatted">
    <w:name w:val="HTML Preformatted"/>
    <w:basedOn w:val="Normal"/>
    <w:link w:val="HTMLPreformattedChar"/>
    <w:uiPriority w:val="99"/>
    <w:unhideWhenUsed/>
    <w:rsid w:val="009D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D7F4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75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paragraph" w:styleId="Heading2">
    <w:name w:val="heading 2"/>
    <w:basedOn w:val="Normal"/>
    <w:next w:val="Normal"/>
    <w:link w:val="Heading2Char"/>
    <w:uiPriority w:val="9"/>
    <w:unhideWhenUsed/>
    <w:qFormat/>
    <w:rsid w:val="007C0B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2D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71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7199"/>
    <w:rPr>
      <w:sz w:val="20"/>
      <w:szCs w:val="20"/>
    </w:rPr>
  </w:style>
  <w:style w:type="character" w:styleId="FootnoteReference">
    <w:name w:val="footnote reference"/>
    <w:basedOn w:val="DefaultParagraphFont"/>
    <w:uiPriority w:val="99"/>
    <w:semiHidden/>
    <w:unhideWhenUsed/>
    <w:rsid w:val="00337199"/>
    <w:rPr>
      <w:vertAlign w:val="superscript"/>
    </w:rPr>
  </w:style>
  <w:style w:type="paragraph" w:styleId="BalloonText">
    <w:name w:val="Balloon Text"/>
    <w:basedOn w:val="Normal"/>
    <w:link w:val="BalloonTextChar"/>
    <w:uiPriority w:val="99"/>
    <w:semiHidden/>
    <w:unhideWhenUsed/>
    <w:rsid w:val="00E96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C97"/>
    <w:rPr>
      <w:rFonts w:ascii="Tahoma" w:hAnsi="Tahoma" w:cs="Tahoma"/>
      <w:sz w:val="16"/>
      <w:szCs w:val="16"/>
    </w:rPr>
  </w:style>
  <w:style w:type="character" w:styleId="Hyperlink">
    <w:name w:val="Hyperlink"/>
    <w:basedOn w:val="DefaultParagraphFont"/>
    <w:uiPriority w:val="99"/>
    <w:unhideWhenUsed/>
    <w:rsid w:val="0090433A"/>
    <w:rPr>
      <w:color w:val="0000FF"/>
      <w:u w:val="single"/>
    </w:rPr>
  </w:style>
  <w:style w:type="character" w:customStyle="1" w:styleId="name">
    <w:name w:val="name"/>
    <w:basedOn w:val="DefaultParagraphFont"/>
    <w:rsid w:val="00B43938"/>
  </w:style>
  <w:style w:type="character" w:customStyle="1" w:styleId="apple-converted-space">
    <w:name w:val="apple-converted-space"/>
    <w:basedOn w:val="DefaultParagraphFont"/>
    <w:rsid w:val="00B43938"/>
  </w:style>
  <w:style w:type="paragraph" w:styleId="ListParagraph">
    <w:name w:val="List Paragraph"/>
    <w:basedOn w:val="Normal"/>
    <w:uiPriority w:val="34"/>
    <w:qFormat/>
    <w:rsid w:val="00B43938"/>
    <w:pPr>
      <w:ind w:left="720"/>
      <w:contextualSpacing/>
    </w:pPr>
  </w:style>
  <w:style w:type="character" w:customStyle="1" w:styleId="Heading1Char">
    <w:name w:val="Heading 1 Char"/>
    <w:basedOn w:val="DefaultParagraphFont"/>
    <w:link w:val="Heading1"/>
    <w:uiPriority w:val="9"/>
    <w:rsid w:val="00B87546"/>
    <w:rPr>
      <w:rFonts w:ascii="Times New Roman" w:eastAsia="Times New Roman" w:hAnsi="Times New Roman" w:cs="Times New Roman"/>
      <w:b/>
      <w:bCs/>
      <w:kern w:val="36"/>
      <w:sz w:val="48"/>
      <w:szCs w:val="48"/>
      <w:lang w:eastAsia="ko-KR"/>
    </w:rPr>
  </w:style>
  <w:style w:type="character" w:customStyle="1" w:styleId="scdddoi">
    <w:name w:val="s_c_dddoi"/>
    <w:basedOn w:val="DefaultParagraphFont"/>
    <w:rsid w:val="005B32E9"/>
    <w:rPr>
      <w:sz w:val="24"/>
      <w:szCs w:val="24"/>
      <w:bdr w:val="none" w:sz="0" w:space="0" w:color="auto" w:frame="1"/>
      <w:vertAlign w:val="baseline"/>
    </w:rPr>
  </w:style>
  <w:style w:type="character" w:customStyle="1" w:styleId="addmd">
    <w:name w:val="addmd"/>
    <w:basedOn w:val="DefaultParagraphFont"/>
    <w:rsid w:val="00DD6706"/>
  </w:style>
  <w:style w:type="character" w:customStyle="1" w:styleId="Heading3Char">
    <w:name w:val="Heading 3 Char"/>
    <w:basedOn w:val="DefaultParagraphFont"/>
    <w:link w:val="Heading3"/>
    <w:uiPriority w:val="9"/>
    <w:rsid w:val="00652DC0"/>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C0BDC"/>
    <w:rPr>
      <w:rFonts w:asciiTheme="majorHAnsi" w:eastAsiaTheme="majorEastAsia" w:hAnsiTheme="majorHAnsi" w:cstheme="majorBidi"/>
      <w:b/>
      <w:bCs/>
      <w:color w:val="4F81BD" w:themeColor="accent1"/>
      <w:sz w:val="26"/>
      <w:szCs w:val="26"/>
    </w:rPr>
  </w:style>
  <w:style w:type="paragraph" w:customStyle="1" w:styleId="bibtop">
    <w:name w:val="bibtop"/>
    <w:basedOn w:val="Normal"/>
    <w:rsid w:val="007C0BD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437E8"/>
    <w:rPr>
      <w:sz w:val="16"/>
      <w:szCs w:val="16"/>
    </w:rPr>
  </w:style>
  <w:style w:type="paragraph" w:styleId="CommentText">
    <w:name w:val="annotation text"/>
    <w:basedOn w:val="Normal"/>
    <w:link w:val="CommentTextChar"/>
    <w:uiPriority w:val="99"/>
    <w:semiHidden/>
    <w:unhideWhenUsed/>
    <w:rsid w:val="006437E8"/>
    <w:pPr>
      <w:spacing w:line="240" w:lineRule="auto"/>
    </w:pPr>
    <w:rPr>
      <w:sz w:val="20"/>
      <w:szCs w:val="20"/>
    </w:rPr>
  </w:style>
  <w:style w:type="character" w:customStyle="1" w:styleId="CommentTextChar">
    <w:name w:val="Comment Text Char"/>
    <w:basedOn w:val="DefaultParagraphFont"/>
    <w:link w:val="CommentText"/>
    <w:uiPriority w:val="99"/>
    <w:semiHidden/>
    <w:rsid w:val="006437E8"/>
    <w:rPr>
      <w:sz w:val="20"/>
      <w:szCs w:val="20"/>
    </w:rPr>
  </w:style>
  <w:style w:type="paragraph" w:styleId="CommentSubject">
    <w:name w:val="annotation subject"/>
    <w:basedOn w:val="CommentText"/>
    <w:next w:val="CommentText"/>
    <w:link w:val="CommentSubjectChar"/>
    <w:uiPriority w:val="99"/>
    <w:semiHidden/>
    <w:unhideWhenUsed/>
    <w:rsid w:val="006437E8"/>
    <w:rPr>
      <w:b/>
      <w:bCs/>
    </w:rPr>
  </w:style>
  <w:style w:type="character" w:customStyle="1" w:styleId="CommentSubjectChar">
    <w:name w:val="Comment Subject Char"/>
    <w:basedOn w:val="CommentTextChar"/>
    <w:link w:val="CommentSubject"/>
    <w:uiPriority w:val="99"/>
    <w:semiHidden/>
    <w:rsid w:val="006437E8"/>
    <w:rPr>
      <w:b/>
      <w:bCs/>
      <w:sz w:val="20"/>
      <w:szCs w:val="20"/>
    </w:rPr>
  </w:style>
  <w:style w:type="character" w:styleId="FollowedHyperlink">
    <w:name w:val="FollowedHyperlink"/>
    <w:basedOn w:val="DefaultParagraphFont"/>
    <w:uiPriority w:val="99"/>
    <w:semiHidden/>
    <w:unhideWhenUsed/>
    <w:rsid w:val="00786505"/>
    <w:rPr>
      <w:color w:val="800080" w:themeColor="followedHyperlink"/>
      <w:u w:val="single"/>
    </w:rPr>
  </w:style>
  <w:style w:type="paragraph" w:styleId="Header">
    <w:name w:val="header"/>
    <w:basedOn w:val="Normal"/>
    <w:link w:val="HeaderChar"/>
    <w:uiPriority w:val="99"/>
    <w:unhideWhenUsed/>
    <w:rsid w:val="00C954E9"/>
    <w:pPr>
      <w:tabs>
        <w:tab w:val="center" w:pos="4536"/>
        <w:tab w:val="right" w:pos="9072"/>
      </w:tabs>
      <w:snapToGrid w:val="0"/>
    </w:pPr>
  </w:style>
  <w:style w:type="character" w:customStyle="1" w:styleId="HeaderChar">
    <w:name w:val="Header Char"/>
    <w:basedOn w:val="DefaultParagraphFont"/>
    <w:link w:val="Header"/>
    <w:uiPriority w:val="99"/>
    <w:rsid w:val="00C954E9"/>
  </w:style>
  <w:style w:type="paragraph" w:styleId="Footer">
    <w:name w:val="footer"/>
    <w:basedOn w:val="Normal"/>
    <w:link w:val="FooterChar"/>
    <w:uiPriority w:val="99"/>
    <w:unhideWhenUsed/>
    <w:rsid w:val="00C954E9"/>
    <w:pPr>
      <w:tabs>
        <w:tab w:val="center" w:pos="4536"/>
        <w:tab w:val="right" w:pos="9072"/>
      </w:tabs>
      <w:snapToGrid w:val="0"/>
    </w:pPr>
  </w:style>
  <w:style w:type="character" w:customStyle="1" w:styleId="FooterChar">
    <w:name w:val="Footer Char"/>
    <w:basedOn w:val="DefaultParagraphFont"/>
    <w:link w:val="Footer"/>
    <w:uiPriority w:val="99"/>
    <w:rsid w:val="00C954E9"/>
  </w:style>
  <w:style w:type="paragraph" w:styleId="HTMLPreformatted">
    <w:name w:val="HTML Preformatted"/>
    <w:basedOn w:val="Normal"/>
    <w:link w:val="HTMLPreformattedChar"/>
    <w:uiPriority w:val="99"/>
    <w:unhideWhenUsed/>
    <w:rsid w:val="009D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D7F4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9109">
      <w:bodyDiv w:val="1"/>
      <w:marLeft w:val="0"/>
      <w:marRight w:val="0"/>
      <w:marTop w:val="0"/>
      <w:marBottom w:val="0"/>
      <w:divBdr>
        <w:top w:val="none" w:sz="0" w:space="0" w:color="auto"/>
        <w:left w:val="none" w:sz="0" w:space="0" w:color="auto"/>
        <w:bottom w:val="none" w:sz="0" w:space="0" w:color="auto"/>
        <w:right w:val="none" w:sz="0" w:space="0" w:color="auto"/>
      </w:divBdr>
    </w:div>
    <w:div w:id="450367155">
      <w:bodyDiv w:val="1"/>
      <w:marLeft w:val="0"/>
      <w:marRight w:val="0"/>
      <w:marTop w:val="0"/>
      <w:marBottom w:val="0"/>
      <w:divBdr>
        <w:top w:val="none" w:sz="0" w:space="0" w:color="auto"/>
        <w:left w:val="none" w:sz="0" w:space="0" w:color="auto"/>
        <w:bottom w:val="none" w:sz="0" w:space="0" w:color="auto"/>
        <w:right w:val="none" w:sz="0" w:space="0" w:color="auto"/>
      </w:divBdr>
    </w:div>
    <w:div w:id="549534956">
      <w:bodyDiv w:val="1"/>
      <w:marLeft w:val="0"/>
      <w:marRight w:val="0"/>
      <w:marTop w:val="0"/>
      <w:marBottom w:val="0"/>
      <w:divBdr>
        <w:top w:val="none" w:sz="0" w:space="0" w:color="auto"/>
        <w:left w:val="none" w:sz="0" w:space="0" w:color="auto"/>
        <w:bottom w:val="none" w:sz="0" w:space="0" w:color="auto"/>
        <w:right w:val="none" w:sz="0" w:space="0" w:color="auto"/>
      </w:divBdr>
    </w:div>
    <w:div w:id="604962908">
      <w:bodyDiv w:val="1"/>
      <w:marLeft w:val="0"/>
      <w:marRight w:val="0"/>
      <w:marTop w:val="0"/>
      <w:marBottom w:val="0"/>
      <w:divBdr>
        <w:top w:val="none" w:sz="0" w:space="0" w:color="auto"/>
        <w:left w:val="none" w:sz="0" w:space="0" w:color="auto"/>
        <w:bottom w:val="none" w:sz="0" w:space="0" w:color="auto"/>
        <w:right w:val="none" w:sz="0" w:space="0" w:color="auto"/>
      </w:divBdr>
    </w:div>
    <w:div w:id="612636054">
      <w:bodyDiv w:val="1"/>
      <w:marLeft w:val="0"/>
      <w:marRight w:val="0"/>
      <w:marTop w:val="0"/>
      <w:marBottom w:val="0"/>
      <w:divBdr>
        <w:top w:val="none" w:sz="0" w:space="0" w:color="auto"/>
        <w:left w:val="none" w:sz="0" w:space="0" w:color="auto"/>
        <w:bottom w:val="none" w:sz="0" w:space="0" w:color="auto"/>
        <w:right w:val="none" w:sz="0" w:space="0" w:color="auto"/>
      </w:divBdr>
    </w:div>
    <w:div w:id="613946082">
      <w:bodyDiv w:val="1"/>
      <w:marLeft w:val="0"/>
      <w:marRight w:val="0"/>
      <w:marTop w:val="0"/>
      <w:marBottom w:val="0"/>
      <w:divBdr>
        <w:top w:val="none" w:sz="0" w:space="0" w:color="auto"/>
        <w:left w:val="none" w:sz="0" w:space="0" w:color="auto"/>
        <w:bottom w:val="none" w:sz="0" w:space="0" w:color="auto"/>
        <w:right w:val="none" w:sz="0" w:space="0" w:color="auto"/>
      </w:divBdr>
    </w:div>
    <w:div w:id="760226413">
      <w:bodyDiv w:val="1"/>
      <w:marLeft w:val="0"/>
      <w:marRight w:val="0"/>
      <w:marTop w:val="0"/>
      <w:marBottom w:val="0"/>
      <w:divBdr>
        <w:top w:val="none" w:sz="0" w:space="0" w:color="auto"/>
        <w:left w:val="none" w:sz="0" w:space="0" w:color="auto"/>
        <w:bottom w:val="none" w:sz="0" w:space="0" w:color="auto"/>
        <w:right w:val="none" w:sz="0" w:space="0" w:color="auto"/>
      </w:divBdr>
    </w:div>
    <w:div w:id="780959631">
      <w:bodyDiv w:val="1"/>
      <w:marLeft w:val="0"/>
      <w:marRight w:val="0"/>
      <w:marTop w:val="0"/>
      <w:marBottom w:val="0"/>
      <w:divBdr>
        <w:top w:val="none" w:sz="0" w:space="0" w:color="auto"/>
        <w:left w:val="none" w:sz="0" w:space="0" w:color="auto"/>
        <w:bottom w:val="none" w:sz="0" w:space="0" w:color="auto"/>
        <w:right w:val="none" w:sz="0" w:space="0" w:color="auto"/>
      </w:divBdr>
    </w:div>
    <w:div w:id="882719041">
      <w:bodyDiv w:val="1"/>
      <w:marLeft w:val="0"/>
      <w:marRight w:val="0"/>
      <w:marTop w:val="0"/>
      <w:marBottom w:val="0"/>
      <w:divBdr>
        <w:top w:val="none" w:sz="0" w:space="0" w:color="auto"/>
        <w:left w:val="none" w:sz="0" w:space="0" w:color="auto"/>
        <w:bottom w:val="none" w:sz="0" w:space="0" w:color="auto"/>
        <w:right w:val="none" w:sz="0" w:space="0" w:color="auto"/>
      </w:divBdr>
    </w:div>
    <w:div w:id="899055228">
      <w:bodyDiv w:val="1"/>
      <w:marLeft w:val="0"/>
      <w:marRight w:val="0"/>
      <w:marTop w:val="0"/>
      <w:marBottom w:val="0"/>
      <w:divBdr>
        <w:top w:val="none" w:sz="0" w:space="0" w:color="auto"/>
        <w:left w:val="none" w:sz="0" w:space="0" w:color="auto"/>
        <w:bottom w:val="none" w:sz="0" w:space="0" w:color="auto"/>
        <w:right w:val="none" w:sz="0" w:space="0" w:color="auto"/>
      </w:divBdr>
    </w:div>
    <w:div w:id="1022512859">
      <w:bodyDiv w:val="1"/>
      <w:marLeft w:val="0"/>
      <w:marRight w:val="0"/>
      <w:marTop w:val="0"/>
      <w:marBottom w:val="0"/>
      <w:divBdr>
        <w:top w:val="none" w:sz="0" w:space="0" w:color="auto"/>
        <w:left w:val="none" w:sz="0" w:space="0" w:color="auto"/>
        <w:bottom w:val="none" w:sz="0" w:space="0" w:color="auto"/>
        <w:right w:val="none" w:sz="0" w:space="0" w:color="auto"/>
      </w:divBdr>
    </w:div>
    <w:div w:id="1037848893">
      <w:bodyDiv w:val="1"/>
      <w:marLeft w:val="0"/>
      <w:marRight w:val="0"/>
      <w:marTop w:val="0"/>
      <w:marBottom w:val="0"/>
      <w:divBdr>
        <w:top w:val="none" w:sz="0" w:space="0" w:color="auto"/>
        <w:left w:val="none" w:sz="0" w:space="0" w:color="auto"/>
        <w:bottom w:val="none" w:sz="0" w:space="0" w:color="auto"/>
        <w:right w:val="none" w:sz="0" w:space="0" w:color="auto"/>
      </w:divBdr>
    </w:div>
    <w:div w:id="1151364786">
      <w:bodyDiv w:val="1"/>
      <w:marLeft w:val="0"/>
      <w:marRight w:val="0"/>
      <w:marTop w:val="0"/>
      <w:marBottom w:val="0"/>
      <w:divBdr>
        <w:top w:val="none" w:sz="0" w:space="0" w:color="auto"/>
        <w:left w:val="none" w:sz="0" w:space="0" w:color="auto"/>
        <w:bottom w:val="none" w:sz="0" w:space="0" w:color="auto"/>
        <w:right w:val="none" w:sz="0" w:space="0" w:color="auto"/>
      </w:divBdr>
    </w:div>
    <w:div w:id="1162428729">
      <w:bodyDiv w:val="1"/>
      <w:marLeft w:val="0"/>
      <w:marRight w:val="0"/>
      <w:marTop w:val="0"/>
      <w:marBottom w:val="0"/>
      <w:divBdr>
        <w:top w:val="none" w:sz="0" w:space="0" w:color="auto"/>
        <w:left w:val="none" w:sz="0" w:space="0" w:color="auto"/>
        <w:bottom w:val="none" w:sz="0" w:space="0" w:color="auto"/>
        <w:right w:val="none" w:sz="0" w:space="0" w:color="auto"/>
      </w:divBdr>
    </w:div>
    <w:div w:id="1278566915">
      <w:bodyDiv w:val="1"/>
      <w:marLeft w:val="0"/>
      <w:marRight w:val="0"/>
      <w:marTop w:val="0"/>
      <w:marBottom w:val="0"/>
      <w:divBdr>
        <w:top w:val="none" w:sz="0" w:space="0" w:color="auto"/>
        <w:left w:val="none" w:sz="0" w:space="0" w:color="auto"/>
        <w:bottom w:val="none" w:sz="0" w:space="0" w:color="auto"/>
        <w:right w:val="none" w:sz="0" w:space="0" w:color="auto"/>
      </w:divBdr>
    </w:div>
    <w:div w:id="1281372863">
      <w:bodyDiv w:val="1"/>
      <w:marLeft w:val="0"/>
      <w:marRight w:val="0"/>
      <w:marTop w:val="0"/>
      <w:marBottom w:val="0"/>
      <w:divBdr>
        <w:top w:val="none" w:sz="0" w:space="0" w:color="auto"/>
        <w:left w:val="none" w:sz="0" w:space="0" w:color="auto"/>
        <w:bottom w:val="none" w:sz="0" w:space="0" w:color="auto"/>
        <w:right w:val="none" w:sz="0" w:space="0" w:color="auto"/>
      </w:divBdr>
    </w:div>
    <w:div w:id="1348410655">
      <w:bodyDiv w:val="1"/>
      <w:marLeft w:val="0"/>
      <w:marRight w:val="0"/>
      <w:marTop w:val="0"/>
      <w:marBottom w:val="0"/>
      <w:divBdr>
        <w:top w:val="none" w:sz="0" w:space="0" w:color="auto"/>
        <w:left w:val="none" w:sz="0" w:space="0" w:color="auto"/>
        <w:bottom w:val="none" w:sz="0" w:space="0" w:color="auto"/>
        <w:right w:val="none" w:sz="0" w:space="0" w:color="auto"/>
      </w:divBdr>
    </w:div>
    <w:div w:id="1417676919">
      <w:bodyDiv w:val="1"/>
      <w:marLeft w:val="0"/>
      <w:marRight w:val="0"/>
      <w:marTop w:val="0"/>
      <w:marBottom w:val="0"/>
      <w:divBdr>
        <w:top w:val="none" w:sz="0" w:space="0" w:color="auto"/>
        <w:left w:val="none" w:sz="0" w:space="0" w:color="auto"/>
        <w:bottom w:val="none" w:sz="0" w:space="0" w:color="auto"/>
        <w:right w:val="none" w:sz="0" w:space="0" w:color="auto"/>
      </w:divBdr>
    </w:div>
    <w:div w:id="1541824598">
      <w:bodyDiv w:val="1"/>
      <w:marLeft w:val="0"/>
      <w:marRight w:val="0"/>
      <w:marTop w:val="0"/>
      <w:marBottom w:val="0"/>
      <w:divBdr>
        <w:top w:val="none" w:sz="0" w:space="0" w:color="auto"/>
        <w:left w:val="none" w:sz="0" w:space="0" w:color="auto"/>
        <w:bottom w:val="none" w:sz="0" w:space="0" w:color="auto"/>
        <w:right w:val="none" w:sz="0" w:space="0" w:color="auto"/>
      </w:divBdr>
    </w:div>
    <w:div w:id="1810976038">
      <w:bodyDiv w:val="1"/>
      <w:marLeft w:val="0"/>
      <w:marRight w:val="0"/>
      <w:marTop w:val="0"/>
      <w:marBottom w:val="0"/>
      <w:divBdr>
        <w:top w:val="none" w:sz="0" w:space="0" w:color="auto"/>
        <w:left w:val="none" w:sz="0" w:space="0" w:color="auto"/>
        <w:bottom w:val="none" w:sz="0" w:space="0" w:color="auto"/>
        <w:right w:val="none" w:sz="0" w:space="0" w:color="auto"/>
      </w:divBdr>
    </w:div>
    <w:div w:id="1811289898">
      <w:bodyDiv w:val="1"/>
      <w:marLeft w:val="0"/>
      <w:marRight w:val="0"/>
      <w:marTop w:val="0"/>
      <w:marBottom w:val="0"/>
      <w:divBdr>
        <w:top w:val="none" w:sz="0" w:space="0" w:color="auto"/>
        <w:left w:val="none" w:sz="0" w:space="0" w:color="auto"/>
        <w:bottom w:val="none" w:sz="0" w:space="0" w:color="auto"/>
        <w:right w:val="none" w:sz="0" w:space="0" w:color="auto"/>
      </w:divBdr>
    </w:div>
    <w:div w:id="1827937737">
      <w:bodyDiv w:val="1"/>
      <w:marLeft w:val="0"/>
      <w:marRight w:val="0"/>
      <w:marTop w:val="0"/>
      <w:marBottom w:val="0"/>
      <w:divBdr>
        <w:top w:val="none" w:sz="0" w:space="0" w:color="auto"/>
        <w:left w:val="none" w:sz="0" w:space="0" w:color="auto"/>
        <w:bottom w:val="none" w:sz="0" w:space="0" w:color="auto"/>
        <w:right w:val="none" w:sz="0" w:space="0" w:color="auto"/>
      </w:divBdr>
    </w:div>
    <w:div w:id="1836604009">
      <w:bodyDiv w:val="1"/>
      <w:marLeft w:val="0"/>
      <w:marRight w:val="0"/>
      <w:marTop w:val="0"/>
      <w:marBottom w:val="0"/>
      <w:divBdr>
        <w:top w:val="none" w:sz="0" w:space="0" w:color="auto"/>
        <w:left w:val="none" w:sz="0" w:space="0" w:color="auto"/>
        <w:bottom w:val="none" w:sz="0" w:space="0" w:color="auto"/>
        <w:right w:val="none" w:sz="0" w:space="0" w:color="auto"/>
      </w:divBdr>
    </w:div>
    <w:div w:id="1904874759">
      <w:bodyDiv w:val="1"/>
      <w:marLeft w:val="0"/>
      <w:marRight w:val="0"/>
      <w:marTop w:val="0"/>
      <w:marBottom w:val="0"/>
      <w:divBdr>
        <w:top w:val="none" w:sz="0" w:space="0" w:color="auto"/>
        <w:left w:val="none" w:sz="0" w:space="0" w:color="auto"/>
        <w:bottom w:val="none" w:sz="0" w:space="0" w:color="auto"/>
        <w:right w:val="none" w:sz="0" w:space="0" w:color="auto"/>
      </w:divBdr>
    </w:div>
    <w:div w:id="1961296781">
      <w:bodyDiv w:val="1"/>
      <w:marLeft w:val="0"/>
      <w:marRight w:val="0"/>
      <w:marTop w:val="0"/>
      <w:marBottom w:val="0"/>
      <w:divBdr>
        <w:top w:val="none" w:sz="0" w:space="0" w:color="auto"/>
        <w:left w:val="none" w:sz="0" w:space="0" w:color="auto"/>
        <w:bottom w:val="none" w:sz="0" w:space="0" w:color="auto"/>
        <w:right w:val="none" w:sz="0" w:space="0" w:color="auto"/>
      </w:divBdr>
    </w:div>
    <w:div w:id="1978025724">
      <w:bodyDiv w:val="1"/>
      <w:marLeft w:val="0"/>
      <w:marRight w:val="0"/>
      <w:marTop w:val="0"/>
      <w:marBottom w:val="0"/>
      <w:divBdr>
        <w:top w:val="none" w:sz="0" w:space="0" w:color="auto"/>
        <w:left w:val="none" w:sz="0" w:space="0" w:color="auto"/>
        <w:bottom w:val="none" w:sz="0" w:space="0" w:color="auto"/>
        <w:right w:val="none" w:sz="0" w:space="0" w:color="auto"/>
      </w:divBdr>
    </w:div>
    <w:div w:id="19886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tbel.fgov.be/" TargetMode="External"/><Relationship Id="rId18" Type="http://schemas.openxmlformats.org/officeDocument/2006/relationships/hyperlink" Target="http://www.istat.it/" TargetMode="External"/><Relationship Id="rId26" Type="http://schemas.openxmlformats.org/officeDocument/2006/relationships/hyperlink" Target="http://www.stat.go.jp/" TargetMode="External"/><Relationship Id="rId39" Type="http://schemas.openxmlformats.org/officeDocument/2006/relationships/hyperlink" Target="http://www.brasil.gov.br/" TargetMode="External"/><Relationship Id="rId21" Type="http://schemas.openxmlformats.org/officeDocument/2006/relationships/hyperlink" Target="http://epp.eurostat.ec.europa.eu/portal/page/portal/eurostat/home/" TargetMode="External"/><Relationship Id="rId34" Type="http://schemas.openxmlformats.org/officeDocument/2006/relationships/hyperlink" Target="http://www.jstor.org/action/showPublication?journalCode=quarjecon" TargetMode="External"/><Relationship Id="rId42" Type="http://schemas.openxmlformats.org/officeDocument/2006/relationships/hyperlink" Target="http://www.insee.fr/" TargetMode="External"/><Relationship Id="rId47" Type="http://schemas.openxmlformats.org/officeDocument/2006/relationships/hyperlink" Target="http://www.ine.es/" TargetMode="External"/><Relationship Id="rId50" Type="http://schemas.openxmlformats.org/officeDocument/2006/relationships/hyperlink" Target="http://www.scb.se/" TargetMode="External"/><Relationship Id="rId55" Type="http://schemas.openxmlformats.org/officeDocument/2006/relationships/hyperlink" Target="http://www.stats.gov.cn/english/PressRelease/201402/t20140224_515103.html" TargetMode="External"/><Relationship Id="rId7" Type="http://schemas.openxmlformats.org/officeDocument/2006/relationships/footnotes" Target="footnotes.xml"/><Relationship Id="rId12" Type="http://schemas.openxmlformats.org/officeDocument/2006/relationships/hyperlink" Target="http://www.bcb.gov.br/" TargetMode="External"/><Relationship Id="rId17" Type="http://schemas.openxmlformats.org/officeDocument/2006/relationships/hyperlink" Target="http://www.cso.ie/" TargetMode="External"/><Relationship Id="rId25" Type="http://schemas.openxmlformats.org/officeDocument/2006/relationships/hyperlink" Target="http://www.bfs.admin.ch/bfs/portal/en/index.html" TargetMode="External"/><Relationship Id="rId33" Type="http://schemas.openxmlformats.org/officeDocument/2006/relationships/hyperlink" Target="http://qje.oxfordjournals.org/content/112/2/647.abstract" TargetMode="External"/><Relationship Id="rId38" Type="http://schemas.openxmlformats.org/officeDocument/2006/relationships/hyperlink" Target="http://www.inegi.org.mx/" TargetMode="External"/><Relationship Id="rId46" Type="http://schemas.openxmlformats.org/officeDocument/2006/relationships/hyperlink" Target="http://www.cbs.nl/"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estatis.de/" TargetMode="External"/><Relationship Id="rId20" Type="http://schemas.openxmlformats.org/officeDocument/2006/relationships/hyperlink" Target="http://www.ine.es/" TargetMode="External"/><Relationship Id="rId29" Type="http://schemas.openxmlformats.org/officeDocument/2006/relationships/hyperlink" Target="http://247wallst.com/economy/2014/01/23/74-believe-u-s-still-in-recession/" TargetMode="External"/><Relationship Id="rId41" Type="http://schemas.openxmlformats.org/officeDocument/2006/relationships/hyperlink" Target="http://www.stat.fi/index_en.html" TargetMode="External"/><Relationship Id="rId54" Type="http://schemas.openxmlformats.org/officeDocument/2006/relationships/hyperlink" Target="http://ecos.bok.or.kr/EIndex_en.j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egi.org.mx/" TargetMode="External"/><Relationship Id="rId24" Type="http://schemas.openxmlformats.org/officeDocument/2006/relationships/hyperlink" Target="http://www.ons.gov.uk/" TargetMode="External"/><Relationship Id="rId32" Type="http://schemas.openxmlformats.org/officeDocument/2006/relationships/hyperlink" Target="http://www.nber.org/papers/w4369" TargetMode="External"/><Relationship Id="rId37" Type="http://schemas.openxmlformats.org/officeDocument/2006/relationships/hyperlink" Target="http://www.statcan.ca/" TargetMode="External"/><Relationship Id="rId40" Type="http://schemas.openxmlformats.org/officeDocument/2006/relationships/hyperlink" Target="http://www.nbb.be/doc/DQ/E/DQ3/HISTO/IEE1438.PDF" TargetMode="External"/><Relationship Id="rId45" Type="http://schemas.openxmlformats.org/officeDocument/2006/relationships/hyperlink" Target="http://www.istat.it/" TargetMode="External"/><Relationship Id="rId53" Type="http://schemas.openxmlformats.org/officeDocument/2006/relationships/hyperlink" Target="http://www.esri.cao.go.jp/"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nsee.fr/" TargetMode="External"/><Relationship Id="rId23" Type="http://schemas.openxmlformats.org/officeDocument/2006/relationships/hyperlink" Target="http://www.scb.se/" TargetMode="External"/><Relationship Id="rId28" Type="http://schemas.openxmlformats.org/officeDocument/2006/relationships/hyperlink" Target="http://www.hks.harvard.edu/fs/jfrankel/StatReleaseWordgCPI&amp;GDP2014.xlsx" TargetMode="External"/><Relationship Id="rId36" Type="http://schemas.openxmlformats.org/officeDocument/2006/relationships/hyperlink" Target="http://www.bea.gov/" TargetMode="External"/><Relationship Id="rId49" Type="http://schemas.openxmlformats.org/officeDocument/2006/relationships/hyperlink" Target="http://www.dst.dk/" TargetMode="External"/><Relationship Id="rId57" Type="http://schemas.openxmlformats.org/officeDocument/2006/relationships/hyperlink" Target="http://www.hks.harvard.edu/fs/jfrankel/StatReleaseWordgCPI&amp;GDP2014.xlsx" TargetMode="External"/><Relationship Id="rId10" Type="http://schemas.openxmlformats.org/officeDocument/2006/relationships/hyperlink" Target="http://www.statcan.ca/" TargetMode="External"/><Relationship Id="rId19" Type="http://schemas.openxmlformats.org/officeDocument/2006/relationships/hyperlink" Target="http://www.cbs.nl/" TargetMode="External"/><Relationship Id="rId31" Type="http://schemas.openxmlformats.org/officeDocument/2006/relationships/hyperlink" Target="http://www.pollingreport.com/consumer2.htm" TargetMode="External"/><Relationship Id="rId44" Type="http://schemas.openxmlformats.org/officeDocument/2006/relationships/hyperlink" Target="http://www.cso.ie/" TargetMode="External"/><Relationship Id="rId52" Type="http://schemas.openxmlformats.org/officeDocument/2006/relationships/hyperlink" Target="http://www.bfs.admin.ch/bfs/portal/en/index.html" TargetMode="External"/><Relationship Id="rId4" Type="http://schemas.microsoft.com/office/2007/relationships/stylesWithEffects" Target="stylesWithEffects.xml"/><Relationship Id="rId9" Type="http://schemas.openxmlformats.org/officeDocument/2006/relationships/hyperlink" Target="http://www.bls.gov/" TargetMode="External"/><Relationship Id="rId14" Type="http://schemas.openxmlformats.org/officeDocument/2006/relationships/hyperlink" Target="http://www.stat.fi/index_en.html" TargetMode="External"/><Relationship Id="rId22" Type="http://schemas.openxmlformats.org/officeDocument/2006/relationships/hyperlink" Target="http://www.dst.dk/da/" TargetMode="External"/><Relationship Id="rId27" Type="http://schemas.openxmlformats.org/officeDocument/2006/relationships/hyperlink" Target="http://kostat.go.kr/portal/english/index.action" TargetMode="External"/><Relationship Id="rId30" Type="http://schemas.openxmlformats.org/officeDocument/2006/relationships/hyperlink" Target="http://www.usnews.com/news/blogs/ken-walshs-washington/2013/12/17/poll-nearly-80-percent-thinks-economy-still-in-recession" TargetMode="External"/><Relationship Id="rId35" Type="http://schemas.openxmlformats.org/officeDocument/2006/relationships/hyperlink" Target="http://www.jstor.org/stable/10.2307/i352637" TargetMode="External"/><Relationship Id="rId43" Type="http://schemas.openxmlformats.org/officeDocument/2006/relationships/hyperlink" Target="http://www.destatis.de/" TargetMode="External"/><Relationship Id="rId48" Type="http://schemas.openxmlformats.org/officeDocument/2006/relationships/hyperlink" Target="http://epp.eurostat.ec.europa.eu/portal/page/portal/eurostat/home/" TargetMode="External"/><Relationship Id="rId56" Type="http://schemas.openxmlformats.org/officeDocument/2006/relationships/hyperlink" Target="http://eng.stat.gov.tw/point.asp?index=1" TargetMode="External"/><Relationship Id="rId8" Type="http://schemas.openxmlformats.org/officeDocument/2006/relationships/endnotes" Target="endnotes.xml"/><Relationship Id="rId51" Type="http://schemas.openxmlformats.org/officeDocument/2006/relationships/hyperlink" Target="http://www.ons.gov.uk/"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restud.oxfordjournals.org/search?author1=Wei+Xiong&amp;sortspec=date&amp;submit=Sub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F377F-5121-4726-B9B3-207EE3BA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4859</Words>
  <Characters>27702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32497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itfsa</cp:lastModifiedBy>
  <cp:revision>2</cp:revision>
  <cp:lastPrinted>2014-09-23T14:00:00Z</cp:lastPrinted>
  <dcterms:created xsi:type="dcterms:W3CDTF">2015-02-03T00:02:00Z</dcterms:created>
  <dcterms:modified xsi:type="dcterms:W3CDTF">2015-02-03T00:02:00Z</dcterms:modified>
</cp:coreProperties>
</file>