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7CAD" w14:textId="56B8A947" w:rsidR="002B195B" w:rsidRDefault="00431061" w:rsidP="00431061">
      <w:pPr>
        <w:jc w:val="center"/>
        <w:rPr>
          <w:sz w:val="24"/>
          <w:szCs w:val="24"/>
        </w:rPr>
      </w:pPr>
      <w:bookmarkStart w:id="0" w:name="_GoBack"/>
      <w:bookmarkEnd w:id="0"/>
      <w:r>
        <w:rPr>
          <w:sz w:val="24"/>
          <w:szCs w:val="24"/>
        </w:rPr>
        <w:t xml:space="preserve">                                                                                                   </w:t>
      </w:r>
      <w:r w:rsidR="00E775E7">
        <w:rPr>
          <w:sz w:val="24"/>
          <w:szCs w:val="24"/>
        </w:rPr>
        <w:t xml:space="preserve">Revised January 3, </w:t>
      </w:r>
      <w:r w:rsidR="00FA23EF" w:rsidRPr="00B95E8E">
        <w:rPr>
          <w:sz w:val="24"/>
          <w:szCs w:val="24"/>
        </w:rPr>
        <w:t>2019</w:t>
      </w:r>
    </w:p>
    <w:p w14:paraId="58DAA9ED" w14:textId="77777777" w:rsidR="00FF7318" w:rsidRPr="00220F25" w:rsidRDefault="00FF7318" w:rsidP="002B195B">
      <w:pPr>
        <w:jc w:val="right"/>
        <w:rPr>
          <w:sz w:val="2"/>
          <w:szCs w:val="2"/>
        </w:rPr>
      </w:pPr>
    </w:p>
    <w:p w14:paraId="57B5C1F6" w14:textId="58EF1433" w:rsidR="002B195B" w:rsidRPr="00FF7318" w:rsidRDefault="00FF7318" w:rsidP="002B195B">
      <w:pPr>
        <w:jc w:val="center"/>
        <w:rPr>
          <w:b/>
          <w:sz w:val="28"/>
          <w:szCs w:val="28"/>
        </w:rPr>
      </w:pPr>
      <w:r w:rsidRPr="00FF7318">
        <w:rPr>
          <w:b/>
          <w:sz w:val="28"/>
          <w:szCs w:val="28"/>
        </w:rPr>
        <w:t xml:space="preserve"> </w:t>
      </w:r>
      <w:r w:rsidR="00A33315" w:rsidRPr="00FF7318">
        <w:rPr>
          <w:b/>
          <w:sz w:val="28"/>
          <w:szCs w:val="28"/>
        </w:rPr>
        <w:t>Systematic Managed Floating</w:t>
      </w:r>
    </w:p>
    <w:p w14:paraId="4DF577A7" w14:textId="7F87A6C9" w:rsidR="006A3367" w:rsidRPr="00A7379F" w:rsidRDefault="006A3367" w:rsidP="00AC7F54">
      <w:pPr>
        <w:jc w:val="center"/>
        <w:rPr>
          <w:rFonts w:cs="Arial"/>
          <w:color w:val="1E1E1E"/>
          <w:sz w:val="24"/>
          <w:szCs w:val="24"/>
          <w:shd w:val="clear" w:color="auto" w:fill="FFFFFF"/>
        </w:rPr>
      </w:pPr>
      <w:r w:rsidRPr="00FF7318">
        <w:rPr>
          <w:sz w:val="24"/>
          <w:szCs w:val="24"/>
        </w:rPr>
        <w:t>Jeffrey Frankel, Harvard Kennedy School</w:t>
      </w:r>
      <w:r w:rsidR="003726FA">
        <w:rPr>
          <w:sz w:val="24"/>
          <w:szCs w:val="24"/>
        </w:rPr>
        <w:t>, Harvard University</w:t>
      </w:r>
      <w:r w:rsidR="00E92135">
        <w:rPr>
          <w:sz w:val="24"/>
          <w:szCs w:val="24"/>
        </w:rPr>
        <w:t>, 79 JFK St., Cambridge MA 02138</w:t>
      </w:r>
      <w:r w:rsidR="00FF7318" w:rsidRPr="00FF7318">
        <w:rPr>
          <w:sz w:val="24"/>
          <w:szCs w:val="24"/>
        </w:rPr>
        <w:t>*</w:t>
      </w:r>
      <w:r w:rsidR="00702A92">
        <w:rPr>
          <w:rFonts w:cs="Arial"/>
          <w:color w:val="1E1E1E"/>
          <w:sz w:val="24"/>
          <w:szCs w:val="24"/>
          <w:shd w:val="clear" w:color="auto" w:fill="FFFFFF"/>
        </w:rPr>
        <w:br/>
      </w:r>
    </w:p>
    <w:p w14:paraId="5CFC14E9" w14:textId="77777777" w:rsidR="001C3BD5" w:rsidRPr="00FF7318" w:rsidRDefault="001C3BD5" w:rsidP="002B195B">
      <w:pPr>
        <w:jc w:val="center"/>
        <w:rPr>
          <w:rFonts w:cs="Arial"/>
          <w:color w:val="1E1E1E"/>
          <w:sz w:val="24"/>
          <w:szCs w:val="24"/>
          <w:shd w:val="clear" w:color="auto" w:fill="FFFFFF"/>
        </w:rPr>
      </w:pPr>
    </w:p>
    <w:p w14:paraId="4DBB2747" w14:textId="77777777" w:rsidR="00FF7318" w:rsidRDefault="003A4D45" w:rsidP="00FF7318">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1FDEB991" w14:textId="035A53C5" w:rsidR="001C3BD5" w:rsidRPr="00FF7318" w:rsidRDefault="003A4D45" w:rsidP="00FF7318">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w:t>
      </w:r>
      <w:r w:rsidR="00625964" w:rsidRPr="00FF7318">
        <w:rPr>
          <w:rFonts w:cs="Arial"/>
          <w:color w:val="1E1E1E"/>
          <w:sz w:val="24"/>
          <w:szCs w:val="24"/>
          <w:shd w:val="clear" w:color="auto" w:fill="FFFFFF"/>
        </w:rPr>
        <w:t xml:space="preserve">in practice </w:t>
      </w:r>
      <w:r w:rsidRPr="00FF7318">
        <w:rPr>
          <w:rFonts w:cs="Arial"/>
          <w:color w:val="1E1E1E"/>
          <w:sz w:val="24"/>
          <w:szCs w:val="24"/>
          <w:shd w:val="clear" w:color="auto" w:fill="FFFFFF"/>
        </w:rPr>
        <w:t xml:space="preserve">also don’t obey such well-defined intermediate </w:t>
      </w:r>
      <w:r w:rsidR="00625964">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sidR="00D814C9">
        <w:rPr>
          <w:rFonts w:cs="Arial"/>
          <w:color w:val="1E1E1E"/>
          <w:sz w:val="24"/>
          <w:szCs w:val="24"/>
          <w:shd w:val="clear" w:color="auto" w:fill="FFFFFF"/>
        </w:rPr>
        <w:t>s target zones</w:t>
      </w:r>
      <w:r w:rsidR="009D1D0D">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 This p</w:t>
      </w:r>
      <w:r w:rsidR="00625964">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sidR="00660A4B">
        <w:rPr>
          <w:rFonts w:cs="Arial"/>
          <w:color w:val="1E1E1E"/>
          <w:sz w:val="24"/>
          <w:szCs w:val="24"/>
          <w:shd w:val="clear" w:color="auto" w:fill="FFFFFF"/>
        </w:rPr>
        <w:t>r</w:t>
      </w:r>
      <w:r w:rsidR="00C54149">
        <w:rPr>
          <w:rFonts w:cs="Arial"/>
          <w:color w:val="1E1E1E"/>
          <w:sz w:val="24"/>
          <w:szCs w:val="24"/>
          <w:shd w:val="clear" w:color="auto" w:fill="FFFFFF"/>
        </w:rPr>
        <w:t>e</w:t>
      </w:r>
      <w:r w:rsidR="00660A4B">
        <w:rPr>
          <w:rFonts w:cs="Arial"/>
          <w:color w:val="1E1E1E"/>
          <w:sz w:val="24"/>
          <w:szCs w:val="24"/>
          <w:shd w:val="clear" w:color="auto" w:fill="FFFFFF"/>
        </w:rPr>
        <w:t>gime</w:t>
      </w:r>
      <w:r w:rsidR="00D814C9">
        <w:rPr>
          <w:rFonts w:cs="Arial"/>
          <w:color w:val="1E1E1E"/>
          <w:sz w:val="24"/>
          <w:szCs w:val="24"/>
          <w:shd w:val="clear" w:color="auto" w:fill="FFFFFF"/>
        </w:rPr>
        <w:t>,</w:t>
      </w:r>
      <w:r w:rsidRPr="00FF7318">
        <w:rPr>
          <w:rFonts w:cs="Arial"/>
          <w:color w:val="1E1E1E"/>
          <w:sz w:val="24"/>
          <w:szCs w:val="24"/>
          <w:shd w:val="clear" w:color="auto" w:fill="FFFFFF"/>
        </w:rPr>
        <w:t xml:space="preserve"> to be called “systematic managed floating,” as </w:t>
      </w:r>
      <w:r w:rsidR="00660A4B">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w:t>
      </w:r>
      <w:r w:rsidR="00957B3A" w:rsidRPr="00FF7318">
        <w:rPr>
          <w:rFonts w:cs="Arial"/>
          <w:color w:val="1E1E1E"/>
          <w:sz w:val="24"/>
          <w:szCs w:val="24"/>
          <w:shd w:val="clear" w:color="auto" w:fill="FFFFFF"/>
        </w:rPr>
        <w:t>owing some fraction to be reflect</w:t>
      </w:r>
      <w:r w:rsidRPr="00FF7318">
        <w:rPr>
          <w:rFonts w:cs="Arial"/>
          <w:color w:val="1E1E1E"/>
          <w:sz w:val="24"/>
          <w:szCs w:val="24"/>
          <w:shd w:val="clear" w:color="auto" w:fill="FFFFFF"/>
        </w:rPr>
        <w:t>ed as a change in the exchange rate and the remainin</w:t>
      </w:r>
      <w:r w:rsidR="00EB2F23" w:rsidRPr="00FF7318">
        <w:rPr>
          <w:rFonts w:cs="Arial"/>
          <w:color w:val="1E1E1E"/>
          <w:sz w:val="24"/>
          <w:szCs w:val="24"/>
          <w:shd w:val="clear" w:color="auto" w:fill="FFFFFF"/>
        </w:rPr>
        <w:t xml:space="preserve">g fraction to be absorbed as a </w:t>
      </w:r>
      <w:r w:rsidRPr="00FF7318">
        <w:rPr>
          <w:rFonts w:cs="Arial"/>
          <w:color w:val="1E1E1E"/>
          <w:sz w:val="24"/>
          <w:szCs w:val="24"/>
          <w:shd w:val="clear" w:color="auto" w:fill="FFFFFF"/>
        </w:rPr>
        <w:t>change in foreign exchange reserves.</w:t>
      </w:r>
      <w:r w:rsidR="00FF7318" w:rsidRPr="00FF7318">
        <w:rPr>
          <w:rFonts w:cs="Arial"/>
          <w:color w:val="1E1E1E"/>
          <w:sz w:val="24"/>
          <w:szCs w:val="24"/>
          <w:shd w:val="clear" w:color="auto" w:fill="FFFFFF"/>
        </w:rPr>
        <w:t xml:space="preserve">  </w:t>
      </w:r>
      <w:r w:rsidR="008341F9">
        <w:rPr>
          <w:rFonts w:cs="Arial"/>
          <w:color w:val="1E1E1E"/>
          <w:sz w:val="24"/>
          <w:szCs w:val="24"/>
          <w:shd w:val="clear" w:color="auto" w:fill="FFFFFF"/>
        </w:rPr>
        <w:t xml:space="preserve">An operational criterion for judging </w:t>
      </w:r>
      <w:r w:rsidR="00431061">
        <w:rPr>
          <w:rFonts w:cs="Arial"/>
          <w:color w:val="1E1E1E"/>
          <w:sz w:val="24"/>
          <w:szCs w:val="24"/>
          <w:shd w:val="clear" w:color="auto" w:fill="FFFFFF"/>
        </w:rPr>
        <w:t xml:space="preserve">systematic managed </w:t>
      </w:r>
      <w:r w:rsidR="008341F9">
        <w:rPr>
          <w:rFonts w:cs="Arial"/>
          <w:color w:val="1E1E1E"/>
          <w:sz w:val="24"/>
          <w:szCs w:val="24"/>
          <w:shd w:val="clear" w:color="auto" w:fill="FFFFFF"/>
        </w:rPr>
        <w:t>float</w:t>
      </w:r>
      <w:r w:rsidR="00431061">
        <w:rPr>
          <w:rFonts w:cs="Arial"/>
          <w:color w:val="1E1E1E"/>
          <w:sz w:val="24"/>
          <w:szCs w:val="24"/>
          <w:shd w:val="clear" w:color="auto" w:fill="FFFFFF"/>
        </w:rPr>
        <w:t>ers</w:t>
      </w:r>
      <w:r w:rsidR="008341F9">
        <w:rPr>
          <w:rFonts w:cs="Arial"/>
          <w:color w:val="1E1E1E"/>
          <w:sz w:val="24"/>
          <w:szCs w:val="24"/>
          <w:shd w:val="clear" w:color="auto" w:fill="FFFFFF"/>
        </w:rPr>
        <w:t xml:space="preserve"> is a high correlation between exchange rate changes and reserve changes.  </w:t>
      </w:r>
      <w:r w:rsidR="00660A4B">
        <w:rPr>
          <w:rFonts w:cs="Arial"/>
          <w:color w:val="1E1E1E"/>
          <w:sz w:val="24"/>
          <w:szCs w:val="24"/>
          <w:shd w:val="clear" w:color="auto" w:fill="FFFFFF"/>
        </w:rPr>
        <w:t>The paper</w:t>
      </w:r>
      <w:r w:rsidR="00FF7318" w:rsidRPr="00FF7318">
        <w:rPr>
          <w:rFonts w:cs="Arial"/>
          <w:color w:val="1E1E1E"/>
          <w:sz w:val="24"/>
          <w:szCs w:val="24"/>
          <w:shd w:val="clear" w:color="auto" w:fill="FFFFFF"/>
        </w:rPr>
        <w:t xml:space="preserve"> reject</w:t>
      </w:r>
      <w:r w:rsidR="00660A4B">
        <w:rPr>
          <w:rFonts w:cs="Arial"/>
          <w:color w:val="1E1E1E"/>
          <w:sz w:val="24"/>
          <w:szCs w:val="24"/>
          <w:shd w:val="clear" w:color="auto" w:fill="FFFFFF"/>
        </w:rPr>
        <w:t>s</w:t>
      </w:r>
      <w:r w:rsidR="00FF7318"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sidR="00E721AA">
        <w:rPr>
          <w:rFonts w:cs="Arial"/>
          <w:color w:val="1E1E1E"/>
          <w:sz w:val="24"/>
          <w:szCs w:val="24"/>
          <w:shd w:val="clear" w:color="auto" w:fill="FFFFFF"/>
        </w:rPr>
        <w:t xml:space="preserve">most </w:t>
      </w:r>
      <w:r w:rsidR="008341F9">
        <w:rPr>
          <w:rFonts w:cs="Arial"/>
          <w:color w:val="1E1E1E"/>
          <w:sz w:val="24"/>
          <w:szCs w:val="24"/>
          <w:shd w:val="clear" w:color="auto" w:fill="FFFFFF"/>
        </w:rPr>
        <w:t xml:space="preserve">systematic </w:t>
      </w:r>
      <w:r w:rsidR="00FF7318" w:rsidRPr="00FF7318">
        <w:rPr>
          <w:rFonts w:cs="Arial"/>
          <w:color w:val="1E1E1E"/>
          <w:sz w:val="24"/>
          <w:szCs w:val="24"/>
          <w:shd w:val="clear" w:color="auto" w:fill="FFFFFF"/>
        </w:rPr>
        <w:t>managed-floaters;</w:t>
      </w:r>
      <w:r w:rsidR="00625964">
        <w:rPr>
          <w:rFonts w:cs="Arial"/>
          <w:color w:val="1E1E1E"/>
          <w:sz w:val="24"/>
          <w:szCs w:val="24"/>
          <w:shd w:val="clear" w:color="auto" w:fill="FFFFFF"/>
        </w:rPr>
        <w:t xml:space="preserve"> </w:t>
      </w:r>
      <w:r w:rsidR="00FF7318" w:rsidRPr="00FF7318">
        <w:rPr>
          <w:rFonts w:cs="Arial"/>
          <w:color w:val="1E1E1E"/>
          <w:sz w:val="24"/>
          <w:szCs w:val="24"/>
          <w:shd w:val="clear" w:color="auto" w:fill="FFFFFF"/>
        </w:rPr>
        <w:t>more strongly so for pure floaters; and not at all for most firm peggers.</w:t>
      </w:r>
      <w:r w:rsidR="008341F9">
        <w:rPr>
          <w:rFonts w:cs="Arial"/>
          <w:color w:val="1E1E1E"/>
          <w:sz w:val="24"/>
          <w:szCs w:val="24"/>
          <w:shd w:val="clear" w:color="auto" w:fill="FFFFFF"/>
        </w:rPr>
        <w:t xml:space="preserve">  </w:t>
      </w:r>
      <w:r w:rsidR="008341F9" w:rsidRPr="00FF7318">
        <w:rPr>
          <w:rFonts w:cs="Arial"/>
          <w:color w:val="1E1E1E"/>
          <w:sz w:val="24"/>
          <w:szCs w:val="24"/>
          <w:shd w:val="clear" w:color="auto" w:fill="FFFFFF"/>
        </w:rPr>
        <w:t xml:space="preserve">Two </w:t>
      </w:r>
      <w:r w:rsidR="008341F9">
        <w:rPr>
          <w:rFonts w:cs="Arial"/>
          <w:color w:val="1E1E1E"/>
          <w:sz w:val="24"/>
          <w:szCs w:val="24"/>
          <w:shd w:val="clear" w:color="auto" w:fill="FFFFFF"/>
        </w:rPr>
        <w:t xml:space="preserve">measures </w:t>
      </w:r>
      <w:r w:rsidR="008341F9" w:rsidRPr="00FF7318">
        <w:rPr>
          <w:rFonts w:cs="Arial"/>
          <w:color w:val="1E1E1E"/>
          <w:sz w:val="24"/>
          <w:szCs w:val="24"/>
          <w:shd w:val="clear" w:color="auto" w:fill="FFFFFF"/>
        </w:rPr>
        <w:t xml:space="preserve">of exogenous external shocks are </w:t>
      </w:r>
      <w:r w:rsidR="008341F9">
        <w:rPr>
          <w:rFonts w:cs="Arial"/>
          <w:color w:val="1E1E1E"/>
          <w:sz w:val="24"/>
          <w:szCs w:val="24"/>
          <w:shd w:val="clear" w:color="auto" w:fill="FFFFFF"/>
        </w:rPr>
        <w:t>us</w:t>
      </w:r>
      <w:r w:rsidR="008341F9"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sidR="008341F9">
        <w:rPr>
          <w:rFonts w:cs="Arial"/>
          <w:color w:val="1E1E1E"/>
          <w:sz w:val="24"/>
          <w:szCs w:val="24"/>
          <w:shd w:val="clear" w:color="auto" w:fill="FFFFFF"/>
        </w:rPr>
        <w:t>IX</w:t>
      </w:r>
      <w:r w:rsidR="008341F9" w:rsidRPr="00FF7318">
        <w:rPr>
          <w:rFonts w:cs="Arial"/>
          <w:color w:val="1E1E1E"/>
          <w:sz w:val="24"/>
          <w:szCs w:val="24"/>
          <w:shd w:val="clear" w:color="auto" w:fill="FFFFFF"/>
        </w:rPr>
        <w:t xml:space="preserve">.  </w:t>
      </w:r>
    </w:p>
    <w:p w14:paraId="3E81C34C" w14:textId="77777777" w:rsidR="005708E3" w:rsidRDefault="005708E3" w:rsidP="008341F9">
      <w:pPr>
        <w:rPr>
          <w:rFonts w:ascii="Arial" w:hAnsi="Arial" w:cs="Arial"/>
          <w:color w:val="1E1E1E"/>
          <w:sz w:val="21"/>
          <w:szCs w:val="21"/>
          <w:shd w:val="clear" w:color="auto" w:fill="FFFFFF"/>
        </w:rPr>
      </w:pPr>
    </w:p>
    <w:p w14:paraId="0E3BBCD1" w14:textId="0DBBB616" w:rsidR="00873008" w:rsidRPr="00873008" w:rsidRDefault="00873008" w:rsidP="008341F9">
      <w:pPr>
        <w:rPr>
          <w:rFonts w:cs="Arial"/>
          <w:color w:val="1E1E1E"/>
          <w:sz w:val="24"/>
          <w:szCs w:val="24"/>
          <w:shd w:val="clear" w:color="auto" w:fill="FFFFFF"/>
        </w:rPr>
      </w:pPr>
      <w:r w:rsidRPr="00873008">
        <w:rPr>
          <w:rFonts w:cs="Arial"/>
          <w:color w:val="1E1E1E"/>
          <w:sz w:val="24"/>
          <w:szCs w:val="24"/>
          <w:shd w:val="clear" w:color="auto" w:fill="FFFFFF"/>
        </w:rPr>
        <w:t>AEA class</w:t>
      </w:r>
      <w:r>
        <w:rPr>
          <w:rFonts w:cs="Arial"/>
          <w:color w:val="1E1E1E"/>
          <w:sz w:val="24"/>
          <w:szCs w:val="24"/>
          <w:shd w:val="clear" w:color="auto" w:fill="FFFFFF"/>
        </w:rPr>
        <w:t>i</w:t>
      </w:r>
      <w:r w:rsidRPr="00873008">
        <w:rPr>
          <w:rFonts w:cs="Arial"/>
          <w:color w:val="1E1E1E"/>
          <w:sz w:val="24"/>
          <w:szCs w:val="24"/>
          <w:shd w:val="clear" w:color="auto" w:fill="FFFFFF"/>
        </w:rPr>
        <w:t>fication: F31, F33, F41</w:t>
      </w:r>
    </w:p>
    <w:p w14:paraId="6829E496" w14:textId="77777777" w:rsidR="005708E3" w:rsidRDefault="005708E3" w:rsidP="003726FA">
      <w:pPr>
        <w:rPr>
          <w:rFonts w:ascii="Arial" w:hAnsi="Arial" w:cs="Arial"/>
          <w:color w:val="1E1E1E"/>
          <w:sz w:val="21"/>
          <w:szCs w:val="21"/>
          <w:shd w:val="clear" w:color="auto" w:fill="FFFFFF"/>
        </w:rPr>
      </w:pPr>
    </w:p>
    <w:p w14:paraId="2A334A5A" w14:textId="77777777" w:rsidR="005708E3" w:rsidRPr="00882489" w:rsidRDefault="005708E3" w:rsidP="005708E3">
      <w:pPr>
        <w:pStyle w:val="ListParagraph"/>
        <w:ind w:left="0"/>
        <w:rPr>
          <w:sz w:val="24"/>
          <w:szCs w:val="24"/>
        </w:rPr>
      </w:pPr>
      <w:r>
        <w:rPr>
          <w:sz w:val="24"/>
          <w:szCs w:val="24"/>
        </w:rPr>
        <w:t>___________________________________________________________________________</w:t>
      </w:r>
    </w:p>
    <w:p w14:paraId="0CB81BD7" w14:textId="4B7182BA" w:rsidR="00A7379F" w:rsidRDefault="005708E3" w:rsidP="003726FA">
      <w:pPr>
        <w:pStyle w:val="ListParagraph"/>
        <w:spacing w:after="0" w:line="240" w:lineRule="auto"/>
        <w:ind w:left="0"/>
        <w:rPr>
          <w:sz w:val="24"/>
          <w:szCs w:val="24"/>
        </w:rPr>
      </w:pPr>
      <w:r w:rsidRPr="00FF7318">
        <w:rPr>
          <w:sz w:val="24"/>
          <w:szCs w:val="24"/>
        </w:rPr>
        <w:t xml:space="preserve">*  </w:t>
      </w:r>
      <w:r w:rsidR="00AC7F54">
        <w:rPr>
          <w:sz w:val="24"/>
          <w:szCs w:val="24"/>
        </w:rPr>
        <w:t>The p</w:t>
      </w:r>
      <w:r w:rsidR="00AC7F54">
        <w:rPr>
          <w:rFonts w:cs="Arial"/>
          <w:color w:val="1E1E1E"/>
          <w:sz w:val="24"/>
          <w:szCs w:val="24"/>
          <w:shd w:val="clear" w:color="auto" w:fill="FFFFFF"/>
        </w:rPr>
        <w:t xml:space="preserve">aper was originally presented at the </w:t>
      </w:r>
      <w:r w:rsidR="00AC7F54" w:rsidRPr="00FF7318">
        <w:rPr>
          <w:rFonts w:cs="Arial"/>
          <w:color w:val="1E1E1E"/>
          <w:sz w:val="24"/>
          <w:szCs w:val="24"/>
          <w:shd w:val="clear" w:color="auto" w:fill="FFFFFF"/>
        </w:rPr>
        <w:t xml:space="preserve">4th Asian Monetary Policy Forum, </w:t>
      </w:r>
      <w:r w:rsidR="00AC7F54">
        <w:rPr>
          <w:rFonts w:cs="Arial"/>
          <w:color w:val="1E1E1E"/>
          <w:sz w:val="24"/>
          <w:szCs w:val="24"/>
          <w:shd w:val="clear" w:color="auto" w:fill="FFFFFF"/>
        </w:rPr>
        <w:t>Singapore, 26 May, 2017,</w:t>
      </w:r>
      <w:r w:rsidR="00E775E7">
        <w:rPr>
          <w:rFonts w:cs="Arial"/>
          <w:color w:val="1E1E1E"/>
          <w:sz w:val="24"/>
          <w:szCs w:val="24"/>
          <w:shd w:val="clear" w:color="auto" w:fill="FFFFFF"/>
        </w:rPr>
        <w:t xml:space="preserve"> </w:t>
      </w:r>
      <w:r w:rsidR="00AC7F54"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00AC7F54" w:rsidRPr="00FF7318">
        <w:rPr>
          <w:sz w:val="24"/>
          <w:szCs w:val="24"/>
        </w:rPr>
        <w:t xml:space="preserve"> </w:t>
      </w:r>
      <w:r w:rsidR="00AC7F54">
        <w:rPr>
          <w:sz w:val="24"/>
          <w:szCs w:val="24"/>
        </w:rPr>
        <w:t xml:space="preserve"> </w:t>
      </w:r>
      <w:r w:rsidRPr="00FF7318">
        <w:rPr>
          <w:sz w:val="24"/>
          <w:szCs w:val="24"/>
        </w:rPr>
        <w:t>The author would like to thank Shruti Lakhtakia and Tilahun Emiru for assiduous research assistance</w:t>
      </w:r>
      <w:r w:rsidR="00BC6F0E">
        <w:rPr>
          <w:sz w:val="24"/>
          <w:szCs w:val="24"/>
        </w:rPr>
        <w:t xml:space="preserve">, </w:t>
      </w:r>
      <w:r w:rsidRPr="00FF7318">
        <w:rPr>
          <w:sz w:val="24"/>
          <w:szCs w:val="24"/>
        </w:rPr>
        <w:t xml:space="preserve">Andrew Rose </w:t>
      </w:r>
      <w:r w:rsidR="00E13AD9">
        <w:rPr>
          <w:sz w:val="24"/>
          <w:szCs w:val="24"/>
        </w:rPr>
        <w:t xml:space="preserve">and </w:t>
      </w:r>
      <w:r w:rsidR="00E13AD9" w:rsidRPr="00E13AD9">
        <w:rPr>
          <w:rStyle w:val="il"/>
          <w:rFonts w:cs="Arial"/>
          <w:color w:val="222222"/>
          <w:sz w:val="24"/>
          <w:szCs w:val="24"/>
          <w:shd w:val="clear" w:color="auto" w:fill="FFFFFF"/>
        </w:rPr>
        <w:t>Sebnem</w:t>
      </w:r>
      <w:r w:rsidR="00E13AD9" w:rsidRPr="00E13AD9">
        <w:rPr>
          <w:rFonts w:cs="Arial"/>
          <w:color w:val="222222"/>
          <w:sz w:val="24"/>
          <w:szCs w:val="24"/>
          <w:shd w:val="clear" w:color="auto" w:fill="FFFFFF"/>
        </w:rPr>
        <w:t> Kalemli-Ozcan</w:t>
      </w:r>
      <w:r w:rsidR="00E13AD9" w:rsidRPr="00FF7318">
        <w:rPr>
          <w:sz w:val="24"/>
          <w:szCs w:val="24"/>
        </w:rPr>
        <w:t xml:space="preserve"> </w:t>
      </w:r>
      <w:r w:rsidRPr="00FF7318">
        <w:rPr>
          <w:sz w:val="24"/>
          <w:szCs w:val="24"/>
        </w:rPr>
        <w:t>for useful discussion</w:t>
      </w:r>
      <w:r w:rsidR="00BC6F0E">
        <w:rPr>
          <w:sz w:val="24"/>
          <w:szCs w:val="24"/>
        </w:rPr>
        <w:t>, and Rose and Assaf Razin for discussant comments at the AMPF conference</w:t>
      </w:r>
      <w:r w:rsidRPr="00FF7318">
        <w:rPr>
          <w:sz w:val="24"/>
          <w:szCs w:val="24"/>
        </w:rPr>
        <w:t xml:space="preserve">.  </w:t>
      </w:r>
      <w:r w:rsidR="0032379A">
        <w:rPr>
          <w:sz w:val="24"/>
          <w:szCs w:val="24"/>
        </w:rPr>
        <w:t>T</w:t>
      </w:r>
      <w:r w:rsidR="00BF1460">
        <w:rPr>
          <w:sz w:val="24"/>
          <w:szCs w:val="24"/>
        </w:rPr>
        <w:t>ables</w:t>
      </w:r>
      <w:r w:rsidR="0032379A">
        <w:rPr>
          <w:sz w:val="24"/>
          <w:szCs w:val="24"/>
        </w:rPr>
        <w:t xml:space="preserve"> 2.1-2.4</w:t>
      </w:r>
      <w:r w:rsidR="00BF1460">
        <w:rPr>
          <w:sz w:val="24"/>
          <w:szCs w:val="24"/>
        </w:rPr>
        <w:t xml:space="preserve"> draw on new joint research with Danxia Xie.  </w:t>
      </w:r>
      <w:r w:rsidRPr="00FF7318">
        <w:rPr>
          <w:sz w:val="24"/>
          <w:szCs w:val="24"/>
        </w:rPr>
        <w:t>Faults of the paper are the author’s alone.</w:t>
      </w:r>
    </w:p>
    <w:p w14:paraId="3414A951" w14:textId="225ADFB1" w:rsidR="00FE3B45" w:rsidRPr="00FE3B45" w:rsidRDefault="00A7379F" w:rsidP="00F24089">
      <w:pPr>
        <w:jc w:val="center"/>
        <w:rPr>
          <w:b/>
          <w:sz w:val="28"/>
          <w:szCs w:val="28"/>
        </w:rPr>
      </w:pPr>
      <w:r>
        <w:rPr>
          <w:sz w:val="24"/>
          <w:szCs w:val="24"/>
        </w:rPr>
        <w:br w:type="page"/>
      </w:r>
      <w:r w:rsidR="00FE3B45" w:rsidRPr="00FF7318">
        <w:rPr>
          <w:b/>
          <w:sz w:val="28"/>
          <w:szCs w:val="28"/>
        </w:rPr>
        <w:lastRenderedPageBreak/>
        <w:t>Systematic Managed Floating</w:t>
      </w:r>
    </w:p>
    <w:p w14:paraId="17B0609F" w14:textId="77777777" w:rsidR="00FE3B45" w:rsidRDefault="00FE3B45"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4CBD0568"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00D96853">
        <w:rPr>
          <w:sz w:val="24"/>
          <w:szCs w:val="24"/>
        </w:rPr>
        <w:t xml:space="preserve"> </w:t>
      </w:r>
      <w:r>
        <w:rPr>
          <w:sz w:val="24"/>
          <w:szCs w:val="24"/>
        </w:rPr>
        <w:t>The argument for the intermediate regimes is that they allow an intermediate degree of monetary independence in return for an intermediate degree of exchange rate flexibility.</w:t>
      </w:r>
    </w:p>
    <w:p w14:paraId="19D87FF3" w14:textId="369C913F" w:rsidR="007F1928" w:rsidRDefault="007F1928" w:rsidP="001C3BD5">
      <w:pPr>
        <w:pStyle w:val="ListParagraph"/>
        <w:ind w:left="0" w:firstLine="360"/>
        <w:rPr>
          <w:sz w:val="24"/>
          <w:szCs w:val="24"/>
        </w:rPr>
      </w:pPr>
    </w:p>
    <w:p w14:paraId="2F7CEA9D" w14:textId="329535EE" w:rsidR="007F1928" w:rsidRDefault="009A4E03" w:rsidP="001C3BD5">
      <w:pPr>
        <w:pStyle w:val="ListParagraph"/>
        <w:ind w:left="0" w:firstLine="360"/>
        <w:rPr>
          <w:sz w:val="24"/>
          <w:szCs w:val="24"/>
        </w:rPr>
      </w:pPr>
      <w:r>
        <w:rPr>
          <w:sz w:val="24"/>
          <w:szCs w:val="24"/>
        </w:rPr>
        <w:t>The contribution</w:t>
      </w:r>
      <w:r w:rsidR="007F1928">
        <w:rPr>
          <w:sz w:val="24"/>
          <w:szCs w:val="24"/>
        </w:rPr>
        <w:t xml:space="preserve"> of this paper is to suggest that there exists another intermediate exchange rate regime: the systematic</w:t>
      </w:r>
      <w:r w:rsidR="00774505">
        <w:rPr>
          <w:sz w:val="24"/>
          <w:szCs w:val="24"/>
        </w:rPr>
        <w:t>ally</w:t>
      </w:r>
      <w:r w:rsidR="007F1928">
        <w:rPr>
          <w:sz w:val="24"/>
          <w:szCs w:val="24"/>
        </w:rPr>
        <w:t xml:space="preserve"> managed float.  To operationalize </w:t>
      </w:r>
      <w:r w:rsidR="00774505">
        <w:rPr>
          <w:sz w:val="24"/>
          <w:szCs w:val="24"/>
        </w:rPr>
        <w:t>the classification of currency arrangement as a systematically managed float,</w:t>
      </w:r>
      <w:r w:rsidR="007F1928">
        <w:rPr>
          <w:sz w:val="24"/>
          <w:szCs w:val="24"/>
        </w:rPr>
        <w:t xml:space="preserve"> Part 2(b) of th</w:t>
      </w:r>
      <w:r w:rsidR="00AA6164">
        <w:rPr>
          <w:sz w:val="24"/>
          <w:szCs w:val="24"/>
        </w:rPr>
        <w:t>e</w:t>
      </w:r>
      <w:r w:rsidR="007F1928">
        <w:rPr>
          <w:sz w:val="24"/>
          <w:szCs w:val="24"/>
        </w:rPr>
        <w:t xml:space="preserve"> paper identifies it simply by the </w:t>
      </w:r>
      <w:r>
        <w:rPr>
          <w:sz w:val="24"/>
          <w:szCs w:val="24"/>
        </w:rPr>
        <w:t xml:space="preserve">statistical </w:t>
      </w:r>
      <w:r w:rsidR="007F1928">
        <w:rPr>
          <w:sz w:val="24"/>
          <w:szCs w:val="24"/>
        </w:rPr>
        <w:t>condition that there is a high positive correlation between the change in foreign exchange reserves and the change in the foreign exchange value of the currency</w:t>
      </w:r>
      <w:r>
        <w:rPr>
          <w:sz w:val="24"/>
          <w:szCs w:val="24"/>
        </w:rPr>
        <w:t>.</w:t>
      </w:r>
      <w:r w:rsidR="007A5125">
        <w:rPr>
          <w:sz w:val="24"/>
          <w:szCs w:val="24"/>
        </w:rPr>
        <w:t xml:space="preserve">  Part (3) examines whether choosing a systematically managed float makes a difference.</w:t>
      </w:r>
    </w:p>
    <w:p w14:paraId="278B6219" w14:textId="77777777" w:rsidR="001C3BD5" w:rsidRDefault="001C3BD5" w:rsidP="001C3BD5">
      <w:pPr>
        <w:pStyle w:val="ListParagraph"/>
        <w:ind w:left="0" w:firstLine="360"/>
        <w:rPr>
          <w:sz w:val="24"/>
          <w:szCs w:val="24"/>
        </w:rPr>
      </w:pPr>
    </w:p>
    <w:p w14:paraId="293F1E18" w14:textId="39F33703" w:rsidR="001C3BD5" w:rsidRDefault="00261BD5" w:rsidP="001C3BD5">
      <w:pPr>
        <w:pStyle w:val="ListParagraph"/>
        <w:ind w:left="0" w:firstLine="360"/>
        <w:rPr>
          <w:sz w:val="24"/>
          <w:szCs w:val="24"/>
        </w:rPr>
      </w:pPr>
      <w:r>
        <w:rPr>
          <w:sz w:val="24"/>
          <w:szCs w:val="24"/>
        </w:rPr>
        <w:t>To illustrate</w:t>
      </w:r>
      <w:r w:rsidR="00431061">
        <w:rPr>
          <w:sz w:val="24"/>
          <w:szCs w:val="24"/>
        </w:rPr>
        <w:t xml:space="preserve">, consider the history of </w:t>
      </w:r>
      <w:r w:rsidR="00BA7A94">
        <w:rPr>
          <w:sz w:val="24"/>
          <w:szCs w:val="24"/>
        </w:rPr>
        <w:t>Emerging M</w:t>
      </w:r>
      <w:r w:rsidR="001C3BD5">
        <w:rPr>
          <w:sz w:val="24"/>
          <w:szCs w:val="24"/>
        </w:rPr>
        <w:t xml:space="preserve">arket economies (EMs) </w:t>
      </w:r>
      <w:r w:rsidR="00431061">
        <w:rPr>
          <w:sz w:val="24"/>
          <w:szCs w:val="24"/>
        </w:rPr>
        <w:t>since the turn of the century.  A</w:t>
      </w:r>
      <w:r w:rsidR="001C3BD5">
        <w:rPr>
          <w:sz w:val="24"/>
          <w:szCs w:val="24"/>
        </w:rPr>
        <w:t xml:space="preserve">s an aggregate class </w:t>
      </w:r>
      <w:r w:rsidR="00431061">
        <w:rPr>
          <w:sz w:val="24"/>
          <w:szCs w:val="24"/>
        </w:rPr>
        <w:t xml:space="preserve">they </w:t>
      </w:r>
      <w:r w:rsidR="001C3BD5">
        <w:rPr>
          <w:sz w:val="24"/>
          <w:szCs w:val="24"/>
        </w:rPr>
        <w:t xml:space="preserve">have, broadly speaking, experienced four periods of </w:t>
      </w:r>
      <w:r w:rsidR="004D6A93">
        <w:rPr>
          <w:sz w:val="24"/>
          <w:szCs w:val="24"/>
        </w:rPr>
        <w:t xml:space="preserve">big </w:t>
      </w:r>
      <w:r w:rsidR="00431061">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w:t>
      </w:r>
      <w:r w:rsidR="000225BC">
        <w:rPr>
          <w:sz w:val="24"/>
          <w:szCs w:val="24"/>
        </w:rPr>
        <w:t xml:space="preserve">any </w:t>
      </w:r>
      <w:r w:rsidR="004D6A93">
        <w:rPr>
          <w:sz w:val="24"/>
          <w:szCs w:val="24"/>
        </w:rPr>
        <w:t>EM</w:t>
      </w:r>
      <w:r w:rsidR="001C3BD5">
        <w:rPr>
          <w:sz w:val="24"/>
          <w:szCs w:val="24"/>
        </w:rPr>
        <w:t xml:space="preserve"> returns that were even a little higher than those on offer in the advanced countries.  The second perio</w:t>
      </w:r>
      <w:r w:rsidR="00944800">
        <w:rPr>
          <w:sz w:val="24"/>
          <w:szCs w:val="24"/>
        </w:rPr>
        <w:t>d was the Global Financial Crisi</w:t>
      </w:r>
      <w:r w:rsidR="001C3BD5">
        <w:rPr>
          <w:sz w:val="24"/>
          <w:szCs w:val="24"/>
        </w:rPr>
        <w:t>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w:t>
      </w:r>
      <w:r w:rsidR="00033D04">
        <w:rPr>
          <w:sz w:val="24"/>
          <w:szCs w:val="24"/>
        </w:rPr>
        <w:lastRenderedPageBreak/>
        <w:t>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D96853">
        <w:rPr>
          <w:sz w:val="24"/>
          <w:szCs w:val="24"/>
        </w:rPr>
        <w:t xml:space="preserve"> </w:t>
      </w:r>
      <w:r w:rsidR="00FB0D2C">
        <w:rPr>
          <w:sz w:val="24"/>
          <w:szCs w:val="24"/>
        </w:rPr>
        <w:t xml:space="preserve">Fourth was the period that began with the Taper Tantrum of May 2013 and continued at least through </w:t>
      </w:r>
      <w:r w:rsidR="00B07CC1">
        <w:rPr>
          <w:sz w:val="24"/>
          <w:szCs w:val="24"/>
        </w:rPr>
        <w:t>2018</w:t>
      </w:r>
      <w:r w:rsidR="00FB0D2C">
        <w:rPr>
          <w:sz w:val="24"/>
          <w:szCs w:val="24"/>
        </w:rPr>
        <w:t>: a</w:t>
      </w:r>
      <w:r w:rsidR="00B07CC1">
        <w:rPr>
          <w:sz w:val="24"/>
          <w:szCs w:val="24"/>
        </w:rPr>
        <w:t xml:space="preserve">n end to the period of </w:t>
      </w:r>
      <w:r w:rsidR="00FB0D2C">
        <w:rPr>
          <w:sz w:val="24"/>
          <w:szCs w:val="24"/>
        </w:rPr>
        <w:t xml:space="preserve">US monetary </w:t>
      </w:r>
      <w:r w:rsidR="005A4D62">
        <w:rPr>
          <w:sz w:val="24"/>
          <w:szCs w:val="24"/>
        </w:rPr>
        <w:t>ease</w:t>
      </w:r>
      <w:r w:rsidR="00FB0D2C">
        <w:rPr>
          <w:sz w:val="24"/>
          <w:szCs w:val="24"/>
        </w:rPr>
        <w:t xml:space="preserve"> and a </w:t>
      </w:r>
      <w:r w:rsidR="00267D0C">
        <w:rPr>
          <w:sz w:val="24"/>
          <w:szCs w:val="24"/>
        </w:rPr>
        <w:t>new fall in commodity prices le</w:t>
      </w:r>
      <w:r w:rsidR="00FB0D2C">
        <w:rPr>
          <w:sz w:val="24"/>
          <w:szCs w:val="24"/>
        </w:rPr>
        <w:t>d</w:t>
      </w:r>
      <w:r w:rsidR="00267D0C">
        <w:rPr>
          <w:sz w:val="24"/>
          <w:szCs w:val="24"/>
        </w:rPr>
        <w:t xml:space="preserve"> </w:t>
      </w:r>
      <w:r w:rsidR="00FB0D2C">
        <w:rPr>
          <w:sz w:val="24"/>
          <w:szCs w:val="24"/>
        </w:rPr>
        <w:t>to EM outflows.</w:t>
      </w:r>
    </w:p>
    <w:p w14:paraId="75723D5B" w14:textId="5542AEB6" w:rsidR="004A53DD" w:rsidRDefault="004102DD" w:rsidP="004A53DD">
      <w:pPr>
        <w:rPr>
          <w:sz w:val="24"/>
          <w:szCs w:val="24"/>
        </w:rPr>
      </w:pPr>
      <w:r>
        <w:rPr>
          <w:sz w:val="24"/>
          <w:szCs w:val="24"/>
        </w:rPr>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 xml:space="preserve">Figure 2 shows responses to the “taper tantrum” of May-August 2013, when Federal Reserve Chairman Ben Bernanke announced the intention to begin phasing down US </w:t>
      </w:r>
      <w:r>
        <w:rPr>
          <w:sz w:val="24"/>
          <w:szCs w:val="24"/>
        </w:rPr>
        <w:lastRenderedPageBreak/>
        <w:t>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adverse shock as a change in the exchange rate, that is, a depreciation</w:t>
      </w:r>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70A5C4F" w:rsidR="008D3999" w:rsidRPr="008D3999" w:rsidRDefault="00305452" w:rsidP="004B7426">
      <w:pPr>
        <w:spacing w:after="0"/>
        <w:ind w:firstLine="360"/>
        <w:rPr>
          <w:sz w:val="2"/>
          <w:szCs w:val="2"/>
        </w:rPr>
      </w:pPr>
      <w:r>
        <w:rPr>
          <w:sz w:val="24"/>
          <w:szCs w:val="24"/>
        </w:rPr>
        <w:t xml:space="preserve">Finally, Figure 3 shows responses to the “China tantrum” of </w:t>
      </w:r>
      <w:r w:rsidR="001170DE">
        <w:rPr>
          <w:sz w:val="24"/>
          <w:szCs w:val="24"/>
        </w:rPr>
        <w:t xml:space="preserve">the second half of </w:t>
      </w:r>
      <w:r>
        <w:rPr>
          <w:sz w:val="24"/>
          <w:szCs w:val="24"/>
        </w:rPr>
        <w:t>201</w:t>
      </w:r>
      <w:r w:rsidR="001170DE">
        <w:rPr>
          <w:sz w:val="24"/>
          <w:szCs w:val="24"/>
        </w:rPr>
        <w:t>5</w:t>
      </w:r>
      <w:r>
        <w:rPr>
          <w:sz w:val="24"/>
          <w:szCs w:val="24"/>
        </w:rPr>
        <w:t xml:space="preserve">.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4D1B5D95"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lastRenderedPageBreak/>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 xml:space="preserve">Figure 3: Reactions of central banks to outflows of </w:t>
      </w:r>
      <w:r w:rsidR="001170DE">
        <w:rPr>
          <w:b/>
        </w:rPr>
        <w:t>June</w:t>
      </w:r>
      <w:r w:rsidR="004B7426" w:rsidRPr="008D3999">
        <w:rPr>
          <w:b/>
        </w:rPr>
        <w:t>-</w:t>
      </w:r>
      <w:r w:rsidR="001170DE">
        <w:rPr>
          <w:b/>
        </w:rPr>
        <w:t>December</w:t>
      </w:r>
      <w:r w:rsidR="004B7426" w:rsidRPr="008D3999">
        <w:rPr>
          <w:b/>
        </w:rPr>
        <w:t>, 201</w:t>
      </w:r>
      <w:r w:rsidR="001170DE">
        <w:rPr>
          <w:b/>
        </w:rPr>
        <w:t>5</w:t>
      </w:r>
      <w:r w:rsidR="004B7426" w:rsidRPr="008D3999">
        <w:rPr>
          <w:b/>
        </w:rPr>
        <w:t xml:space="preserve">, </w:t>
      </w:r>
      <w:r w:rsidR="001170DE">
        <w:rPr>
          <w:b/>
        </w:rPr>
        <w:t>China</w:t>
      </w:r>
      <w:r w:rsidR="004B7426" w:rsidRPr="008D3999">
        <w:rPr>
          <w:b/>
        </w:rPr>
        <w:t xml:space="preserve">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6C4C9CDC"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 xml:space="preserve">shocks also achieved greater movements in their real exchange rates and may have done so </w:t>
      </w:r>
      <w:r w:rsidR="00E51B40">
        <w:rPr>
          <w:sz w:val="24"/>
          <w:szCs w:val="24"/>
        </w:rPr>
        <w:t>with the intention of mitigating</w:t>
      </w:r>
      <w:r>
        <w:rPr>
          <w:sz w:val="24"/>
          <w:szCs w:val="24"/>
        </w:rPr>
        <w:t xml:space="preserv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r>
        <w:rPr>
          <w:sz w:val="24"/>
          <w:szCs w:val="24"/>
        </w:rPr>
        <w:t>So far, so consistent with the conventional textbook framework.</w:t>
      </w:r>
      <w:r w:rsidR="00D96853">
        <w:rPr>
          <w:sz w:val="24"/>
          <w:szCs w:val="24"/>
        </w:rPr>
        <w:t xml:space="preserve"> </w:t>
      </w:r>
    </w:p>
    <w:p w14:paraId="1C1CB11A" w14:textId="664EAA07" w:rsidR="00BB2308" w:rsidRPr="003C0865"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w:t>
      </w:r>
      <w:r w:rsidR="00D96853">
        <w:rPr>
          <w:sz w:val="24"/>
          <w:szCs w:val="24"/>
        </w:rPr>
        <w:t xml:space="preserve"> </w:t>
      </w:r>
      <w:r>
        <w:rPr>
          <w:sz w:val="24"/>
          <w:szCs w:val="24"/>
        </w:rPr>
        <w:t xml:space="preserve">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w:t>
      </w:r>
      <w:r w:rsidR="00D96853">
        <w:rPr>
          <w:sz w:val="24"/>
          <w:szCs w:val="24"/>
        </w:rPr>
        <w:t xml:space="preserve"> </w:t>
      </w:r>
      <w:r>
        <w:rPr>
          <w:sz w:val="24"/>
          <w:szCs w:val="24"/>
        </w:rPr>
        <w:t>Part 3 seeks to determine whether the regime makes a difference for the real exchange rate.  The focus is on three regimes: firm fixing, free floating and, especially, systematically managed floating.</w:t>
      </w:r>
      <w:r w:rsidR="009D1D0D">
        <w:rPr>
          <w:sz w:val="24"/>
          <w:szCs w:val="24"/>
        </w:rPr>
        <w:br/>
      </w:r>
    </w:p>
    <w:p w14:paraId="13C2EA0C" w14:textId="77777777" w:rsidR="006A3367" w:rsidRPr="005708E3" w:rsidRDefault="001C3BD5" w:rsidP="005708E3">
      <w:pPr>
        <w:pStyle w:val="ListParagraph"/>
        <w:numPr>
          <w:ilvl w:val="0"/>
          <w:numId w:val="1"/>
        </w:numPr>
        <w:rPr>
          <w:b/>
          <w:sz w:val="24"/>
          <w:szCs w:val="24"/>
        </w:rPr>
      </w:pPr>
      <w:r>
        <w:rPr>
          <w:b/>
          <w:sz w:val="24"/>
          <w:szCs w:val="24"/>
        </w:rPr>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lastRenderedPageBreak/>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10C931A2" w:rsidR="006320F3" w:rsidRPr="0094465A" w:rsidRDefault="0094465A" w:rsidP="0042142F">
      <w:pPr>
        <w:spacing w:after="240"/>
        <w:ind w:firstLine="720"/>
        <w:jc w:val="both"/>
        <w:rPr>
          <w:sz w:val="24"/>
          <w:szCs w:val="24"/>
        </w:rPr>
      </w:pPr>
      <w:r>
        <w:rPr>
          <w:sz w:val="24"/>
          <w:szCs w:val="24"/>
        </w:rPr>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w:t>
      </w:r>
      <w:r w:rsidR="001929C7">
        <w:rPr>
          <w:sz w:val="24"/>
          <w:szCs w:val="24"/>
        </w:rPr>
        <w:t>—a gradual transition to the euro</w:t>
      </w:r>
      <w:r w:rsidR="006320F3" w:rsidRPr="0094465A">
        <w:rPr>
          <w:sz w:val="24"/>
          <w:szCs w:val="24"/>
        </w:rPr>
        <w:t>, where the width of the targ</w:t>
      </w:r>
      <w:r w:rsidR="001929C7">
        <w:rPr>
          <w:sz w:val="24"/>
          <w:szCs w:val="24"/>
        </w:rPr>
        <w:t xml:space="preserve">et zone was </w:t>
      </w:r>
      <w:r w:rsidR="006320F3" w:rsidRPr="0094465A">
        <w:rPr>
          <w:sz w:val="24"/>
          <w:szCs w:val="24"/>
        </w:rPr>
        <w:t>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w:t>
      </w:r>
      <w:r w:rsidR="001929C7">
        <w:rPr>
          <w:sz w:val="24"/>
          <w:szCs w:val="24"/>
        </w:rPr>
        <w:t xml:space="preserve"> the leap from wide bands to the new single currency</w:t>
      </w:r>
      <w:r w:rsidR="006320F3" w:rsidRPr="0094465A">
        <w:rPr>
          <w:sz w:val="24"/>
          <w:szCs w:val="24"/>
        </w:rPr>
        <w:t xml:space="preserve">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 xml:space="preserve">as the new </w:t>
      </w:r>
      <w:r w:rsidR="00D14019">
        <w:rPr>
          <w:sz w:val="24"/>
          <w:szCs w:val="24"/>
        </w:rPr>
        <w:lastRenderedPageBreak/>
        <w:t>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Summers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7AE4469D" w14:textId="76C3E660" w:rsidR="00484CF3" w:rsidRDefault="00484CF3" w:rsidP="00A048C8">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2275F744" w14:textId="2868128E"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inal exchange rate stability.</w:t>
      </w:r>
      <w:r w:rsidR="00D96853">
        <w:rPr>
          <w:sz w:val="24"/>
          <w:szCs w:val="24"/>
        </w:rPr>
        <w:t xml:space="preserve"> </w:t>
      </w:r>
      <w:r w:rsidR="00B82868">
        <w:rPr>
          <w:sz w:val="24"/>
          <w:szCs w:val="24"/>
        </w:rPr>
        <w:t>One example of such an intermediate regime is the band, which was well-modeled in the target zone literature initiated by Krugman (</w:t>
      </w:r>
      <w:r w:rsidR="00376974">
        <w:rPr>
          <w:sz w:val="24"/>
          <w:szCs w:val="24"/>
        </w:rPr>
        <w:t>1991</w:t>
      </w:r>
      <w:r w:rsidR="00B82868">
        <w:rPr>
          <w:sz w:val="24"/>
          <w:szCs w:val="24"/>
        </w:rPr>
        <w:t>).</w:t>
      </w:r>
      <w:r w:rsidR="00D96853">
        <w:rPr>
          <w:sz w:val="24"/>
          <w:szCs w:val="24"/>
        </w:rPr>
        <w:t xml:space="preserve"> </w:t>
      </w:r>
      <w:r w:rsidR="00B82868">
        <w:rPr>
          <w:sz w:val="24"/>
          <w:szCs w:val="24"/>
        </w:rPr>
        <w:t>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E7DDF3"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w:t>
      </w:r>
      <w:r w:rsidR="007F1928">
        <w:rPr>
          <w:sz w:val="24"/>
          <w:szCs w:val="24"/>
        </w:rPr>
        <w:t>t has seldom been formalized before now</w:t>
      </w:r>
      <w:r w:rsidR="003E0F20">
        <w:rPr>
          <w:sz w:val="24"/>
          <w:szCs w:val="24"/>
        </w:rPr>
        <w:t>.</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3238B059"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D96853">
        <w:rPr>
          <w:sz w:val="24"/>
          <w:szCs w:val="24"/>
        </w:rPr>
        <w:t xml:space="preserve"> </w:t>
      </w:r>
      <w:r w:rsidR="002C0EF1">
        <w:rPr>
          <w:sz w:val="24"/>
          <w:szCs w:val="24"/>
        </w:rPr>
        <w:t>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349E2F72" w:rsidR="002B016F" w:rsidRDefault="00564A84" w:rsidP="0042142F">
      <w:pPr>
        <w:spacing w:before="240"/>
        <w:ind w:firstLine="450"/>
        <w:contextualSpacing/>
        <w:rPr>
          <w:sz w:val="24"/>
          <w:szCs w:val="24"/>
        </w:rPr>
      </w:pPr>
      <w:r>
        <w:rPr>
          <w:sz w:val="24"/>
          <w:szCs w:val="24"/>
        </w:rPr>
        <w:lastRenderedPageBreak/>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w:t>
      </w:r>
      <w:r w:rsidR="00D96853">
        <w:rPr>
          <w:sz w:val="24"/>
          <w:szCs w:val="24"/>
        </w:rPr>
        <w:t xml:space="preserve"> </w:t>
      </w:r>
      <w:r w:rsidR="004876A6" w:rsidRPr="00011F62">
        <w:rPr>
          <w:sz w:val="24"/>
          <w:szCs w:val="24"/>
        </w:rPr>
        <w:t xml:space="preserve">The domestic country loses the ability to set its own interest rate. </w:t>
      </w:r>
      <w:r w:rsidR="00C443E7">
        <w:rPr>
          <w:sz w:val="24"/>
          <w:szCs w:val="24"/>
        </w:rPr>
        <w:t xml:space="preserv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4BEEEAA1" w:rsidR="00957B8F" w:rsidRDefault="00421B14" w:rsidP="00BD3BD5">
            <w:pPr>
              <w:spacing w:after="0"/>
              <w:contextualSpacing/>
              <w:rPr>
                <w:sz w:val="24"/>
                <w:szCs w:val="24"/>
              </w:rPr>
            </w:pPr>
            <w:r>
              <w:rPr>
                <w:sz w:val="24"/>
                <w:szCs w:val="24"/>
              </w:rPr>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w:t>
            </w:r>
            <w:r w:rsidR="00D96853">
              <w:rPr>
                <w:sz w:val="24"/>
                <w:szCs w:val="24"/>
              </w:rPr>
              <w:t xml:space="preserve"> </w:t>
            </w:r>
            <w:r w:rsidR="002B016F">
              <w:rPr>
                <w:sz w:val="24"/>
                <w:szCs w:val="24"/>
              </w:rPr>
              <w:t xml:space="preserve">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C443E7">
              <w:rPr>
                <w:sz w:val="24"/>
                <w:szCs w:val="24"/>
              </w:rPr>
              <w:t>during a time</w:t>
            </w:r>
            <w:r w:rsidR="00C443E7" w:rsidRPr="00011F62">
              <w:rPr>
                <w:sz w:val="24"/>
                <w:szCs w:val="24"/>
              </w:rPr>
              <w:t xml:space="preserve"> </w:t>
            </w:r>
            <w:r w:rsidR="00957B8F" w:rsidRPr="00011F62">
              <w:rPr>
                <w:sz w:val="24"/>
                <w:szCs w:val="24"/>
              </w:rPr>
              <w:t>when the Fed is pursu</w:t>
            </w:r>
            <w:r w:rsidR="00C443E7">
              <w:rPr>
                <w:sz w:val="24"/>
                <w:szCs w:val="24"/>
              </w:rPr>
              <w:t>ing</w:t>
            </w:r>
            <w:r w:rsidR="00957B8F" w:rsidRPr="00011F62">
              <w:rPr>
                <w:sz w:val="24"/>
                <w:szCs w:val="24"/>
              </w:rPr>
              <w:t xml:space="preserv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174EA710" w14:textId="38B8EFEE" w:rsidR="00D96853"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00D96853">
              <w:rPr>
                <w:sz w:val="24"/>
                <w:szCs w:val="24"/>
              </w:rPr>
              <w:t xml:space="preserve">? </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w:t>
            </w:r>
            <w:r w:rsidRPr="00AC2465">
              <w:rPr>
                <w:rFonts w:cs="CMR10"/>
                <w:sz w:val="24"/>
                <w:szCs w:val="24"/>
              </w:rPr>
              <w:lastRenderedPageBreak/>
              <w:t>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7BE355F4" w:rsidR="00957B8F" w:rsidRPr="00396E98" w:rsidRDefault="00D96853" w:rsidP="00BD3BD5">
            <w:pPr>
              <w:spacing w:after="0"/>
              <w:contextualSpacing/>
              <w:rPr>
                <w:rFonts w:eastAsia="Times New Roman" w:cs="Tahoma"/>
                <w:sz w:val="24"/>
                <w:szCs w:val="24"/>
              </w:rPr>
            </w:pPr>
            <w:r>
              <w:rPr>
                <w:sz w:val="24"/>
                <w:szCs w:val="24"/>
              </w:rPr>
              <w:t xml:space="preserve">              </w:t>
            </w:r>
            <w:r w:rsidR="00957B8F">
              <w:rPr>
                <w:sz w:val="24"/>
                <w:szCs w:val="24"/>
              </w:rPr>
              <w:t>To argue that floating rates do not automatically insulate aga</w:t>
            </w:r>
            <w:r w:rsidR="00D14019">
              <w:rPr>
                <w:sz w:val="24"/>
                <w:szCs w:val="24"/>
              </w:rPr>
              <w:t>inst foreign disturbances is</w:t>
            </w:r>
            <w:r w:rsidR="00957B8F">
              <w:rPr>
                <w:sz w:val="24"/>
                <w:szCs w:val="24"/>
              </w:rPr>
              <w:t xml:space="preserve"> to take on a straw man, however.  Given the importance of international capital flows and other transmission mechanisms, the claim in favor of floating is not that it automatically gives complete insulation even when domestic monetary policy remains passive.  The claim is</w:t>
            </w:r>
            <w:r w:rsidR="004C7BE5">
              <w:rPr>
                <w:sz w:val="24"/>
                <w:szCs w:val="24"/>
              </w:rPr>
              <w:t>, rather</w:t>
            </w:r>
            <w:r w:rsidR="00957B8F">
              <w:rPr>
                <w:sz w:val="24"/>
                <w:szCs w:val="24"/>
              </w:rPr>
              <w:t>, that it allows the freedom to respond to shocks so as to achieve the des</w:t>
            </w:r>
            <w:r w:rsidR="00982DDA">
              <w:rPr>
                <w:sz w:val="24"/>
                <w:szCs w:val="24"/>
              </w:rPr>
              <w:t>ired level of domestic demand.</w:t>
            </w:r>
            <w:r w:rsidR="00957B8F">
              <w:rPr>
                <w:sz w:val="24"/>
                <w:szCs w:val="24"/>
              </w:rPr>
              <w:t xml:space="preserve"> Indeed there is no shortage of empirical studies finding that floating does help countries retain an important degree of monetary autonomy.</w:t>
            </w:r>
            <w:r w:rsidR="00957B8F">
              <w:rPr>
                <w:rStyle w:val="FootnoteReference"/>
                <w:sz w:val="24"/>
                <w:szCs w:val="24"/>
              </w:rPr>
              <w:footnoteReference w:id="7"/>
            </w:r>
            <w:r w:rsidR="00957B8F">
              <w:rPr>
                <w:sz w:val="24"/>
                <w:szCs w:val="24"/>
              </w:rPr>
              <w:t xml:space="preserve"> </w:t>
            </w:r>
            <w:r w:rsidR="00332E8A">
              <w:rPr>
                <w:sz w:val="24"/>
                <w:szCs w:val="24"/>
              </w:rPr>
              <w:br/>
            </w:r>
            <w:r w:rsidR="00957B8F">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07DA1C6F"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w:t>
      </w:r>
      <w:r w:rsidR="00A21F64">
        <w:rPr>
          <w:sz w:val="24"/>
          <w:szCs w:val="24"/>
        </w:rPr>
        <w:t>at the time</w:t>
      </w:r>
      <w:r w:rsidR="00016D73" w:rsidRPr="00FE6187">
        <w:rPr>
          <w:sz w:val="24"/>
          <w:szCs w:val="24"/>
        </w:rPr>
        <w:t xml:space="preserv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xml:space="preserve">, and government </w:t>
      </w:r>
      <w:r w:rsidR="00A9701B">
        <w:rPr>
          <w:sz w:val="24"/>
          <w:szCs w:val="24"/>
        </w:rPr>
        <w:t>debt</w:t>
      </w:r>
      <w:r w:rsidR="009F483A">
        <w:rPr>
          <w:sz w:val="24"/>
          <w:szCs w:val="24"/>
        </w:rPr>
        <w:t xml:space="preserve"> perhaps </w:t>
      </w:r>
      <w:r w:rsidR="00A9701B">
        <w:rPr>
          <w:sz w:val="24"/>
          <w:szCs w:val="24"/>
        </w:rPr>
        <w:t xml:space="preserve">considered rendered </w:t>
      </w:r>
      <w:r w:rsidR="009F483A">
        <w:rPr>
          <w:sz w:val="24"/>
          <w:szCs w:val="24"/>
        </w:rPr>
        <w:t>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w:t>
      </w:r>
      <w:r w:rsidR="00396E98">
        <w:rPr>
          <w:sz w:val="24"/>
          <w:szCs w:val="24"/>
        </w:rPr>
        <w:t xml:space="preserve">in expected returns. </w:t>
      </w:r>
      <w:r w:rsidR="00A630D5" w:rsidRPr="00FE6187">
        <w:rPr>
          <w:sz w:val="24"/>
          <w:szCs w:val="24"/>
        </w:rPr>
        <w:t xml:space="preserve">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w:t>
      </w:r>
      <w:r w:rsidR="00396E98">
        <w:rPr>
          <w:sz w:val="24"/>
          <w:szCs w:val="24"/>
        </w:rPr>
        <w:t xml:space="preserve">as thought to have no effect.  </w:t>
      </w:r>
      <w:r w:rsidR="00A630D5" w:rsidRPr="00FE6187">
        <w:rPr>
          <w:sz w:val="24"/>
          <w:szCs w:val="24"/>
        </w:rPr>
        <w:t xml:space="preserve">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2CB82F2B" w:rsidR="008E32AD" w:rsidRPr="00FE6187" w:rsidRDefault="00573318" w:rsidP="00BD3BD5">
      <w:pPr>
        <w:ind w:firstLine="720"/>
        <w:rPr>
          <w:sz w:val="24"/>
          <w:szCs w:val="24"/>
        </w:rPr>
      </w:pPr>
      <w:r w:rsidRPr="00FE6187">
        <w:rPr>
          <w:sz w:val="24"/>
          <w:szCs w:val="24"/>
        </w:rPr>
        <w:lastRenderedPageBreak/>
        <w:t xml:space="preserve">There have long been good arguments on the other side of the debate, </w:t>
      </w:r>
      <w:r w:rsidR="00475A03" w:rsidRPr="00FE6187">
        <w:rPr>
          <w:sz w:val="24"/>
          <w:szCs w:val="24"/>
        </w:rPr>
        <w:t>including</w:t>
      </w:r>
      <w:r w:rsidR="00FD7415">
        <w:rPr>
          <w:sz w:val="24"/>
          <w:szCs w:val="24"/>
        </w:rPr>
        <w:t xml:space="preserve"> theories that go</w:t>
      </w:r>
      <w:r w:rsidR="00150710" w:rsidRPr="00FE6187">
        <w:rPr>
          <w:sz w:val="24"/>
          <w:szCs w:val="24"/>
        </w:rPr>
        <w:t xml:space="preserve">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06D7569F" w:rsidR="00765A68" w:rsidRDefault="00112548" w:rsidP="00EC2DA8">
      <w:pPr>
        <w:ind w:firstLine="720"/>
        <w:rPr>
          <w:sz w:val="24"/>
          <w:szCs w:val="24"/>
        </w:rPr>
      </w:pPr>
      <w:r>
        <w:rPr>
          <w:sz w:val="24"/>
          <w:szCs w:val="24"/>
        </w:rPr>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D05D2E">
        <w:rPr>
          <w:rStyle w:val="FootnoteReference"/>
          <w:sz w:val="24"/>
          <w:szCs w:val="24"/>
        </w:rPr>
        <w:footnoteReference w:id="11"/>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0FFF9971"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2"/>
      </w:r>
      <w:r w:rsidR="00396E98">
        <w:rPr>
          <w:sz w:val="24"/>
          <w:szCs w:val="24"/>
        </w:rPr>
        <w:t xml:space="preserve">  </w:t>
      </w:r>
      <w:r w:rsidR="00A973ED" w:rsidRPr="00FE6187">
        <w:rPr>
          <w:sz w:val="24"/>
          <w:szCs w:val="24"/>
        </w:rPr>
        <w:t>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0F0F826D"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3"/>
      </w:r>
      <w:r w:rsidR="00396E98">
        <w:rPr>
          <w:rFonts w:cs="Arial"/>
          <w:color w:val="222222"/>
          <w:sz w:val="24"/>
          <w:szCs w:val="24"/>
          <w:shd w:val="clear" w:color="auto" w:fill="FFFFFF"/>
        </w:rPr>
        <w:t xml:space="preserve"> </w:t>
      </w:r>
      <w:r w:rsidR="004474C5" w:rsidRPr="00FE6187">
        <w:rPr>
          <w:rFonts w:cs="Arial"/>
          <w:color w:val="222222"/>
          <w:sz w:val="24"/>
          <w:szCs w:val="24"/>
          <w:shd w:val="clear" w:color="auto" w:fill="FFFFFF"/>
        </w:rPr>
        <w:t>Fratzscher, Glo</w:t>
      </w:r>
      <w:r w:rsidR="009A3629" w:rsidRPr="00FE6187">
        <w:rPr>
          <w:rFonts w:cs="Arial"/>
          <w:color w:val="222222"/>
          <w:sz w:val="24"/>
          <w:szCs w:val="24"/>
          <w:shd w:val="clear" w:color="auto" w:fill="FFFFFF"/>
        </w:rPr>
        <w:t>ede, Menkhoff, Sarno, and Stöhr</w:t>
      </w:r>
      <w:r w:rsidR="00FA23EF">
        <w:rPr>
          <w:rFonts w:cs="Arial"/>
          <w:color w:val="222222"/>
          <w:sz w:val="24"/>
          <w:szCs w:val="24"/>
          <w:shd w:val="clear" w:color="auto" w:fill="FFFFFF"/>
        </w:rPr>
        <w:t xml:space="preserve"> (2019</w:t>
      </w:r>
      <w:r w:rsidR="004474C5" w:rsidRPr="00FE6187">
        <w:rPr>
          <w:rFonts w:cs="Arial"/>
          <w:color w:val="222222"/>
          <w:sz w:val="24"/>
          <w:szCs w:val="24"/>
          <w:shd w:val="clear" w:color="auto" w:fill="FFFFFF"/>
        </w:rPr>
        <w:t xml:space="preserve">) </w:t>
      </w:r>
      <w:r w:rsidR="009A3629" w:rsidRPr="00FE6187">
        <w:rPr>
          <w:rFonts w:cs="Arial"/>
          <w:color w:val="222222"/>
          <w:sz w:val="24"/>
          <w:szCs w:val="24"/>
          <w:shd w:val="clear" w:color="auto" w:fill="FFFFFF"/>
        </w:rPr>
        <w:t>manages to marshal</w:t>
      </w:r>
      <w:r w:rsidR="004474C5" w:rsidRPr="00FE6187">
        <w:rPr>
          <w:rFonts w:cs="Arial"/>
          <w:color w:val="222222"/>
          <w:sz w:val="24"/>
          <w:szCs w:val="24"/>
          <w:shd w:val="clear" w:color="auto" w:fill="FFFFFF"/>
        </w:rPr>
        <w:t xml:space="preserve"> data from an impressive sample of 33 countries.  Its conclusions are broadly similar to </w:t>
      </w:r>
      <w:r w:rsidR="004474C5" w:rsidRPr="00FE6187">
        <w:rPr>
          <w:rFonts w:cs="Arial"/>
          <w:color w:val="222222"/>
          <w:sz w:val="24"/>
          <w:szCs w:val="24"/>
          <w:shd w:val="clear" w:color="auto" w:fill="FFFFFF"/>
        </w:rPr>
        <w:lastRenderedPageBreak/>
        <w:t>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w:t>
      </w:r>
      <w:r w:rsidR="00396E98">
        <w:rPr>
          <w:rFonts w:cs="Arial"/>
          <w:color w:val="222222"/>
          <w:sz w:val="24"/>
          <w:szCs w:val="24"/>
          <w:shd w:val="clear" w:color="auto" w:fill="FFFFFF"/>
        </w:rPr>
        <w:t xml:space="preserve"> </w:t>
      </w:r>
      <w:r w:rsidR="004474C5" w:rsidRPr="00FE6187">
        <w:rPr>
          <w:rFonts w:cs="Arial"/>
          <w:color w:val="222222"/>
          <w:sz w:val="24"/>
          <w:szCs w:val="24"/>
          <w:shd w:val="clear" w:color="auto" w:fill="FFFFFF"/>
        </w:rPr>
        <w:t>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2CCBAAF3" w:rsidR="0042142F" w:rsidRDefault="00E7380C" w:rsidP="00FD5943">
      <w:pPr>
        <w:ind w:firstLine="360"/>
        <w:rPr>
          <w:sz w:val="24"/>
          <w:szCs w:val="24"/>
        </w:rPr>
      </w:pPr>
      <w:r>
        <w:rPr>
          <w:sz w:val="24"/>
          <w:szCs w:val="24"/>
        </w:rPr>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4"/>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w:t>
      </w:r>
      <w:r w:rsidR="00396E98">
        <w:rPr>
          <w:sz w:val="24"/>
          <w:szCs w:val="24"/>
        </w:rPr>
        <w:t xml:space="preserve">s up in price levels instead.  </w:t>
      </w:r>
      <w:r w:rsidR="008F381D" w:rsidRPr="00FE6187">
        <w:rPr>
          <w:sz w:val="24"/>
          <w:szCs w:val="24"/>
        </w:rPr>
        <w:t xml:space="preserve">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396E98">
        <w:rPr>
          <w:sz w:val="24"/>
          <w:szCs w:val="24"/>
        </w:rPr>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A7F2145"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w:t>
      </w:r>
      <w:r w:rsidR="009632D1">
        <w:rPr>
          <w:sz w:val="24"/>
          <w:szCs w:val="24"/>
        </w:rPr>
        <w:t xml:space="preserve"> </w:t>
      </w:r>
      <w:r w:rsidRPr="00FE6187">
        <w:rPr>
          <w:sz w:val="24"/>
          <w:szCs w:val="24"/>
        </w:rPr>
        <w:t>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5"/>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6"/>
      </w:r>
      <w:r w:rsidRPr="00FE6187">
        <w:rPr>
          <w:sz w:val="24"/>
          <w:szCs w:val="24"/>
        </w:rPr>
        <w:t xml:space="preserve">;  and countries that say they follow a basket peg often keep the weights secret so that they can </w:t>
      </w:r>
      <w:r w:rsidRPr="00FE6187">
        <w:rPr>
          <w:sz w:val="24"/>
          <w:szCs w:val="24"/>
        </w:rPr>
        <w:lastRenderedPageBreak/>
        <w:t>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7"/>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8"/>
      </w:r>
    </w:p>
    <w:p w14:paraId="4136BCA4" w14:textId="0A18F0B7"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9"/>
      </w:r>
      <w:r w:rsidR="009632D1">
        <w:rPr>
          <w:sz w:val="24"/>
          <w:szCs w:val="24"/>
        </w:rPr>
        <w:t xml:space="preserve"> </w:t>
      </w:r>
      <w:r w:rsidRPr="00D219CC">
        <w:rPr>
          <w:sz w:val="24"/>
          <w:szCs w:val="24"/>
        </w:rPr>
        <w:t xml:space="preserve">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w:t>
      </w:r>
      <w:r w:rsidR="00E960BA">
        <w:rPr>
          <w:sz w:val="24"/>
          <w:szCs w:val="24"/>
        </w:rPr>
        <w:t>a</w:t>
      </w:r>
      <w:r w:rsidR="005831B6" w:rsidRPr="00D219CC">
        <w:rPr>
          <w:sz w:val="24"/>
          <w:szCs w:val="24"/>
        </w:rPr>
        <w:t>d them (which is not</w:t>
      </w:r>
      <w:r w:rsidRPr="00D219CC">
        <w:rPr>
          <w:sz w:val="24"/>
          <w:szCs w:val="24"/>
        </w:rPr>
        <w:t xml:space="preserve"> always the right way, it must be admitted).</w:t>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316AD4E0"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20"/>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1"/>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9632D1">
        <w:rPr>
          <w:sz w:val="24"/>
          <w:szCs w:val="24"/>
        </w:rPr>
        <w:t xml:space="preserve"> </w:t>
      </w:r>
      <w:r w:rsidR="00BB4707" w:rsidRPr="00C75794">
        <w:rPr>
          <w:sz w:val="24"/>
          <w:szCs w:val="24"/>
        </w:rPr>
        <w:t>A table in Shambaugh (2007) reported for three de facto schemes an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2"/>
      </w:r>
      <w:r w:rsidR="00B06815">
        <w:rPr>
          <w:sz w:val="24"/>
          <w:szCs w:val="24"/>
        </w:rPr>
        <w:br/>
      </w:r>
    </w:p>
    <w:p w14:paraId="493C073D" w14:textId="77777777" w:rsidR="00EC684C" w:rsidRDefault="00EC684C" w:rsidP="00EC684C">
      <w:pPr>
        <w:pStyle w:val="ListParagraph"/>
        <w:numPr>
          <w:ilvl w:val="2"/>
          <w:numId w:val="1"/>
        </w:numPr>
        <w:rPr>
          <w:sz w:val="24"/>
          <w:szCs w:val="24"/>
        </w:rPr>
      </w:pPr>
      <w:r>
        <w:rPr>
          <w:sz w:val="24"/>
          <w:szCs w:val="24"/>
        </w:rPr>
        <w:lastRenderedPageBreak/>
        <w:t>Reasons for disagreement</w:t>
      </w:r>
    </w:p>
    <w:p w14:paraId="1EEE7AD7" w14:textId="77777777" w:rsidR="00C75794" w:rsidRPr="00C75794" w:rsidRDefault="00C75794" w:rsidP="00C75794">
      <w:pPr>
        <w:ind w:firstLine="720"/>
        <w:rPr>
          <w:sz w:val="24"/>
          <w:szCs w:val="24"/>
        </w:rPr>
      </w:pPr>
      <w:r>
        <w:rPr>
          <w:sz w:val="24"/>
          <w:szCs w:val="24"/>
        </w:rPr>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63465F3B"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3"/>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4"/>
      </w:r>
      <w:r w:rsidR="009632D1">
        <w:rPr>
          <w:sz w:val="24"/>
          <w:szCs w:val="24"/>
        </w:rPr>
        <w:t xml:space="preserve"> </w:t>
      </w:r>
      <w:r w:rsidR="002D3994" w:rsidRPr="00FE6187">
        <w:rPr>
          <w:sz w:val="24"/>
          <w:szCs w:val="24"/>
        </w:rPr>
        <w:t xml:space="preserve">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D13603">
        <w:rPr>
          <w:sz w:val="24"/>
          <w:szCs w:val="24"/>
        </w:rPr>
        <w:t>, that is</w:t>
      </w:r>
      <w:r w:rsidR="002D3994" w:rsidRPr="00FE6187">
        <w:rPr>
          <w:sz w:val="24"/>
          <w:szCs w:val="24"/>
        </w:rPr>
        <w:t xml:space="preserve">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25EBF4B1"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w:t>
      </w:r>
      <w:r w:rsidR="009632D1">
        <w:rPr>
          <w:sz w:val="24"/>
          <w:szCs w:val="24"/>
        </w:rPr>
        <w:t xml:space="preserve"> </w:t>
      </w:r>
      <w:r w:rsidRPr="005831B6">
        <w:rPr>
          <w:sz w:val="24"/>
          <w:szCs w:val="24"/>
        </w:rPr>
        <w:t xml:space="preserve">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23BB6E0B" w:rsidR="00233654" w:rsidRPr="00233654" w:rsidRDefault="00C75794" w:rsidP="00AB766C">
      <w:pPr>
        <w:ind w:firstLine="720"/>
        <w:rPr>
          <w:sz w:val="24"/>
          <w:szCs w:val="24"/>
        </w:rPr>
      </w:pPr>
      <w:r>
        <w:rPr>
          <w:sz w:val="24"/>
          <w:szCs w:val="24"/>
        </w:rPr>
        <w:lastRenderedPageBreak/>
        <w:t>3. Changea</w:t>
      </w:r>
      <w:r w:rsidR="009632D1">
        <w:rPr>
          <w:sz w:val="24"/>
          <w:szCs w:val="24"/>
        </w:rPr>
        <w:t xml:space="preserve">bility. </w:t>
      </w:r>
      <w:r>
        <w:rPr>
          <w:sz w:val="24"/>
          <w:szCs w:val="24"/>
        </w:rPr>
        <w:t xml:space="preserve">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w:t>
      </w:r>
      <w:r w:rsidR="00D662FC">
        <w:rPr>
          <w:sz w:val="24"/>
          <w:szCs w:val="24"/>
        </w:rPr>
        <w:t>an</w:t>
      </w:r>
      <w:r w:rsidR="005831B6" w:rsidRPr="00C75794">
        <w:rPr>
          <w:sz w:val="24"/>
          <w:szCs w:val="24"/>
        </w:rPr>
        <w:t xml:space="preserve"> cope with 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Bai-Perron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r w:rsidR="000B0630">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08A60EFA"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r w:rsidRPr="00FF7EA1">
        <w:rPr>
          <w:sz w:val="24"/>
          <w:szCs w:val="24"/>
        </w:rPr>
        <w:t>subset that systematically manage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366DCECB"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w:t>
      </w:r>
      <w:r w:rsidR="009632D1">
        <w:rPr>
          <w:sz w:val="24"/>
          <w:szCs w:val="24"/>
        </w:rPr>
        <w:t xml:space="preserv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a number of Asian countries</w:t>
      </w:r>
      <w:r w:rsidR="00D74DF7">
        <w:rPr>
          <w:sz w:val="24"/>
          <w:szCs w:val="24"/>
        </w:rPr>
        <w:t>.</w:t>
      </w:r>
    </w:p>
    <w:p w14:paraId="13A943D4" w14:textId="1E213474"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sidR="009632D1">
        <w:rPr>
          <w:sz w:val="24"/>
          <w:szCs w:val="24"/>
        </w:rPr>
        <w:t>as the dependent variable.</w:t>
      </w:r>
      <w:r>
        <w:rPr>
          <w:sz w:val="24"/>
          <w:szCs w:val="24"/>
        </w:rPr>
        <w:t xml:space="preserv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7A2819E3" w:rsidR="00FF7EA1" w:rsidRDefault="009632D1" w:rsidP="009B3044">
      <w:pPr>
        <w:ind w:firstLine="720"/>
        <w:rPr>
          <w:sz w:val="24"/>
          <w:szCs w:val="24"/>
        </w:rPr>
      </w:pPr>
      <w:r>
        <w:rPr>
          <w:sz w:val="24"/>
          <w:szCs w:val="24"/>
        </w:rPr>
        <w:lastRenderedPageBreak/>
        <w:t xml:space="preserve">But there is a problem.  </w:t>
      </w:r>
      <w:r w:rsidR="007369EE">
        <w:rPr>
          <w:sz w:val="24"/>
          <w:szCs w:val="24"/>
        </w:rPr>
        <w:t>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t>
      </w:r>
      <w:r w:rsidR="00F43CA9">
        <w:rPr>
          <w:sz w:val="24"/>
          <w:szCs w:val="24"/>
        </w:rPr>
        <w:t>Accordingly w</w:t>
      </w:r>
      <w:r w:rsidR="003B1CC9">
        <w:rPr>
          <w:sz w:val="24"/>
          <w:szCs w:val="24"/>
        </w:rPr>
        <w:t>e also offer a new, third, approach, which makes no presumption as to causality.</w:t>
      </w:r>
      <w:r w:rsidR="000B0630">
        <w:rPr>
          <w:sz w:val="24"/>
          <w:szCs w:val="24"/>
        </w:rPr>
        <w:br/>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2D4A2B0"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w:t>
      </w:r>
      <w:r w:rsidR="009632D1">
        <w:rPr>
          <w:sz w:val="24"/>
          <w:szCs w:val="24"/>
        </w:rPr>
        <w:t>centage of the monetary base).</w:t>
      </w:r>
      <w:r>
        <w:rPr>
          <w:sz w:val="24"/>
          <w:szCs w:val="24"/>
        </w:rPr>
        <w:t xml:space="preserv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sidR="00143C05">
        <w:rPr>
          <w:sz w:val="24"/>
          <w:szCs w:val="24"/>
        </w:rPr>
        <w:t>,</w:t>
      </w:r>
      <w:r>
        <w:rPr>
          <w:sz w:val="24"/>
          <w:szCs w:val="24"/>
        </w:rPr>
        <w:t xml:space="preserve"> it is </w:t>
      </w:r>
      <w:r w:rsidR="00143C05">
        <w:rPr>
          <w:sz w:val="24"/>
          <w:szCs w:val="24"/>
        </w:rPr>
        <w:t xml:space="preserve">judged </w:t>
      </w:r>
      <w:r>
        <w:rPr>
          <w:sz w:val="24"/>
          <w:szCs w:val="24"/>
        </w:rPr>
        <w:t>a systematic managed floater.</w:t>
      </w:r>
      <w:r w:rsidR="009632D1">
        <w:rPr>
          <w:sz w:val="24"/>
          <w:szCs w:val="24"/>
        </w:rPr>
        <w:t xml:space="preserve">  </w:t>
      </w:r>
      <w:r w:rsidR="003E0F20">
        <w:rPr>
          <w:sz w:val="24"/>
          <w:szCs w:val="24"/>
        </w:rPr>
        <w:t>At one extreme, a truly fixed exchange rate will show a correlation of zero, because the exchange rate</w:t>
      </w:r>
      <w:r w:rsidR="009632D1">
        <w:rPr>
          <w:sz w:val="24"/>
          <w:szCs w:val="24"/>
        </w:rPr>
        <w:t xml:space="preserve"> by definition never changes.  </w:t>
      </w:r>
      <w:r w:rsidR="003E0F20">
        <w:rPr>
          <w:sz w:val="24"/>
          <w:szCs w:val="24"/>
        </w:rPr>
        <w:t>At the other extreme, a purely floating exchange rate will again show a coefficient of zero, because reserve</w:t>
      </w:r>
      <w:r w:rsidR="009632D1">
        <w:rPr>
          <w:sz w:val="24"/>
          <w:szCs w:val="24"/>
        </w:rPr>
        <w:t xml:space="preserve">s by definition never change.  </w:t>
      </w:r>
      <w:r w:rsidR="003E0F20">
        <w:rPr>
          <w:sz w:val="24"/>
          <w:szCs w:val="24"/>
        </w:rPr>
        <w:t xml:space="preserve">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5"/>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75440E57" w14:textId="409F0E95" w:rsidR="00B06815" w:rsidRDefault="00370A0F" w:rsidP="0001681A">
      <w:pPr>
        <w:pStyle w:val="ListParagraph"/>
        <w:ind w:left="0" w:firstLine="720"/>
        <w:rPr>
          <w:sz w:val="24"/>
          <w:szCs w:val="24"/>
        </w:rPr>
      </w:pPr>
      <w:r>
        <w:rPr>
          <w:sz w:val="24"/>
          <w:szCs w:val="24"/>
        </w:rPr>
        <w:t xml:space="preserve">         </w:t>
      </w:r>
      <w:r w:rsidR="0001681A">
        <w:rPr>
          <w:sz w:val="24"/>
          <w:szCs w:val="24"/>
        </w:rPr>
        <w:tab/>
      </w:r>
      <w:r w:rsidR="0001681A">
        <w:rPr>
          <w:sz w:val="24"/>
          <w:szCs w:val="24"/>
        </w:rPr>
        <w:tab/>
      </w:r>
      <w:r w:rsidR="0001681A">
        <w:rPr>
          <w:sz w:val="24"/>
          <w:szCs w:val="24"/>
        </w:rPr>
        <w:tab/>
      </w:r>
      <w:r w:rsidR="0001681A">
        <w:rPr>
          <w:sz w:val="24"/>
          <w:szCs w:val="24"/>
        </w:rPr>
        <w:tab/>
      </w:r>
      <w:r>
        <w:rPr>
          <w:sz w:val="24"/>
          <w:szCs w:val="24"/>
        </w:rPr>
        <w:t xml:space="preserve"> </w:t>
      </w:r>
      <w:r w:rsidR="00B06815">
        <w:rPr>
          <w:sz w:val="24"/>
          <w:szCs w:val="24"/>
        </w:rPr>
        <w:t xml:space="preserve">Δs = φ (ΔRes)/MB, </w:t>
      </w:r>
      <w:r>
        <w:rPr>
          <w:sz w:val="24"/>
          <w:szCs w:val="24"/>
        </w:rPr>
        <w:tab/>
      </w:r>
      <w:r>
        <w:rPr>
          <w:sz w:val="24"/>
          <w:szCs w:val="24"/>
        </w:rPr>
        <w:tab/>
      </w:r>
      <w:r>
        <w:rPr>
          <w:sz w:val="24"/>
          <w:szCs w:val="24"/>
        </w:rPr>
        <w:tab/>
      </w:r>
      <w:r>
        <w:rPr>
          <w:sz w:val="24"/>
          <w:szCs w:val="24"/>
        </w:rPr>
        <w:tab/>
      </w:r>
      <w:r>
        <w:rPr>
          <w:sz w:val="24"/>
          <w:szCs w:val="24"/>
        </w:rPr>
        <w:tab/>
        <w:t>(1)</w:t>
      </w:r>
      <w:r w:rsidR="0001681A">
        <w:rPr>
          <w:sz w:val="24"/>
          <w:szCs w:val="24"/>
        </w:rPr>
        <w:br/>
      </w:r>
      <w:r w:rsidR="00B06815" w:rsidRPr="00370A0F">
        <w:rPr>
          <w:sz w:val="24"/>
          <w:szCs w:val="24"/>
        </w:rPr>
        <w:t xml:space="preserve">where </w:t>
      </w:r>
      <w:r w:rsidRPr="00370A0F">
        <w:rPr>
          <w:sz w:val="24"/>
          <w:szCs w:val="24"/>
        </w:rPr>
        <w:t>Δ</w:t>
      </w:r>
      <w:r w:rsidR="00B06815" w:rsidRPr="00370A0F">
        <w:rPr>
          <w:sz w:val="24"/>
          <w:szCs w:val="24"/>
        </w:rPr>
        <w:t>s ≡ the</w:t>
      </w:r>
      <w:r w:rsidRPr="00370A0F">
        <w:rPr>
          <w:sz w:val="24"/>
          <w:szCs w:val="24"/>
        </w:rPr>
        <w:t xml:space="preserve"> change in the log of the</w:t>
      </w:r>
      <w:r w:rsidR="00B06815" w:rsidRPr="00370A0F">
        <w:rPr>
          <w:sz w:val="24"/>
          <w:szCs w:val="24"/>
        </w:rPr>
        <w:t xml:space="preserve"> foreign exchange value of the domestic currency</w:t>
      </w:r>
      <w:r>
        <w:rPr>
          <w:sz w:val="24"/>
          <w:szCs w:val="24"/>
        </w:rPr>
        <w:t>;</w:t>
      </w:r>
      <w:r>
        <w:rPr>
          <w:sz w:val="24"/>
          <w:szCs w:val="24"/>
        </w:rPr>
        <w:br/>
      </w:r>
      <w:r w:rsidR="00B06815">
        <w:rPr>
          <w:sz w:val="24"/>
          <w:szCs w:val="24"/>
        </w:rPr>
        <w:t>ΔRes ≡</w:t>
      </w:r>
      <w:r>
        <w:rPr>
          <w:sz w:val="24"/>
          <w:szCs w:val="24"/>
        </w:rPr>
        <w:t xml:space="preserve"> the change in the central bank’s holdings of foreign exchange reserves;</w:t>
      </w:r>
      <w:r>
        <w:rPr>
          <w:sz w:val="24"/>
          <w:szCs w:val="24"/>
        </w:rPr>
        <w:br/>
      </w:r>
      <w:r w:rsidR="00B06815">
        <w:rPr>
          <w:sz w:val="24"/>
          <w:szCs w:val="24"/>
        </w:rPr>
        <w:t>MB ≡</w:t>
      </w:r>
      <w:r>
        <w:rPr>
          <w:sz w:val="24"/>
          <w:szCs w:val="24"/>
        </w:rPr>
        <w:t xml:space="preserve"> monetary base;</w:t>
      </w:r>
      <w:r w:rsidR="006430E7">
        <w:rPr>
          <w:sz w:val="24"/>
          <w:szCs w:val="24"/>
        </w:rPr>
        <w:t xml:space="preserve"> and</w:t>
      </w:r>
      <w:r w:rsidR="00B06815">
        <w:rPr>
          <w:sz w:val="24"/>
          <w:szCs w:val="24"/>
        </w:rPr>
        <w:br/>
        <w:t>φ ≡</w:t>
      </w:r>
      <w:r>
        <w:rPr>
          <w:sz w:val="24"/>
          <w:szCs w:val="24"/>
        </w:rPr>
        <w:t xml:space="preserve"> the parameter that captures how flexible is the exchange rate regime.</w:t>
      </w:r>
    </w:p>
    <w:p w14:paraId="797BF0F7" w14:textId="5B5786CB" w:rsidR="003E0F20" w:rsidRPr="00BE7656" w:rsidRDefault="003E0F20" w:rsidP="00370A0F">
      <w:pPr>
        <w:pStyle w:val="ListParagraph"/>
        <w:ind w:left="0" w:firstLine="720"/>
        <w:rPr>
          <w:sz w:val="24"/>
          <w:szCs w:val="24"/>
        </w:rPr>
      </w:pPr>
      <w:r>
        <w:rPr>
          <w:sz w:val="24"/>
          <w:szCs w:val="24"/>
        </w:rPr>
        <w:lastRenderedPageBreak/>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sidR="001D3D8A">
        <w:rPr>
          <w:sz w:val="24"/>
          <w:szCs w:val="24"/>
        </w:rPr>
        <w:t xml:space="preserve">it </w:t>
      </w:r>
      <w:r>
        <w:rPr>
          <w:sz w:val="24"/>
          <w:szCs w:val="24"/>
        </w:rPr>
        <w:t>becomes a float.</w:t>
      </w:r>
      <w:r w:rsidR="009632D1">
        <w:rPr>
          <w:sz w:val="24"/>
          <w:szCs w:val="24"/>
        </w:rPr>
        <w:t xml:space="preserve"> </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r w:rsidR="006430E7">
        <w:rPr>
          <w:sz w:val="24"/>
          <w:szCs w:val="24"/>
        </w:rPr>
        <w:t xml:space="preserve">  But, again, the question whether the intervention is systematic (high correlation coefficient) is independent of the question whether the intervention is aggressive (low φ).</w:t>
      </w:r>
    </w:p>
    <w:p w14:paraId="22D82BB1" w14:textId="1A8B7655" w:rsidR="003E0F20" w:rsidRPr="000D53F1" w:rsidRDefault="00FF6D6F" w:rsidP="000D53F1">
      <w:pPr>
        <w:ind w:firstLine="720"/>
        <w:rPr>
          <w:sz w:val="24"/>
          <w:szCs w:val="24"/>
        </w:rPr>
      </w:pPr>
      <w:r>
        <w:rPr>
          <w:sz w:val="24"/>
          <w:szCs w:val="24"/>
        </w:rPr>
        <w:t>There is one dimension on which the correlation test may lose its claim to elegance.  That is the question of what is the numeraire currency in which the exchange rate and value of foreign exchange reserves is measured.  We start by using the dollar, which will give the rig</w:t>
      </w:r>
      <w:r w:rsidR="009632D1">
        <w:rPr>
          <w:sz w:val="24"/>
          <w:szCs w:val="24"/>
        </w:rPr>
        <w:t xml:space="preserve">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F3A001E" w:rsidR="000D53F1" w:rsidRDefault="00FF6D6F" w:rsidP="00FF6D6F">
      <w:pPr>
        <w:rPr>
          <w:sz w:val="24"/>
          <w:szCs w:val="24"/>
        </w:rPr>
      </w:pPr>
      <w:r>
        <w:rPr>
          <w:sz w:val="24"/>
          <w:szCs w:val="24"/>
        </w:rPr>
        <w:tab/>
        <w:t>We c</w:t>
      </w:r>
      <w:r w:rsidR="0091483C">
        <w:rPr>
          <w:sz w:val="24"/>
          <w:szCs w:val="24"/>
        </w:rPr>
        <w:t>an</w:t>
      </w:r>
      <w:r>
        <w:rPr>
          <w:sz w:val="24"/>
          <w:szCs w:val="24"/>
        </w:rPr>
        <w:t xml:space="preserve"> address this problem with alternative approaches such as</w:t>
      </w:r>
      <w:r w:rsidR="00233249">
        <w:rPr>
          <w:sz w:val="24"/>
          <w:szCs w:val="24"/>
        </w:rPr>
        <w:t xml:space="preserve"> using the SDR as the numeraire</w:t>
      </w:r>
      <w:r>
        <w:rPr>
          <w:sz w:val="24"/>
          <w:szCs w:val="24"/>
        </w:rPr>
        <w:t xml:space="preserve"> or experimenting on a case-by-case basis. </w:t>
      </w:r>
      <w:r w:rsidR="0091483C">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weights in a currency basket is described in the following section</w:t>
      </w:r>
      <w:r w:rsidR="0091483C">
        <w:rPr>
          <w:sz w:val="24"/>
          <w:szCs w:val="24"/>
        </w:rPr>
        <w:t>.  F</w:t>
      </w:r>
      <w:r>
        <w:rPr>
          <w:sz w:val="24"/>
          <w:szCs w:val="24"/>
        </w:rPr>
        <w:t xml:space="preserve">or </w:t>
      </w:r>
      <w:r w:rsidR="00370A0F">
        <w:rPr>
          <w:sz w:val="24"/>
          <w:szCs w:val="24"/>
        </w:rPr>
        <w:t>the moment</w:t>
      </w:r>
      <w:r>
        <w:rPr>
          <w:sz w:val="24"/>
          <w:szCs w:val="24"/>
        </w:rPr>
        <w:t xml:space="preserve"> we will be content with the dollar numeraire.</w:t>
      </w:r>
    </w:p>
    <w:p w14:paraId="76D2AE1E" w14:textId="14D19389" w:rsidR="0072188D" w:rsidRDefault="0072188D" w:rsidP="0072188D">
      <w:pPr>
        <w:pStyle w:val="ListParagraph"/>
        <w:ind w:left="0" w:firstLine="720"/>
        <w:rPr>
          <w:sz w:val="24"/>
          <w:szCs w:val="24"/>
        </w:rPr>
      </w:pPr>
      <w:r>
        <w:rPr>
          <w:sz w:val="24"/>
          <w:szCs w:val="24"/>
        </w:rPr>
        <w:t>Table 1 reports the coefficient of correlation between the percentage change in the foreign exchange value of the domestic currency and the change in foreign exchange reserves, scaled by the monetary base.  The countries with the highest correlation, strongly suggesting systematic management of their floating currencies, are Singapore, Korea and India.  Others that are also above a threshold of 0.25, and which are thereby also judged to have systematically managed floats, are Malaysia, Philippines, Thailand, Turkey, South Africa, Peru and Russia.  As expected, countries known to have firm pegs have coefficients well below the threshold, close to or equal to zero: Hong Kong, Kuwait, Saudi Arabia, Bahrain, Qatar, the Unit</w:t>
      </w:r>
      <w:r w:rsidR="00B25266">
        <w:rPr>
          <w:sz w:val="24"/>
          <w:szCs w:val="24"/>
        </w:rPr>
        <w:t xml:space="preserve">ed Arab Emirates, and Brunei.  </w:t>
      </w:r>
      <w:r>
        <w:rPr>
          <w:sz w:val="24"/>
          <w:szCs w:val="24"/>
        </w:rPr>
        <w:t>Also below the threshold are countries that are thought to float freely: Australia, Canada, Chile, and New Zealand.</w:t>
      </w:r>
      <w:r w:rsidR="00D24B05">
        <w:rPr>
          <w:sz w:val="24"/>
          <w:szCs w:val="24"/>
        </w:rPr>
        <w:t xml:space="preserve">  In Part 3 of the paper we see whether these categories make a difference for insulation from external shocks.</w:t>
      </w:r>
    </w:p>
    <w:p w14:paraId="174BA36F" w14:textId="14BF9484" w:rsidR="00BD3BD5" w:rsidRPr="008639DC" w:rsidRDefault="00BD3BD5" w:rsidP="008639DC">
      <w:pPr>
        <w:spacing w:after="0" w:line="240" w:lineRule="auto"/>
        <w:ind w:firstLine="720"/>
        <w:rPr>
          <w:sz w:val="10"/>
          <w:szCs w:val="10"/>
        </w:rPr>
      </w:pPr>
      <w:r>
        <w:rPr>
          <w:rFonts w:eastAsiaTheme="minorEastAsia"/>
          <w:b/>
          <w:sz w:val="26"/>
          <w:szCs w:val="26"/>
        </w:rPr>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r w:rsidR="0001681A">
        <w:rPr>
          <w:rFonts w:eastAsiaTheme="minorEastAsia"/>
          <w:b/>
          <w:sz w:val="26"/>
          <w:szCs w:val="26"/>
        </w:rPr>
        <w:t xml:space="preserve">   </w:t>
      </w:r>
      <w:r w:rsidR="006D5861">
        <w:rPr>
          <w:rStyle w:val="apple-converted-space"/>
          <w:rFonts w:ascii="Arial" w:hAnsi="Arial" w:cs="Arial"/>
          <w:color w:val="222222"/>
          <w:shd w:val="clear" w:color="auto" w:fill="FFFFFF"/>
        </w:rPr>
        <w:t> </w:t>
      </w:r>
      <w:r w:rsidR="006D5861">
        <w:rPr>
          <w:rFonts w:ascii="Arial" w:hAnsi="Arial" w:cs="Arial"/>
          <w:color w:val="222222"/>
          <w:shd w:val="clear" w:color="auto" w:fill="FFFFFF"/>
        </w:rPr>
        <w:t>(Jan. 1997-Dec.2015)</w:t>
      </w:r>
      <w:r w:rsidR="008639DC" w:rsidRPr="008639DC">
        <w:rPr>
          <w:rFonts w:ascii="Arial" w:hAnsi="Arial" w:cs="Arial"/>
          <w:color w:val="222222"/>
          <w:sz w:val="10"/>
          <w:szCs w:val="10"/>
          <w:shd w:val="clear" w:color="auto" w:fill="FFFFFF"/>
        </w:rPr>
        <w:br/>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lastRenderedPageBreak/>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8639DC">
              <w:rPr>
                <w:sz w:val="8"/>
                <w:szCs w:val="8"/>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lastRenderedPageBreak/>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8639DC">
        <w:trPr>
          <w:gridBefore w:val="3"/>
          <w:cnfStyle w:val="000000100000" w:firstRow="0" w:lastRow="0" w:firstColumn="0" w:lastColumn="0" w:oddVBand="0" w:evenVBand="0" w:oddHBand="1" w:evenHBand="0" w:firstRowFirstColumn="0" w:firstRowLastColumn="0" w:lastRowFirstColumn="0" w:lastRowLastColumn="0"/>
          <w:wBefore w:w="918" w:type="dxa"/>
          <w:trHeight w:val="270"/>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contextualSpacing/>
              <w:rPr>
                <w:sz w:val="24"/>
                <w:szCs w:val="24"/>
              </w:rPr>
            </w:pPr>
            <w:r>
              <w:rPr>
                <w:sz w:val="24"/>
                <w:szCs w:val="24"/>
              </w:rPr>
              <w:t>Brunei</w:t>
            </w:r>
          </w:p>
        </w:tc>
        <w:tc>
          <w:tcPr>
            <w:tcW w:w="6750" w:type="dxa"/>
            <w:gridSpan w:val="3"/>
          </w:tcPr>
          <w:p w14:paraId="34B0DC3A" w14:textId="2E5BB2BB" w:rsidR="00BD3BD5" w:rsidRPr="0001681A" w:rsidRDefault="00BD3BD5" w:rsidP="002F782A">
            <w:pPr>
              <w:contextualSpacing/>
              <w:cnfStyle w:val="000000100000" w:firstRow="0" w:lastRow="0" w:firstColumn="0" w:lastColumn="0" w:oddVBand="0" w:evenVBand="0" w:oddHBand="1" w:evenHBand="0" w:firstRowFirstColumn="0" w:firstRowLastColumn="0" w:lastRowFirstColumn="0" w:lastRowLastColumn="0"/>
              <w:rPr>
                <w:sz w:val="16"/>
                <w:szCs w:val="16"/>
              </w:rPr>
            </w:pPr>
            <w:r>
              <w:rPr>
                <w:sz w:val="24"/>
                <w:szCs w:val="24"/>
              </w:rPr>
              <w:t>0.0465</w:t>
            </w:r>
            <w:r w:rsidR="0001681A">
              <w:rPr>
                <w:sz w:val="24"/>
                <w:szCs w:val="24"/>
              </w:rPr>
              <w:br/>
            </w:r>
          </w:p>
        </w:tc>
      </w:tr>
      <w:tr w:rsidR="00BD3BD5" w:rsidRPr="00097A51" w14:paraId="4F5CA486" w14:textId="77777777" w:rsidTr="008639DC">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D24B05" w:rsidRDefault="00AA0544" w:rsidP="00AA0544">
            <w:pPr>
              <w:rPr>
                <w:b w:val="0"/>
                <w:sz w:val="20"/>
                <w:szCs w:val="20"/>
              </w:rPr>
            </w:pPr>
            <w:r w:rsidRPr="00D24B05">
              <w:rPr>
                <w:b w:val="0"/>
                <w:sz w:val="20"/>
                <w:szCs w:val="20"/>
              </w:rPr>
              <w:t xml:space="preserve">Note: </w:t>
            </w:r>
            <w:r w:rsidR="00BD3BD5" w:rsidRPr="00D24B05">
              <w:rPr>
                <w:b w:val="0"/>
                <w:sz w:val="20"/>
                <w:szCs w:val="20"/>
              </w:rPr>
              <w:t xml:space="preserve">s is the log of the exchange rate defined as the dollar price of the domestic currency. </w:t>
            </w:r>
          </w:p>
        </w:tc>
      </w:tr>
    </w:tbl>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0063F4A3"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6"/>
      </w:r>
      <w:r>
        <w:rPr>
          <w:sz w:val="24"/>
          <w:szCs w:val="24"/>
        </w:rPr>
        <w:t xml:space="preserve"> </w:t>
      </w:r>
      <w:r w:rsidR="008851F7">
        <w:rPr>
          <w:sz w:val="24"/>
          <w:szCs w:val="24"/>
        </w:rPr>
        <w:t xml:space="preserve"> </w:t>
      </w:r>
      <w:r w:rsidR="00D74DF7">
        <w:rPr>
          <w:sz w:val="24"/>
          <w:szCs w:val="24"/>
        </w:rPr>
        <w:t>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1.0 </w:t>
      </w:r>
      <w:r w:rsidR="00800572">
        <w:rPr>
          <w:sz w:val="24"/>
          <w:szCs w:val="24"/>
        </w:rPr>
        <w:t>.</w:t>
      </w:r>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xml:space="preserve">.  At most, a </w:t>
      </w:r>
      <w:r w:rsidR="00D74DF7">
        <w:rPr>
          <w:sz w:val="24"/>
          <w:szCs w:val="24"/>
        </w:rPr>
        <w:lastRenderedPageBreak/>
        <w:t>regression of the local currency value against other major currencies tells us the weights in a loose anchor around which the exchange rate is allowed to vary.</w:t>
      </w:r>
    </w:p>
    <w:p w14:paraId="4CF78073" w14:textId="60298295"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7"/>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sidR="00B25266">
        <w:rPr>
          <w:sz w:val="24"/>
          <w:szCs w:val="24"/>
        </w:rPr>
        <w:t xml:space="preserve">  </w:t>
      </w:r>
      <w:r>
        <w:rPr>
          <w:sz w:val="24"/>
          <w:szCs w:val="24"/>
        </w:rPr>
        <w:t>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r w:rsidR="00822E7F" w:rsidRPr="00822E7F">
        <w:rPr>
          <w:i/>
          <w:sz w:val="24"/>
          <w:szCs w:val="24"/>
        </w:rPr>
        <w:t>X</w:t>
      </w:r>
      <w:r w:rsidR="00822E7F" w:rsidRPr="00822E7F">
        <w:rPr>
          <w:i/>
          <w:sz w:val="24"/>
          <w:szCs w:val="24"/>
          <w:vertAlign w:val="subscript"/>
        </w:rPr>
        <w:t>j,t</w:t>
      </w:r>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rsidRPr="00566FC4">
        <w:rPr>
          <w:sz w:val="24"/>
          <w:szCs w:val="24"/>
        </w:rPr>
        <w:t>w</w:t>
      </w:r>
      <w:r w:rsidR="00433764" w:rsidRPr="00566FC4">
        <w:rPr>
          <w:sz w:val="24"/>
          <w:szCs w:val="24"/>
        </w:rPr>
        <w:t>here</w:t>
      </w:r>
      <w:r w:rsidR="00433764" w:rsidRPr="00566FC4">
        <w:rPr>
          <w:i/>
          <w:sz w:val="24"/>
          <w:szCs w:val="24"/>
        </w:rPr>
        <w:t xml:space="preserve"> H</w:t>
      </w:r>
      <w:r w:rsidR="00433764" w:rsidRPr="00566FC4">
        <w:rPr>
          <w:sz w:val="24"/>
          <w:szCs w:val="24"/>
        </w:rPr>
        <w:t xml:space="preserve"> is the value of the home currency</w:t>
      </w:r>
      <w:r w:rsidR="00195ACA" w:rsidRPr="00566FC4">
        <w:rPr>
          <w:i/>
          <w:sz w:val="24"/>
          <w:szCs w:val="24"/>
        </w:rPr>
        <w:t xml:space="preserve"> i</w:t>
      </w:r>
      <w:r w:rsidR="00433764" w:rsidRPr="00566FC4">
        <w:rPr>
          <w:sz w:val="24"/>
          <w:szCs w:val="24"/>
        </w:rPr>
        <w:t xml:space="preserve"> (measur</w:t>
      </w:r>
      <w:r w:rsidR="00D708BF" w:rsidRPr="00566FC4">
        <w:rPr>
          <w:sz w:val="24"/>
          <w:szCs w:val="24"/>
        </w:rPr>
        <w:t xml:space="preserve">ed in terms of a numeraire unit, in this case </w:t>
      </w:r>
      <w:r w:rsidR="00433764" w:rsidRPr="00566FC4">
        <w:rPr>
          <w:sz w:val="24"/>
          <w:szCs w:val="24"/>
        </w:rPr>
        <w:t>the SDR</w:t>
      </w:r>
      <w:r w:rsidR="00F555A9" w:rsidRPr="00566FC4">
        <w:rPr>
          <w:sz w:val="24"/>
          <w:szCs w:val="24"/>
        </w:rPr>
        <w:t>)</w:t>
      </w:r>
      <w:r w:rsidR="00433764" w:rsidRPr="00566FC4">
        <w:rPr>
          <w:sz w:val="24"/>
          <w:szCs w:val="24"/>
        </w:rPr>
        <w:t>;</w:t>
      </w:r>
      <w:r w:rsidR="00F555A9" w:rsidRPr="00566FC4">
        <w:rPr>
          <w:sz w:val="24"/>
          <w:szCs w:val="24"/>
        </w:rPr>
        <w:t xml:space="preserve"> </w:t>
      </w:r>
      <w:r w:rsidR="008B7BCD" w:rsidRPr="00566FC4">
        <w:rPr>
          <w:sz w:val="24"/>
          <w:szCs w:val="24"/>
        </w:rPr>
        <w:t xml:space="preserve"> </w:t>
      </w:r>
      <w:r w:rsidR="00433764" w:rsidRPr="00566FC4">
        <w:rPr>
          <w:i/>
          <w:sz w:val="24"/>
          <w:szCs w:val="24"/>
        </w:rPr>
        <w:t>X</w:t>
      </w:r>
      <w:r w:rsidR="00433764" w:rsidRPr="00566FC4">
        <w:rPr>
          <w:i/>
          <w:sz w:val="24"/>
          <w:szCs w:val="24"/>
          <w:vertAlign w:val="subscript"/>
        </w:rPr>
        <w:t>j</w:t>
      </w:r>
      <w:r w:rsidR="00433764" w:rsidRPr="00566FC4">
        <w:rPr>
          <w:sz w:val="24"/>
          <w:szCs w:val="24"/>
        </w:rPr>
        <w:t xml:space="preserve"> is the value of the dollar, euro, yen, or other foreign currencies</w:t>
      </w:r>
      <w:r w:rsidR="00E32A55" w:rsidRPr="00566FC4">
        <w:rPr>
          <w:i/>
          <w:sz w:val="24"/>
          <w:szCs w:val="24"/>
        </w:rPr>
        <w:t xml:space="preserve"> j</w:t>
      </w:r>
      <w:r w:rsidR="00433764" w:rsidRPr="00566FC4">
        <w:rPr>
          <w:sz w:val="24"/>
          <w:szCs w:val="24"/>
        </w:rPr>
        <w:t xml:space="preserve"> that are candidates for components of the basket, measured in terms of the same numeraire; and </w:t>
      </w:r>
      <w:r w:rsidR="001449A6" w:rsidRPr="00566FC4">
        <w:rPr>
          <w:sz w:val="24"/>
          <w:szCs w:val="24"/>
        </w:rPr>
        <w:t>Δ</w:t>
      </w:r>
      <w:r w:rsidR="00433764" w:rsidRPr="00566FC4">
        <w:rPr>
          <w:i/>
          <w:sz w:val="24"/>
          <w:szCs w:val="24"/>
        </w:rPr>
        <w:t>EMP</w:t>
      </w:r>
      <w:r w:rsidR="00822E7F" w:rsidRPr="00566FC4">
        <w:rPr>
          <w:i/>
          <w:sz w:val="24"/>
          <w:szCs w:val="24"/>
          <w:vertAlign w:val="subscript"/>
        </w:rPr>
        <w:t xml:space="preserve"> t</w:t>
      </w:r>
      <w:r w:rsidR="00F555A9" w:rsidRPr="00566FC4">
        <w:rPr>
          <w:sz w:val="24"/>
          <w:szCs w:val="24"/>
        </w:rPr>
        <w:t xml:space="preserve"> is Exchange Market Pressure</w:t>
      </w:r>
      <w:r w:rsidR="00195ACA" w:rsidRPr="00566FC4">
        <w:rPr>
          <w:sz w:val="24"/>
          <w:szCs w:val="24"/>
        </w:rPr>
        <w:t xml:space="preserve"> </w:t>
      </w:r>
      <w:r w:rsidR="007B7DAE" w:rsidRPr="00566FC4">
        <w:rPr>
          <w:sz w:val="24"/>
          <w:szCs w:val="24"/>
        </w:rPr>
        <w:t>≡</w:t>
      </w:r>
      <w:r w:rsidR="00195ACA" w:rsidRPr="00566FC4">
        <w:rPr>
          <w:sz w:val="24"/>
          <w:szCs w:val="24"/>
        </w:rPr>
        <w:t xml:space="preserve"> Δlog</w:t>
      </w:r>
      <w:r w:rsidR="00195ACA" w:rsidRPr="00566FC4">
        <w:rPr>
          <w:i/>
          <w:sz w:val="24"/>
          <w:szCs w:val="24"/>
        </w:rPr>
        <w:t xml:space="preserve"> H</w:t>
      </w:r>
      <w:r w:rsidR="00822E7F" w:rsidRPr="00566FC4">
        <w:rPr>
          <w:i/>
          <w:sz w:val="24"/>
          <w:szCs w:val="24"/>
          <w:vertAlign w:val="subscript"/>
        </w:rPr>
        <w:t>t</w:t>
      </w:r>
      <w:r w:rsidR="00822E7F" w:rsidRPr="00566FC4">
        <w:rPr>
          <w:sz w:val="24"/>
          <w:szCs w:val="24"/>
          <w:vertAlign w:val="subscript"/>
        </w:rPr>
        <w:t xml:space="preserve"> </w:t>
      </w:r>
      <w:r w:rsidR="00195ACA" w:rsidRPr="00566FC4">
        <w:rPr>
          <w:sz w:val="24"/>
          <w:szCs w:val="24"/>
        </w:rPr>
        <w:t xml:space="preserve"> </w:t>
      </w:r>
      <w:r w:rsidR="00822E7F" w:rsidRPr="00566FC4">
        <w:rPr>
          <w:sz w:val="24"/>
          <w:szCs w:val="24"/>
        </w:rPr>
        <w:t>+ (Δ</w:t>
      </w:r>
      <w:r w:rsidR="00822E7F" w:rsidRPr="00566FC4">
        <w:rPr>
          <w:i/>
          <w:sz w:val="24"/>
          <w:szCs w:val="24"/>
        </w:rPr>
        <w:t>Res</w:t>
      </w:r>
      <w:r w:rsidR="00822E7F" w:rsidRPr="00566FC4">
        <w:rPr>
          <w:sz w:val="24"/>
          <w:szCs w:val="24"/>
        </w:rPr>
        <w:t>)/</w:t>
      </w:r>
      <w:r w:rsidR="00822E7F" w:rsidRPr="00566FC4">
        <w:rPr>
          <w:i/>
          <w:sz w:val="24"/>
          <w:szCs w:val="24"/>
        </w:rPr>
        <w:t xml:space="preserve">MB </w:t>
      </w:r>
      <w:r w:rsidR="00822E7F" w:rsidRPr="00566FC4">
        <w:rPr>
          <w:sz w:val="24"/>
          <w:szCs w:val="24"/>
          <w:vertAlign w:val="subscript"/>
        </w:rPr>
        <w:t>t</w:t>
      </w:r>
      <w:r w:rsidR="00822E7F" w:rsidRPr="00566FC4">
        <w:rPr>
          <w:sz w:val="24"/>
          <w:szCs w:val="24"/>
        </w:rPr>
        <w:t xml:space="preserve"> </w:t>
      </w:r>
      <w:r w:rsidR="00F555A9" w:rsidRPr="00566FC4">
        <w:rPr>
          <w:sz w:val="24"/>
          <w:szCs w:val="24"/>
        </w:rPr>
        <w:t>.</w:t>
      </w:r>
      <w:r w:rsidR="00433764" w:rsidRPr="00566FC4">
        <w:rPr>
          <w:sz w:val="24"/>
          <w:szCs w:val="24"/>
        </w:rPr>
        <w:t xml:space="preserve"> </w:t>
      </w:r>
      <w:r w:rsidR="00B25266">
        <w:rPr>
          <w:sz w:val="24"/>
          <w:szCs w:val="24"/>
        </w:rPr>
        <w:t xml:space="preserve"> </w:t>
      </w:r>
      <w:r w:rsidR="00370A0F" w:rsidRPr="00566FC4">
        <w:rPr>
          <w:sz w:val="24"/>
          <w:szCs w:val="24"/>
        </w:rPr>
        <w:t xml:space="preserve">The flexibility parameter in equation (2) is directly related to the </w:t>
      </w:r>
      <w:r w:rsidR="00566FC4">
        <w:rPr>
          <w:sz w:val="24"/>
          <w:szCs w:val="24"/>
        </w:rPr>
        <w:t>f</w:t>
      </w:r>
      <w:r w:rsidR="00370A0F" w:rsidRPr="00566FC4">
        <w:rPr>
          <w:sz w:val="24"/>
          <w:szCs w:val="24"/>
        </w:rPr>
        <w:t>lexibility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r w:rsidR="00E21FC0">
        <w:rPr>
          <w:sz w:val="24"/>
          <w:szCs w:val="24"/>
        </w:rPr>
        <w:t>φ )</w:t>
      </w:r>
      <w:r w:rsidR="00881181">
        <w:rPr>
          <w:sz w:val="24"/>
          <w:szCs w:val="24"/>
        </w:rPr>
        <w:t>.</w:t>
      </w:r>
    </w:p>
    <w:p w14:paraId="51DBDB06" w14:textId="0BEAFD2E"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w:t>
      </w:r>
      <w:r w:rsidR="00F825C8">
        <w:rPr>
          <w:sz w:val="24"/>
          <w:szCs w:val="24"/>
        </w:rPr>
        <w:t>ly</w:t>
      </w:r>
      <w:r w:rsidR="00EF4739">
        <w:rPr>
          <w:sz w:val="24"/>
          <w:szCs w:val="24"/>
        </w:rPr>
        <w:t xml:space="preserve"> greater than zero but significantly less than 1, sugge</w:t>
      </w:r>
      <w:r w:rsidR="00E32A55">
        <w:rPr>
          <w:sz w:val="24"/>
          <w:szCs w:val="24"/>
        </w:rPr>
        <w:t xml:space="preserve">sting systematic </w:t>
      </w:r>
      <w:r w:rsidR="00DE5AD8">
        <w:rPr>
          <w:sz w:val="24"/>
          <w:szCs w:val="24"/>
        </w:rPr>
        <w:t xml:space="preserve">managed floating.  </w:t>
      </w:r>
      <w:r w:rsidR="00EF4739">
        <w:rPr>
          <w:sz w:val="24"/>
          <w:szCs w:val="24"/>
        </w:rPr>
        <w:t>For Thailand, the weight on the dollar moved in the range .6 to .8, with the remaining weight falling on the euro and yen.  For India, the weight on the dollar went as high as .9 in the early 2000s.</w:t>
      </w:r>
    </w:p>
    <w:p w14:paraId="1FA2D6F1" w14:textId="25CE6A80" w:rsidR="006D5861" w:rsidRPr="006D5861" w:rsidRDefault="006D5861" w:rsidP="006D5861">
      <w:pPr>
        <w:ind w:firstLine="720"/>
        <w:rPr>
          <w:sz w:val="24"/>
          <w:szCs w:val="24"/>
        </w:rPr>
      </w:pPr>
      <w:r w:rsidRPr="006D5861">
        <w:rPr>
          <w:sz w:val="24"/>
          <w:szCs w:val="24"/>
        </w:rPr>
        <w:lastRenderedPageBreak/>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w:t>
      </w:r>
      <w:r w:rsidR="00DE5AD8">
        <w:rPr>
          <w:sz w:val="24"/>
          <w:szCs w:val="24"/>
        </w:rPr>
        <w:t xml:space="preserve">latively consistent behavior.  </w:t>
      </w:r>
      <w:r w:rsidRPr="006D5861">
        <w:rPr>
          <w:sz w:val="24"/>
          <w:szCs w:val="24"/>
        </w:rPr>
        <w:t>For India, the same is true of the parameter in four out of six sub-periods, but it is insignificantly different from zero in two out of six.</w:t>
      </w:r>
    </w:p>
    <w:p w14:paraId="02B3FC9E" w14:textId="0C506B11"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1" w:history="1">
        <w:r w:rsidR="00462E44" w:rsidRPr="00462E44">
          <w:rPr>
            <w:rStyle w:val="Hyperlink"/>
            <w:rFonts w:ascii="Helvetica" w:hAnsi="Helvetica" w:cs="Helvetica"/>
            <w:color w:val="2D4E77"/>
            <w:sz w:val="21"/>
            <w:szCs w:val="21"/>
            <w:shd w:val="clear" w:color="auto" w:fill="FFFFFF"/>
          </w:rPr>
          <w:t>on-line Appendix</w:t>
        </w:r>
      </w:hyperlink>
      <w:r w:rsidRPr="00462E44">
        <w:rPr>
          <w:sz w:val="24"/>
          <w:szCs w:val="24"/>
        </w:rPr>
        <w:t>,</w:t>
      </w:r>
      <w:r w:rsidR="00DE5AD8">
        <w:rPr>
          <w:sz w:val="24"/>
          <w:szCs w:val="24"/>
        </w:rPr>
        <w:t xml:space="preserve"> </w:t>
      </w:r>
      <w:r w:rsidRPr="00462E44">
        <w:rPr>
          <w:sz w:val="24"/>
          <w:szCs w:val="24"/>
        </w:rPr>
        <w:t xml:space="preserve">with structural breaks </w:t>
      </w:r>
      <w:r w:rsidR="00881181">
        <w:rPr>
          <w:sz w:val="24"/>
          <w:szCs w:val="24"/>
        </w:rPr>
        <w:t xml:space="preserve">again </w:t>
      </w:r>
      <w:r w:rsidRPr="00462E44">
        <w:rPr>
          <w:sz w:val="24"/>
          <w:szCs w:val="24"/>
        </w:rPr>
        <w:t>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w:t>
      </w:r>
      <w:r w:rsidR="00DE5AD8">
        <w:rPr>
          <w:sz w:val="24"/>
          <w:szCs w:val="24"/>
        </w:rPr>
        <w:t xml:space="preserve">s a managed float in between.  </w:t>
      </w:r>
      <w:r w:rsidRPr="00462E44">
        <w:rPr>
          <w:sz w:val="24"/>
          <w:szCs w:val="24"/>
        </w:rPr>
        <w:t>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67763AD5" w:rsidR="006A2469" w:rsidRDefault="006A2469" w:rsidP="00F22703">
      <w:pPr>
        <w:ind w:firstLine="720"/>
        <w:rPr>
          <w:sz w:val="24"/>
          <w:szCs w:val="24"/>
        </w:rPr>
      </w:pPr>
      <w:r>
        <w:rPr>
          <w:sz w:val="24"/>
          <w:szCs w:val="24"/>
        </w:rPr>
        <w:t>Next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w:t>
      </w:r>
      <w:r w:rsidR="00F242D3">
        <w:rPr>
          <w:sz w:val="24"/>
          <w:szCs w:val="24"/>
        </w:rPr>
        <w:t>xibility relative to that basket</w:t>
      </w:r>
      <w:r w:rsidR="005A22C0">
        <w:rPr>
          <w:sz w:val="24"/>
          <w:szCs w:val="24"/>
        </w:rPr>
        <w:t xml:space="preserve"> (as in Frankel and Wei, 2008) and estimating endogenously possible structural breaks in any of these parameters (as in Frankel and Xie, 2010).</w:t>
      </w:r>
      <w:r w:rsidR="001449A6">
        <w:rPr>
          <w:sz w:val="24"/>
          <w:szCs w:val="24"/>
        </w:rPr>
        <w:t xml:space="preserve">  The data set runs from 1999 to 2017.  The exchange rate observations are daily, which requires interpolation of the components of monthly reserve data to compute the EMP variable.</w:t>
      </w:r>
    </w:p>
    <w:p w14:paraId="3B5506E8" w14:textId="4F2D71BB" w:rsidR="00140584" w:rsidRDefault="00E1279B" w:rsidP="00E1279B">
      <w:pPr>
        <w:tabs>
          <w:tab w:val="num" w:pos="720"/>
          <w:tab w:val="num" w:pos="1440"/>
        </w:tabs>
        <w:ind w:firstLine="360"/>
        <w:rPr>
          <w:sz w:val="24"/>
          <w:szCs w:val="24"/>
        </w:rPr>
      </w:pPr>
      <w:r w:rsidRPr="00E1279B">
        <w:rPr>
          <w:sz w:val="24"/>
          <w:szCs w:val="24"/>
        </w:rPr>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r w:rsidR="00140584">
        <w:rPr>
          <w:sz w:val="24"/>
          <w:szCs w:val="24"/>
        </w:rPr>
        <w:t xml:space="preserve">many </w:t>
      </w:r>
      <w:r w:rsidR="00DB44D8" w:rsidRPr="00E1279B">
        <w:rPr>
          <w:sz w:val="24"/>
          <w:szCs w:val="24"/>
        </w:rPr>
        <w:t>small structural breaks</w:t>
      </w:r>
      <w:r>
        <w:rPr>
          <w:sz w:val="24"/>
          <w:szCs w:val="24"/>
        </w:rPr>
        <w:t xml:space="preserve"> in the parameters</w:t>
      </w:r>
      <w:r w:rsidR="00140584">
        <w:rPr>
          <w:sz w:val="24"/>
          <w:szCs w:val="24"/>
        </w:rPr>
        <w:t xml:space="preserve">.  (We use a .01 significance level for defining a structural break.)  </w:t>
      </w:r>
      <w:r>
        <w:rPr>
          <w:sz w:val="24"/>
          <w:szCs w:val="24"/>
        </w:rPr>
        <w:t xml:space="preserve">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w:t>
      </w:r>
      <w:r w:rsidR="00140584">
        <w:rPr>
          <w:sz w:val="24"/>
          <w:szCs w:val="24"/>
        </w:rPr>
        <w:t>above</w:t>
      </w:r>
      <w:r>
        <w:rPr>
          <w:sz w:val="24"/>
          <w:szCs w:val="24"/>
        </w:rPr>
        <w:t xml:space="preserve"> </w:t>
      </w:r>
      <w:r w:rsidR="00DB44D8" w:rsidRPr="00E1279B">
        <w:rPr>
          <w:sz w:val="24"/>
          <w:szCs w:val="24"/>
        </w:rPr>
        <w:t>.7.</w:t>
      </w:r>
      <w:r>
        <w:rPr>
          <w:sz w:val="24"/>
          <w:szCs w:val="24"/>
        </w:rPr>
        <w:t xml:space="preserve">  For </w:t>
      </w:r>
      <w:r w:rsidR="00DB44D8" w:rsidRPr="00E1279B">
        <w:rPr>
          <w:sz w:val="24"/>
          <w:szCs w:val="24"/>
        </w:rPr>
        <w:t>Korea</w:t>
      </w:r>
      <w:r>
        <w:rPr>
          <w:sz w:val="24"/>
          <w:szCs w:val="24"/>
        </w:rPr>
        <w:t xml:space="preserve">, the </w:t>
      </w:r>
      <w:r w:rsidR="00140584">
        <w:rPr>
          <w:sz w:val="24"/>
          <w:szCs w:val="24"/>
        </w:rPr>
        <w:t xml:space="preserve">estimated </w:t>
      </w:r>
      <w:r>
        <w:rPr>
          <w:sz w:val="24"/>
          <w:szCs w:val="24"/>
        </w:rPr>
        <w:t>f</w:t>
      </w:r>
      <w:r w:rsidR="00DB44D8" w:rsidRPr="00E1279B">
        <w:rPr>
          <w:sz w:val="24"/>
          <w:szCs w:val="24"/>
        </w:rPr>
        <w:t xml:space="preserve">lexibility parameter has </w:t>
      </w:r>
      <w:r w:rsidR="00140584">
        <w:rPr>
          <w:sz w:val="24"/>
          <w:szCs w:val="24"/>
        </w:rPr>
        <w:t>risen over time, from 0.7 to 0.9</w:t>
      </w:r>
      <w:r w:rsidR="00DB44D8" w:rsidRPr="00E1279B">
        <w:rPr>
          <w:sz w:val="24"/>
          <w:szCs w:val="24"/>
        </w:rPr>
        <w:t>.</w:t>
      </w:r>
      <w:r>
        <w:rPr>
          <w:sz w:val="24"/>
          <w:szCs w:val="24"/>
        </w:rPr>
        <w:t xml:space="preserve"> </w:t>
      </w:r>
      <w:r w:rsidR="00140584">
        <w:rPr>
          <w:sz w:val="24"/>
          <w:szCs w:val="24"/>
        </w:rPr>
        <w:t xml:space="preserve"> For India, the f</w:t>
      </w:r>
      <w:r w:rsidR="00140584" w:rsidRPr="00E1279B">
        <w:rPr>
          <w:sz w:val="24"/>
          <w:szCs w:val="24"/>
        </w:rPr>
        <w:t xml:space="preserve">lexibility parameter </w:t>
      </w:r>
      <w:r w:rsidR="00140584">
        <w:rPr>
          <w:sz w:val="24"/>
          <w:szCs w:val="24"/>
        </w:rPr>
        <w:t xml:space="preserve">appears </w:t>
      </w:r>
      <w:r w:rsidR="00140584" w:rsidRPr="00E1279B">
        <w:rPr>
          <w:sz w:val="24"/>
          <w:szCs w:val="24"/>
        </w:rPr>
        <w:t xml:space="preserve">higher during </w:t>
      </w:r>
      <w:r w:rsidR="00140584">
        <w:rPr>
          <w:sz w:val="24"/>
          <w:szCs w:val="24"/>
        </w:rPr>
        <w:t>November</w:t>
      </w:r>
      <w:r w:rsidR="00140584" w:rsidRPr="00E1279B">
        <w:rPr>
          <w:sz w:val="24"/>
          <w:szCs w:val="24"/>
        </w:rPr>
        <w:t xml:space="preserve"> 2008 – Feb</w:t>
      </w:r>
      <w:r w:rsidR="00140584">
        <w:rPr>
          <w:sz w:val="24"/>
          <w:szCs w:val="24"/>
        </w:rPr>
        <w:t>ruary</w:t>
      </w:r>
      <w:r w:rsidR="00140584" w:rsidRPr="00E1279B">
        <w:rPr>
          <w:sz w:val="24"/>
          <w:szCs w:val="24"/>
        </w:rPr>
        <w:t xml:space="preserve"> 2017</w:t>
      </w:r>
      <w:r w:rsidR="00140584">
        <w:rPr>
          <w:sz w:val="24"/>
          <w:szCs w:val="24"/>
        </w:rPr>
        <w:t xml:space="preserve"> than earlier, well above</w:t>
      </w:r>
      <w:r w:rsidR="00140584" w:rsidRPr="00E1279B">
        <w:rPr>
          <w:sz w:val="24"/>
          <w:szCs w:val="24"/>
        </w:rPr>
        <w:t xml:space="preserve"> .9.</w:t>
      </w:r>
    </w:p>
    <w:p w14:paraId="6F2FFD83" w14:textId="62A3344C" w:rsidR="00E1279B" w:rsidRDefault="00E1279B" w:rsidP="00F242D3">
      <w:pPr>
        <w:tabs>
          <w:tab w:val="num" w:pos="720"/>
          <w:tab w:val="num" w:pos="1440"/>
        </w:tabs>
        <w:ind w:firstLine="360"/>
        <w:rPr>
          <w:sz w:val="24"/>
          <w:szCs w:val="24"/>
        </w:rPr>
      </w:pPr>
      <w:r>
        <w:rPr>
          <w:sz w:val="24"/>
          <w:szCs w:val="24"/>
        </w:rPr>
        <w:t xml:space="preserve">For China the </w:t>
      </w:r>
      <w:r w:rsidR="00DB44D8" w:rsidRPr="00E1279B">
        <w:rPr>
          <w:sz w:val="24"/>
          <w:szCs w:val="24"/>
        </w:rPr>
        <w:t xml:space="preserve">managed float starts </w:t>
      </w:r>
      <w:r w:rsidR="00F242D3">
        <w:rPr>
          <w:sz w:val="24"/>
          <w:szCs w:val="24"/>
        </w:rPr>
        <w:t>in July 2005.</w:t>
      </w:r>
      <w:r w:rsidR="000A7134">
        <w:rPr>
          <w:sz w:val="24"/>
          <w:szCs w:val="24"/>
        </w:rPr>
        <w:t xml:space="preserve"> </w:t>
      </w:r>
      <w:r>
        <w:rPr>
          <w:sz w:val="24"/>
          <w:szCs w:val="24"/>
        </w:rPr>
        <w:t xml:space="preserve">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sidR="00F242D3">
        <w:rPr>
          <w:sz w:val="24"/>
          <w:szCs w:val="24"/>
        </w:rPr>
        <w:t xml:space="preserve">  </w:t>
      </w:r>
      <w:r w:rsidR="00A608F2">
        <w:rPr>
          <w:sz w:val="24"/>
          <w:szCs w:val="24"/>
        </w:rPr>
        <w:t xml:space="preserve">The flexibility </w:t>
      </w:r>
      <w:r>
        <w:rPr>
          <w:sz w:val="24"/>
          <w:szCs w:val="24"/>
        </w:rPr>
        <w:t>parameter appears quite high during the period</w:t>
      </w:r>
      <w:r w:rsidR="00DB44D8" w:rsidRPr="00E1279B">
        <w:rPr>
          <w:sz w:val="24"/>
          <w:szCs w:val="24"/>
        </w:rPr>
        <w:t xml:space="preserve"> </w:t>
      </w:r>
      <w:r w:rsidR="000415B4">
        <w:rPr>
          <w:sz w:val="24"/>
          <w:szCs w:val="24"/>
        </w:rPr>
        <w:t xml:space="preserve">August </w:t>
      </w:r>
      <w:r>
        <w:rPr>
          <w:sz w:val="24"/>
          <w:szCs w:val="24"/>
        </w:rPr>
        <w:t>2010-April</w:t>
      </w:r>
      <w:r w:rsidR="00DB44D8" w:rsidRPr="00E1279B">
        <w:rPr>
          <w:sz w:val="24"/>
          <w:szCs w:val="24"/>
        </w:rPr>
        <w:t xml:space="preserve"> 2017: </w:t>
      </w:r>
      <w:r w:rsidR="00140584">
        <w:rPr>
          <w:sz w:val="24"/>
          <w:szCs w:val="24"/>
        </w:rPr>
        <w:t>above 0.9</w:t>
      </w:r>
      <w:r>
        <w:rPr>
          <w:sz w:val="24"/>
          <w:szCs w:val="24"/>
        </w:rPr>
        <w:t xml:space="preserve">.  One might suspect that this is a sign of asymmetric response </w:t>
      </w:r>
      <w:r w:rsidR="000415B4">
        <w:rPr>
          <w:sz w:val="24"/>
          <w:szCs w:val="24"/>
        </w:rPr>
        <w:t xml:space="preserve">by the Chinese authorities </w:t>
      </w:r>
      <w:r>
        <w:rPr>
          <w:sz w:val="24"/>
          <w:szCs w:val="24"/>
        </w:rPr>
        <w:t>to recent outflows and depreciation, as compared to the earlier period</w:t>
      </w:r>
      <w:r w:rsidR="00DE5AD8">
        <w:rPr>
          <w:sz w:val="24"/>
          <w:szCs w:val="24"/>
        </w:rPr>
        <w:t xml:space="preserve"> of inflows and appreciation.  </w:t>
      </w:r>
      <w:r>
        <w:rPr>
          <w:sz w:val="24"/>
          <w:szCs w:val="24"/>
        </w:rPr>
        <w:t xml:space="preserve">But in fact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w:t>
      </w:r>
      <w:r w:rsidR="00DE5AD8">
        <w:rPr>
          <w:sz w:val="24"/>
          <w:szCs w:val="24"/>
        </w:rPr>
        <w:t xml:space="preserve"> from the preceding 10 years.  </w:t>
      </w:r>
      <w:r w:rsidR="004211D3">
        <w:rPr>
          <w:sz w:val="24"/>
          <w:szCs w:val="24"/>
        </w:rPr>
        <w:t xml:space="preserve">Holdings of foreign exchange reserves by the </w:t>
      </w:r>
      <w:r w:rsidR="004211D3">
        <w:rPr>
          <w:sz w:val="24"/>
          <w:szCs w:val="24"/>
        </w:rPr>
        <w:lastRenderedPageBreak/>
        <w:t>People’s Bank of China peaked in June 2014, at $4.0 trillion, and went down by almost a trillion dollars subsequently.</w:t>
      </w:r>
    </w:p>
    <w:p w14:paraId="3A8D1190" w14:textId="7B5F177F" w:rsidR="00A608F2" w:rsidRDefault="00A608F2" w:rsidP="00A608F2">
      <w:pPr>
        <w:tabs>
          <w:tab w:val="num" w:pos="720"/>
          <w:tab w:val="num" w:pos="1440"/>
        </w:tabs>
        <w:ind w:firstLine="360"/>
        <w:rPr>
          <w:sz w:val="24"/>
          <w:szCs w:val="24"/>
        </w:rPr>
      </w:pPr>
      <w:r>
        <w:rPr>
          <w:sz w:val="24"/>
          <w:szCs w:val="24"/>
        </w:rPr>
        <w:t>Singapore’s basket has allo</w:t>
      </w:r>
      <w:r w:rsidR="000E38EF">
        <w:rPr>
          <w:sz w:val="24"/>
          <w:szCs w:val="24"/>
        </w:rPr>
        <w:t>ca</w:t>
      </w:r>
      <w:r>
        <w:rPr>
          <w:sz w:val="24"/>
          <w:szCs w:val="24"/>
        </w:rPr>
        <w:t>ted a significant weight to China’s RMB during the period since January 2008, at the expense of the US dollar.  The heavy weight on the euro and the smaller weight on the yen both remain undiminished.</w:t>
      </w:r>
    </w:p>
    <w:p w14:paraId="1F1D767D" w14:textId="6CD5A54F" w:rsidR="00E1279B" w:rsidRDefault="00A608F2" w:rsidP="001449A6">
      <w:pPr>
        <w:tabs>
          <w:tab w:val="num" w:pos="720"/>
          <w:tab w:val="num" w:pos="1440"/>
        </w:tabs>
        <w:ind w:firstLine="360"/>
        <w:rPr>
          <w:sz w:val="24"/>
          <w:szCs w:val="24"/>
        </w:rPr>
      </w:pPr>
      <w:r>
        <w:rPr>
          <w:sz w:val="24"/>
          <w:szCs w:val="24"/>
        </w:rPr>
        <w:t>The Korean won also has put significant weight on the RMB since August 2005.  There is no sign of RMB influence for India, where the weights have been roughly steady:  0.5 on the dollar, 0.3 on the euro, and weights of 0.1 on both the Japanese yen and the British pound.</w:t>
      </w:r>
    </w:p>
    <w:p w14:paraId="4C9A50EE" w14:textId="77777777" w:rsidR="00F238D6" w:rsidRDefault="00F238D6">
      <w:pPr>
        <w:rPr>
          <w:rFonts w:cs="Times New Roman"/>
          <w:sz w:val="24"/>
          <w:szCs w:val="24"/>
        </w:rPr>
      </w:pPr>
      <w:r>
        <w:rPr>
          <w:rFonts w:cs="Times New Roman"/>
          <w:sz w:val="24"/>
          <w:szCs w:val="24"/>
        </w:rPr>
        <w:br w:type="page"/>
      </w:r>
    </w:p>
    <w:p w14:paraId="4BB0C2E0" w14:textId="6950A667" w:rsidR="00276E7F" w:rsidRPr="006F7AA5" w:rsidRDefault="00F85A88"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8"/>
      </w:r>
      <w:r w:rsidRPr="006F7AA5">
        <w:rPr>
          <w:rFonts w:cs="Times New Roman"/>
          <w:sz w:val="24"/>
          <w:szCs w:val="24"/>
        </w:rPr>
        <w:t xml:space="preserve"> </w:t>
      </w:r>
    </w:p>
    <w:p w14:paraId="5730E2AA"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974850E"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4D6706C8" w14:textId="33FF08B2" w:rsidR="00276E7F" w:rsidRPr="00276E7F" w:rsidRDefault="00276E7F" w:rsidP="00276E7F">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Pr="00F16FB7">
        <w:rPr>
          <w:rFonts w:cs="Times New Roman"/>
          <w:sz w:val="24"/>
          <w:szCs w:val="24"/>
        </w:rPr>
        <w:t>RMB</w:t>
      </w:r>
      <w:r>
        <w:rPr>
          <w:rFonts w:cs="Times New Roman"/>
          <w:sz w:val="24"/>
          <w:szCs w:val="24"/>
        </w:rPr>
        <w:t>’s</w:t>
      </w:r>
      <w:r w:rsidRPr="00F16FB7">
        <w:rPr>
          <w:rFonts w:cs="Times New Roman"/>
          <w:sz w:val="24"/>
          <w:szCs w:val="24"/>
        </w:rPr>
        <w:t xml:space="preserve"> Exchange Rate Regime</w:t>
      </w:r>
    </w:p>
    <w:p w14:paraId="047BF70F"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22C1AA1B" w14:textId="1AE41FFC" w:rsidR="00276E7F" w:rsidRPr="006F7AA5" w:rsidRDefault="00276E7F" w:rsidP="00276E7F">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w:t>
      </w:r>
      <w:r w:rsidR="001449A6">
        <w:rPr>
          <w:rFonts w:cs="Times New Roman"/>
          <w:sz w:val="24"/>
          <w:szCs w:val="24"/>
        </w:rPr>
        <w:t xml:space="preserve"> </w:t>
      </w:r>
      <w:r w:rsidR="001449A6" w:rsidRPr="006F7AA5">
        <w:rPr>
          <w:rFonts w:cs="Times New Roman"/>
          <w:sz w:val="24"/>
          <w:szCs w:val="24"/>
        </w:rPr>
        <w:t>exchange rate reform</w:t>
      </w:r>
      <w:r w:rsidRPr="006F7AA5">
        <w:rPr>
          <w:rFonts w:cs="Times New Roman"/>
          <w:sz w:val="24"/>
          <w:szCs w:val="24"/>
        </w:rPr>
        <w:t xml:space="preserve"> </w:t>
      </w:r>
      <w:r w:rsidR="001449A6">
        <w:rPr>
          <w:rFonts w:cs="Times New Roman"/>
          <w:sz w:val="24"/>
          <w:szCs w:val="24"/>
        </w:rPr>
        <w:t xml:space="preserve">of </w:t>
      </w:r>
      <w:r w:rsidRPr="006F7AA5">
        <w:rPr>
          <w:rFonts w:cs="Times New Roman"/>
          <w:sz w:val="24"/>
          <w:szCs w:val="24"/>
        </w:rPr>
        <w:t>July 21, 2005</w:t>
      </w:r>
      <w:r>
        <w:rPr>
          <w:rFonts w:cs="Times New Roman"/>
          <w:sz w:val="24"/>
          <w:szCs w:val="24"/>
        </w:rPr>
        <w:t>,</w:t>
      </w:r>
      <w:r w:rsidRPr="006F7AA5">
        <w:rPr>
          <w:rFonts w:cs="Times New Roman"/>
          <w:sz w:val="24"/>
          <w:szCs w:val="24"/>
        </w:rPr>
        <w:t xml:space="preserve"> </w:t>
      </w:r>
    </w:p>
    <w:p w14:paraId="7AA7955D"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A19FC89" w14:textId="7D6705F4"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M1:</w:t>
      </w:r>
      <w:r w:rsidR="00276E7F">
        <w:rPr>
          <w:rFonts w:cs="Times New Roman"/>
          <w:sz w:val="24"/>
          <w:szCs w:val="24"/>
        </w:rPr>
        <w:t>1999</w:t>
      </w:r>
      <w:r w:rsidR="00276E7F" w:rsidRPr="006F7AA5">
        <w:rPr>
          <w:rFonts w:cs="Times New Roman"/>
          <w:sz w:val="24"/>
          <w:szCs w:val="24"/>
        </w:rPr>
        <w:t>-M6:2005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276E7F" w:rsidRPr="006F7AA5" w14:paraId="1AA784F8" w14:textId="77777777" w:rsidTr="000415B4">
        <w:trPr>
          <w:jc w:val="center"/>
        </w:trPr>
        <w:tc>
          <w:tcPr>
            <w:tcW w:w="1947" w:type="dxa"/>
            <w:tcBorders>
              <w:top w:val="single" w:sz="6" w:space="0" w:color="auto"/>
              <w:left w:val="nil"/>
              <w:bottom w:val="nil"/>
              <w:right w:val="nil"/>
            </w:tcBorders>
          </w:tcPr>
          <w:p w14:paraId="21F9CF0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0788801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276E7F" w:rsidRPr="006F7AA5" w14:paraId="1548DC9A" w14:textId="77777777" w:rsidTr="000415B4">
        <w:trPr>
          <w:jc w:val="center"/>
        </w:trPr>
        <w:tc>
          <w:tcPr>
            <w:tcW w:w="1947" w:type="dxa"/>
            <w:tcBorders>
              <w:top w:val="nil"/>
              <w:left w:val="nil"/>
              <w:bottom w:val="single" w:sz="6" w:space="0" w:color="auto"/>
              <w:right w:val="nil"/>
            </w:tcBorders>
          </w:tcPr>
          <w:p w14:paraId="27A4ECEC"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1D081" w14:textId="7C9B498E" w:rsidR="00276E7F" w:rsidRPr="006F7AA5" w:rsidRDefault="00276E7F" w:rsidP="001449A6">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w:t>
            </w:r>
            <w:r w:rsidR="001449A6">
              <w:rPr>
                <w:rFonts w:cs="Times New Roman"/>
                <w:sz w:val="24"/>
                <w:szCs w:val="24"/>
              </w:rPr>
              <w:t>1999</w:t>
            </w:r>
            <w:r w:rsidRPr="006F7AA5">
              <w:rPr>
                <w:rFonts w:cs="Times New Roman"/>
                <w:sz w:val="24"/>
                <w:szCs w:val="24"/>
              </w:rPr>
              <w:t>-</w:t>
            </w:r>
            <w:r>
              <w:rPr>
                <w:rFonts w:cs="Times New Roman"/>
                <w:sz w:val="24"/>
                <w:szCs w:val="24"/>
              </w:rPr>
              <w:t>7</w:t>
            </w:r>
            <w:r w:rsidRPr="006F7AA5">
              <w:rPr>
                <w:rFonts w:cs="Times New Roman"/>
                <w:sz w:val="24"/>
                <w:szCs w:val="24"/>
              </w:rPr>
              <w:t>/</w:t>
            </w:r>
            <w:r>
              <w:rPr>
                <w:rFonts w:cs="Times New Roman"/>
                <w:sz w:val="24"/>
                <w:szCs w:val="24"/>
              </w:rPr>
              <w:t>2</w:t>
            </w:r>
            <w:r w:rsidRPr="006F7AA5">
              <w:rPr>
                <w:rFonts w:cs="Times New Roman"/>
                <w:sz w:val="24"/>
                <w:szCs w:val="24"/>
              </w:rPr>
              <w:t>0/2005</w:t>
            </w:r>
          </w:p>
        </w:tc>
      </w:tr>
      <w:tr w:rsidR="00276E7F" w:rsidRPr="006F7AA5" w14:paraId="346F69CD" w14:textId="77777777" w:rsidTr="000415B4">
        <w:trPr>
          <w:jc w:val="center"/>
        </w:trPr>
        <w:tc>
          <w:tcPr>
            <w:tcW w:w="1947" w:type="dxa"/>
            <w:tcBorders>
              <w:top w:val="nil"/>
              <w:left w:val="nil"/>
              <w:bottom w:val="nil"/>
              <w:right w:val="nil"/>
            </w:tcBorders>
          </w:tcPr>
          <w:p w14:paraId="2743BD9D"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DF651"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32CE5528" w14:textId="77777777" w:rsidTr="000415B4">
        <w:trPr>
          <w:jc w:val="center"/>
        </w:trPr>
        <w:tc>
          <w:tcPr>
            <w:tcW w:w="1947" w:type="dxa"/>
            <w:tcBorders>
              <w:top w:val="nil"/>
              <w:left w:val="nil"/>
              <w:bottom w:val="nil"/>
              <w:right w:val="nil"/>
            </w:tcBorders>
          </w:tcPr>
          <w:p w14:paraId="313AB85D" w14:textId="28FD42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nil"/>
              <w:right w:val="nil"/>
            </w:tcBorders>
          </w:tcPr>
          <w:p w14:paraId="34BF87E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w:t>
            </w:r>
            <w:r w:rsidRPr="006F7AA5">
              <w:rPr>
                <w:rFonts w:cs="Times New Roman"/>
                <w:sz w:val="24"/>
                <w:szCs w:val="24"/>
              </w:rPr>
              <w:t>.</w:t>
            </w:r>
            <w:r>
              <w:rPr>
                <w:rFonts w:cs="Times New Roman"/>
                <w:sz w:val="24"/>
                <w:szCs w:val="24"/>
              </w:rPr>
              <w:t>999</w:t>
            </w:r>
            <w:r w:rsidRPr="006F7AA5">
              <w:rPr>
                <w:rFonts w:cs="Times New Roman"/>
                <w:sz w:val="24"/>
                <w:szCs w:val="24"/>
              </w:rPr>
              <w:t>***</w:t>
            </w:r>
          </w:p>
        </w:tc>
      </w:tr>
      <w:tr w:rsidR="00276E7F" w:rsidRPr="006F7AA5" w14:paraId="6D4E12C1" w14:textId="77777777" w:rsidTr="000415B4">
        <w:trPr>
          <w:jc w:val="center"/>
        </w:trPr>
        <w:tc>
          <w:tcPr>
            <w:tcW w:w="1947" w:type="dxa"/>
            <w:tcBorders>
              <w:top w:val="nil"/>
              <w:left w:val="nil"/>
              <w:bottom w:val="nil"/>
              <w:right w:val="nil"/>
            </w:tcBorders>
          </w:tcPr>
          <w:p w14:paraId="30A5B301"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FD0EE2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2E8AFEC7" w14:textId="77777777" w:rsidTr="000415B4">
        <w:trPr>
          <w:jc w:val="center"/>
        </w:trPr>
        <w:tc>
          <w:tcPr>
            <w:tcW w:w="1947" w:type="dxa"/>
            <w:tcBorders>
              <w:top w:val="nil"/>
              <w:left w:val="nil"/>
              <w:bottom w:val="nil"/>
              <w:right w:val="nil"/>
            </w:tcBorders>
          </w:tcPr>
          <w:p w14:paraId="67327138"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52E5BF8"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w:t>
            </w:r>
            <w:r w:rsidRPr="006F7AA5">
              <w:rPr>
                <w:rFonts w:cs="Times New Roman"/>
                <w:sz w:val="24"/>
                <w:szCs w:val="24"/>
              </w:rPr>
              <w:t>0.000</w:t>
            </w:r>
          </w:p>
        </w:tc>
      </w:tr>
      <w:tr w:rsidR="00276E7F" w:rsidRPr="006F7AA5" w14:paraId="3D7C0BB9" w14:textId="77777777" w:rsidTr="000415B4">
        <w:trPr>
          <w:jc w:val="center"/>
        </w:trPr>
        <w:tc>
          <w:tcPr>
            <w:tcW w:w="1947" w:type="dxa"/>
            <w:tcBorders>
              <w:top w:val="nil"/>
              <w:left w:val="nil"/>
              <w:bottom w:val="nil"/>
              <w:right w:val="nil"/>
            </w:tcBorders>
          </w:tcPr>
          <w:p w14:paraId="255CEF4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5498E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1A6D91EE" w14:textId="77777777" w:rsidTr="000415B4">
        <w:trPr>
          <w:jc w:val="center"/>
        </w:trPr>
        <w:tc>
          <w:tcPr>
            <w:tcW w:w="1947" w:type="dxa"/>
            <w:tcBorders>
              <w:top w:val="nil"/>
              <w:left w:val="nil"/>
              <w:bottom w:val="nil"/>
              <w:right w:val="nil"/>
            </w:tcBorders>
          </w:tcPr>
          <w:p w14:paraId="5ADA9EA2" w14:textId="5986D050" w:rsidR="00276E7F" w:rsidRPr="006F7AA5" w:rsidRDefault="00276E7F" w:rsidP="00140584">
            <w:pPr>
              <w:widowControl w:val="0"/>
              <w:autoSpaceDE w:val="0"/>
              <w:autoSpaceDN w:val="0"/>
              <w:adjustRightInd w:val="0"/>
              <w:spacing w:after="0" w:line="240" w:lineRule="auto"/>
              <w:rPr>
                <w:rFonts w:cs="Times New Roman"/>
                <w:sz w:val="24"/>
                <w:szCs w:val="24"/>
              </w:rPr>
            </w:pPr>
            <w:r w:rsidRPr="006F7AA5">
              <w:rPr>
                <w:rFonts w:cs="Times New Roman"/>
                <w:sz w:val="24"/>
                <w:szCs w:val="24"/>
              </w:rPr>
              <w:t>Jp</w:t>
            </w:r>
            <w:r w:rsidR="00140584">
              <w:rPr>
                <w:rFonts w:cs="Times New Roman"/>
                <w:sz w:val="24"/>
                <w:szCs w:val="24"/>
              </w:rPr>
              <w:t>n Y</w:t>
            </w:r>
            <w:r w:rsidRPr="006F7AA5">
              <w:rPr>
                <w:rFonts w:cs="Times New Roman"/>
                <w:sz w:val="24"/>
                <w:szCs w:val="24"/>
              </w:rPr>
              <w:t xml:space="preserve"> </w:t>
            </w:r>
          </w:p>
        </w:tc>
        <w:tc>
          <w:tcPr>
            <w:tcW w:w="2736" w:type="dxa"/>
            <w:tcBorders>
              <w:top w:val="nil"/>
              <w:left w:val="nil"/>
              <w:bottom w:val="nil"/>
              <w:right w:val="nil"/>
            </w:tcBorders>
          </w:tcPr>
          <w:p w14:paraId="1004924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5039E278" w14:textId="77777777" w:rsidTr="000415B4">
        <w:trPr>
          <w:jc w:val="center"/>
        </w:trPr>
        <w:tc>
          <w:tcPr>
            <w:tcW w:w="1947" w:type="dxa"/>
            <w:tcBorders>
              <w:top w:val="nil"/>
              <w:left w:val="nil"/>
              <w:bottom w:val="nil"/>
              <w:right w:val="nil"/>
            </w:tcBorders>
          </w:tcPr>
          <w:p w14:paraId="788417E5"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E95B47C"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2570461A" w14:textId="77777777" w:rsidTr="000415B4">
        <w:trPr>
          <w:jc w:val="center"/>
        </w:trPr>
        <w:tc>
          <w:tcPr>
            <w:tcW w:w="1947" w:type="dxa"/>
            <w:tcBorders>
              <w:top w:val="nil"/>
              <w:left w:val="nil"/>
              <w:bottom w:val="nil"/>
              <w:right w:val="nil"/>
            </w:tcBorders>
          </w:tcPr>
          <w:p w14:paraId="57B20550"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6382A13B"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1</w:t>
            </w:r>
          </w:p>
        </w:tc>
      </w:tr>
      <w:tr w:rsidR="00276E7F" w:rsidRPr="006F7AA5" w14:paraId="3A027373" w14:textId="77777777" w:rsidTr="000415B4">
        <w:trPr>
          <w:jc w:val="center"/>
        </w:trPr>
        <w:tc>
          <w:tcPr>
            <w:tcW w:w="1947" w:type="dxa"/>
            <w:tcBorders>
              <w:top w:val="nil"/>
              <w:left w:val="nil"/>
              <w:bottom w:val="nil"/>
              <w:right w:val="nil"/>
            </w:tcBorders>
          </w:tcPr>
          <w:p w14:paraId="5F3E1BF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41910"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276E7F" w:rsidRPr="006F7AA5" w14:paraId="0C11F1FC" w14:textId="77777777" w:rsidTr="000415B4">
        <w:trPr>
          <w:jc w:val="center"/>
        </w:trPr>
        <w:tc>
          <w:tcPr>
            <w:tcW w:w="1947" w:type="dxa"/>
            <w:tcBorders>
              <w:top w:val="nil"/>
              <w:left w:val="nil"/>
              <w:bottom w:val="nil"/>
              <w:right w:val="nil"/>
            </w:tcBorders>
          </w:tcPr>
          <w:p w14:paraId="0B13C757" w14:textId="77777777" w:rsidR="00276E7F" w:rsidRPr="00A608F2" w:rsidRDefault="00276E7F" w:rsidP="000415B4">
            <w:pPr>
              <w:widowControl w:val="0"/>
              <w:autoSpaceDE w:val="0"/>
              <w:autoSpaceDN w:val="0"/>
              <w:adjustRightInd w:val="0"/>
              <w:spacing w:after="0" w:line="240" w:lineRule="auto"/>
              <w:rPr>
                <w:rFonts w:cs="Times New Roman"/>
                <w:sz w:val="24"/>
                <w:szCs w:val="24"/>
              </w:rPr>
            </w:pPr>
            <w:r w:rsidRPr="00A608F2">
              <w:rPr>
                <w:rFonts w:cs="Times New Roman"/>
                <w:sz w:val="24"/>
                <w:szCs w:val="24"/>
              </w:rPr>
              <w:t>Constant</w:t>
            </w:r>
          </w:p>
        </w:tc>
        <w:tc>
          <w:tcPr>
            <w:tcW w:w="2736" w:type="dxa"/>
            <w:tcBorders>
              <w:top w:val="nil"/>
              <w:left w:val="nil"/>
              <w:bottom w:val="nil"/>
              <w:right w:val="nil"/>
            </w:tcBorders>
          </w:tcPr>
          <w:p w14:paraId="10D30FC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4B501D9" w14:textId="77777777" w:rsidTr="000415B4">
        <w:trPr>
          <w:jc w:val="center"/>
        </w:trPr>
        <w:tc>
          <w:tcPr>
            <w:tcW w:w="1947" w:type="dxa"/>
            <w:tcBorders>
              <w:top w:val="nil"/>
              <w:left w:val="nil"/>
              <w:bottom w:val="nil"/>
              <w:right w:val="nil"/>
            </w:tcBorders>
          </w:tcPr>
          <w:p w14:paraId="277D011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A010E6"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74A7129" w14:textId="77777777" w:rsidTr="000415B4">
        <w:trPr>
          <w:jc w:val="center"/>
        </w:trPr>
        <w:tc>
          <w:tcPr>
            <w:tcW w:w="1947" w:type="dxa"/>
            <w:tcBorders>
              <w:top w:val="nil"/>
              <w:left w:val="nil"/>
              <w:bottom w:val="nil"/>
              <w:right w:val="nil"/>
            </w:tcBorders>
          </w:tcPr>
          <w:p w14:paraId="5F14C7CF"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B423DD2"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659C2617" w14:textId="77777777" w:rsidTr="000415B4">
        <w:trPr>
          <w:jc w:val="center"/>
        </w:trPr>
        <w:tc>
          <w:tcPr>
            <w:tcW w:w="1947" w:type="dxa"/>
            <w:tcBorders>
              <w:top w:val="nil"/>
              <w:left w:val="nil"/>
              <w:bottom w:val="nil"/>
              <w:right w:val="nil"/>
            </w:tcBorders>
          </w:tcPr>
          <w:p w14:paraId="7DE423DB"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34409367"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2C63A039"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r>
              <w:rPr>
                <w:rFonts w:cs="Times New Roman"/>
                <w:sz w:val="24"/>
                <w:szCs w:val="24"/>
              </w:rPr>
              <w:t>,634</w:t>
            </w:r>
          </w:p>
          <w:p w14:paraId="05068154"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276E7F" w:rsidRPr="006F7AA5" w14:paraId="3476AC21" w14:textId="77777777" w:rsidTr="000415B4">
        <w:tblPrEx>
          <w:tblBorders>
            <w:bottom w:val="single" w:sz="6" w:space="0" w:color="auto"/>
          </w:tblBorders>
        </w:tblPrEx>
        <w:trPr>
          <w:jc w:val="center"/>
        </w:trPr>
        <w:tc>
          <w:tcPr>
            <w:tcW w:w="1947" w:type="dxa"/>
            <w:tcBorders>
              <w:top w:val="nil"/>
              <w:left w:val="nil"/>
              <w:bottom w:val="single" w:sz="6" w:space="0" w:color="auto"/>
              <w:right w:val="nil"/>
            </w:tcBorders>
          </w:tcPr>
          <w:p w14:paraId="326E3180" w14:textId="23F27EF5"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single" w:sz="6" w:space="0" w:color="auto"/>
              <w:right w:val="nil"/>
            </w:tcBorders>
          </w:tcPr>
          <w:p w14:paraId="486DB99E"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0.001</w:t>
            </w:r>
          </w:p>
        </w:tc>
      </w:tr>
    </w:tbl>
    <w:p w14:paraId="47B63DA3"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5677347"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5CBE3532"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218D498"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DA098FE"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251A36F2" w14:textId="77777777" w:rsidR="00276E7F" w:rsidRDefault="00276E7F" w:rsidP="00276E7F">
      <w:pPr>
        <w:widowControl w:val="0"/>
        <w:autoSpaceDE w:val="0"/>
        <w:autoSpaceDN w:val="0"/>
        <w:adjustRightInd w:val="0"/>
        <w:spacing w:after="0" w:line="240" w:lineRule="auto"/>
        <w:jc w:val="center"/>
        <w:rPr>
          <w:rFonts w:cs="Times New Roman"/>
          <w:sz w:val="24"/>
          <w:szCs w:val="24"/>
        </w:rPr>
      </w:pPr>
    </w:p>
    <w:p w14:paraId="79BAA040" w14:textId="77777777" w:rsidR="00276E7F" w:rsidRDefault="00276E7F" w:rsidP="00276E7F">
      <w:pPr>
        <w:rPr>
          <w:rFonts w:cs="Times New Roman"/>
          <w:sz w:val="24"/>
          <w:szCs w:val="24"/>
        </w:rPr>
      </w:pPr>
      <w:r>
        <w:rPr>
          <w:rFonts w:cs="Times New Roman"/>
          <w:sz w:val="24"/>
          <w:szCs w:val="24"/>
        </w:rPr>
        <w:br w:type="page"/>
      </w:r>
    </w:p>
    <w:p w14:paraId="07A2BC40"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Identifying Break Points in Renminbi Regime</w:t>
      </w:r>
    </w:p>
    <w:p w14:paraId="091CA69D" w14:textId="15D21C46" w:rsidR="00276E7F"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M7:2005-M4:2017</w:t>
      </w:r>
    </w:p>
    <w:p w14:paraId="2B3093D4"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10116" w:type="dxa"/>
        <w:jc w:val="center"/>
        <w:tblLayout w:type="fixed"/>
        <w:tblCellMar>
          <w:left w:w="75" w:type="dxa"/>
          <w:right w:w="75" w:type="dxa"/>
        </w:tblCellMar>
        <w:tblLook w:val="0000" w:firstRow="0" w:lastRow="0" w:firstColumn="0" w:lastColumn="0" w:noHBand="0" w:noVBand="0"/>
      </w:tblPr>
      <w:tblGrid>
        <w:gridCol w:w="1564"/>
        <w:gridCol w:w="2071"/>
        <w:gridCol w:w="2011"/>
        <w:gridCol w:w="2235"/>
        <w:gridCol w:w="2235"/>
      </w:tblGrid>
      <w:tr w:rsidR="00276E7F" w:rsidRPr="000A1A85" w14:paraId="5AFFA2B0" w14:textId="77777777" w:rsidTr="000415B4">
        <w:trPr>
          <w:trHeight w:val="278"/>
          <w:jc w:val="center"/>
        </w:trPr>
        <w:tc>
          <w:tcPr>
            <w:tcW w:w="1564" w:type="dxa"/>
            <w:tcBorders>
              <w:top w:val="single" w:sz="6" w:space="0" w:color="auto"/>
              <w:left w:val="nil"/>
              <w:bottom w:val="nil"/>
              <w:right w:val="nil"/>
            </w:tcBorders>
          </w:tcPr>
          <w:p w14:paraId="01A3E7B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single" w:sz="6" w:space="0" w:color="auto"/>
              <w:left w:val="nil"/>
              <w:bottom w:val="nil"/>
              <w:right w:val="nil"/>
            </w:tcBorders>
          </w:tcPr>
          <w:p w14:paraId="07FDE83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2</w:t>
            </w:r>
            <w:r w:rsidRPr="000A1A85">
              <w:rPr>
                <w:rFonts w:cstheme="minorHAnsi"/>
                <w:sz w:val="24"/>
                <w:szCs w:val="24"/>
              </w:rPr>
              <w:t>)</w:t>
            </w:r>
          </w:p>
        </w:tc>
        <w:tc>
          <w:tcPr>
            <w:tcW w:w="2011" w:type="dxa"/>
            <w:tcBorders>
              <w:top w:val="single" w:sz="6" w:space="0" w:color="auto"/>
              <w:left w:val="nil"/>
              <w:bottom w:val="nil"/>
              <w:right w:val="nil"/>
            </w:tcBorders>
          </w:tcPr>
          <w:p w14:paraId="32C28CC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3</w:t>
            </w:r>
            <w:r w:rsidRPr="000A1A85">
              <w:rPr>
                <w:rFonts w:cstheme="minorHAnsi"/>
                <w:sz w:val="24"/>
                <w:szCs w:val="24"/>
              </w:rPr>
              <w:t>)</w:t>
            </w:r>
          </w:p>
        </w:tc>
        <w:tc>
          <w:tcPr>
            <w:tcW w:w="2235" w:type="dxa"/>
            <w:tcBorders>
              <w:top w:val="single" w:sz="6" w:space="0" w:color="auto"/>
              <w:left w:val="nil"/>
              <w:bottom w:val="nil"/>
              <w:right w:val="nil"/>
            </w:tcBorders>
          </w:tcPr>
          <w:p w14:paraId="6C9F8A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(4</w:t>
            </w:r>
            <w:r w:rsidRPr="000A1A85">
              <w:rPr>
                <w:rFonts w:cstheme="minorHAnsi"/>
                <w:sz w:val="24"/>
                <w:szCs w:val="24"/>
              </w:rPr>
              <w:t>)</w:t>
            </w:r>
          </w:p>
        </w:tc>
        <w:tc>
          <w:tcPr>
            <w:tcW w:w="2235" w:type="dxa"/>
            <w:tcBorders>
              <w:top w:val="single" w:sz="6" w:space="0" w:color="auto"/>
              <w:left w:val="nil"/>
              <w:bottom w:val="nil"/>
              <w:right w:val="nil"/>
            </w:tcBorders>
          </w:tcPr>
          <w:p w14:paraId="3F9F3D4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5</w:t>
            </w:r>
            <w:r w:rsidRPr="000A1A85">
              <w:rPr>
                <w:rFonts w:cstheme="minorHAnsi"/>
                <w:sz w:val="24"/>
                <w:szCs w:val="24"/>
              </w:rPr>
              <w:t>)</w:t>
            </w:r>
          </w:p>
        </w:tc>
      </w:tr>
      <w:tr w:rsidR="00276E7F" w:rsidRPr="000A1A85" w14:paraId="7CEBF5A8" w14:textId="77777777" w:rsidTr="000415B4">
        <w:trPr>
          <w:trHeight w:val="293"/>
          <w:jc w:val="center"/>
        </w:trPr>
        <w:tc>
          <w:tcPr>
            <w:tcW w:w="1564" w:type="dxa"/>
            <w:tcBorders>
              <w:top w:val="nil"/>
              <w:left w:val="nil"/>
              <w:bottom w:val="single" w:sz="6" w:space="0" w:color="auto"/>
              <w:right w:val="nil"/>
            </w:tcBorders>
          </w:tcPr>
          <w:p w14:paraId="1C11337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071" w:type="dxa"/>
            <w:tcBorders>
              <w:top w:val="nil"/>
              <w:left w:val="nil"/>
              <w:bottom w:val="single" w:sz="6" w:space="0" w:color="auto"/>
              <w:right w:val="nil"/>
            </w:tcBorders>
          </w:tcPr>
          <w:p w14:paraId="5AF074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7/22/2005-6/5/2007</w:t>
            </w:r>
          </w:p>
        </w:tc>
        <w:tc>
          <w:tcPr>
            <w:tcW w:w="2011" w:type="dxa"/>
            <w:tcBorders>
              <w:top w:val="nil"/>
              <w:left w:val="nil"/>
              <w:bottom w:val="single" w:sz="6" w:space="0" w:color="auto"/>
              <w:right w:val="nil"/>
            </w:tcBorders>
          </w:tcPr>
          <w:p w14:paraId="55A8F6D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6/6/2007-8/8/2008</w:t>
            </w:r>
          </w:p>
        </w:tc>
        <w:tc>
          <w:tcPr>
            <w:tcW w:w="2235" w:type="dxa"/>
            <w:tcBorders>
              <w:top w:val="nil"/>
              <w:left w:val="nil"/>
              <w:bottom w:val="single" w:sz="6" w:space="0" w:color="auto"/>
              <w:right w:val="nil"/>
            </w:tcBorders>
          </w:tcPr>
          <w:p w14:paraId="4E139C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8/11/2008-8/24/2010</w:t>
            </w:r>
          </w:p>
        </w:tc>
        <w:tc>
          <w:tcPr>
            <w:tcW w:w="2235" w:type="dxa"/>
            <w:tcBorders>
              <w:top w:val="nil"/>
              <w:left w:val="nil"/>
              <w:bottom w:val="single" w:sz="6" w:space="0" w:color="auto"/>
              <w:right w:val="nil"/>
            </w:tcBorders>
          </w:tcPr>
          <w:p w14:paraId="615E623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8/25/2010-11/4/2011</w:t>
            </w:r>
          </w:p>
        </w:tc>
      </w:tr>
      <w:tr w:rsidR="00276E7F" w:rsidRPr="000A1A85" w14:paraId="7C181DBF" w14:textId="77777777" w:rsidTr="000415B4">
        <w:trPr>
          <w:trHeight w:val="278"/>
          <w:jc w:val="center"/>
        </w:trPr>
        <w:tc>
          <w:tcPr>
            <w:tcW w:w="1564" w:type="dxa"/>
            <w:tcBorders>
              <w:top w:val="nil"/>
              <w:left w:val="nil"/>
              <w:bottom w:val="nil"/>
              <w:right w:val="nil"/>
            </w:tcBorders>
          </w:tcPr>
          <w:p w14:paraId="033C280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5D7F03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3826D11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442F18F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DDCD65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5BA28F87" w14:textId="77777777" w:rsidTr="000415B4">
        <w:trPr>
          <w:trHeight w:val="278"/>
          <w:jc w:val="center"/>
        </w:trPr>
        <w:tc>
          <w:tcPr>
            <w:tcW w:w="1564" w:type="dxa"/>
            <w:tcBorders>
              <w:top w:val="nil"/>
              <w:left w:val="nil"/>
              <w:bottom w:val="nil"/>
              <w:right w:val="nil"/>
            </w:tcBorders>
          </w:tcPr>
          <w:p w14:paraId="443A2D89" w14:textId="5A46272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r w:rsidR="00A608F2">
              <w:rPr>
                <w:rFonts w:cstheme="minorHAnsi"/>
                <w:sz w:val="24"/>
                <w:szCs w:val="24"/>
              </w:rPr>
              <w:t xml:space="preserve"> </w:t>
            </w:r>
            <w:r w:rsidRPr="000A1A85">
              <w:rPr>
                <w:rFonts w:cstheme="minorHAnsi"/>
                <w:sz w:val="24"/>
                <w:szCs w:val="24"/>
              </w:rPr>
              <w:t>$</w:t>
            </w:r>
          </w:p>
        </w:tc>
        <w:tc>
          <w:tcPr>
            <w:tcW w:w="2071" w:type="dxa"/>
            <w:tcBorders>
              <w:top w:val="nil"/>
              <w:left w:val="nil"/>
              <w:bottom w:val="nil"/>
              <w:right w:val="nil"/>
            </w:tcBorders>
          </w:tcPr>
          <w:p w14:paraId="06F1B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0.896***</w:t>
            </w:r>
          </w:p>
        </w:tc>
        <w:tc>
          <w:tcPr>
            <w:tcW w:w="2011" w:type="dxa"/>
            <w:tcBorders>
              <w:top w:val="nil"/>
              <w:left w:val="nil"/>
              <w:bottom w:val="nil"/>
              <w:right w:val="nil"/>
            </w:tcBorders>
          </w:tcPr>
          <w:p w14:paraId="014913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0.692***</w:t>
            </w:r>
          </w:p>
        </w:tc>
        <w:tc>
          <w:tcPr>
            <w:tcW w:w="2235" w:type="dxa"/>
            <w:tcBorders>
              <w:top w:val="nil"/>
              <w:left w:val="nil"/>
              <w:bottom w:val="nil"/>
              <w:right w:val="nil"/>
            </w:tcBorders>
          </w:tcPr>
          <w:p w14:paraId="6B6E15D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0.864***</w:t>
            </w:r>
          </w:p>
        </w:tc>
        <w:tc>
          <w:tcPr>
            <w:tcW w:w="2235" w:type="dxa"/>
            <w:tcBorders>
              <w:top w:val="nil"/>
              <w:left w:val="nil"/>
              <w:bottom w:val="nil"/>
              <w:right w:val="nil"/>
            </w:tcBorders>
          </w:tcPr>
          <w:p w14:paraId="7948098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0.449***</w:t>
            </w:r>
          </w:p>
        </w:tc>
      </w:tr>
      <w:tr w:rsidR="00276E7F" w:rsidRPr="000A1A85" w14:paraId="588F20D0" w14:textId="77777777" w:rsidTr="000415B4">
        <w:trPr>
          <w:trHeight w:val="293"/>
          <w:jc w:val="center"/>
        </w:trPr>
        <w:tc>
          <w:tcPr>
            <w:tcW w:w="1564" w:type="dxa"/>
            <w:tcBorders>
              <w:top w:val="nil"/>
              <w:left w:val="nil"/>
              <w:bottom w:val="nil"/>
              <w:right w:val="nil"/>
            </w:tcBorders>
          </w:tcPr>
          <w:p w14:paraId="0669284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0B3A02E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4B8E48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2C704A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6AEB1B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r>
      <w:tr w:rsidR="00276E7F" w:rsidRPr="000A1A85" w14:paraId="75965BE2" w14:textId="77777777" w:rsidTr="000415B4">
        <w:trPr>
          <w:trHeight w:val="278"/>
          <w:jc w:val="center"/>
        </w:trPr>
        <w:tc>
          <w:tcPr>
            <w:tcW w:w="1564" w:type="dxa"/>
            <w:tcBorders>
              <w:top w:val="nil"/>
              <w:left w:val="nil"/>
              <w:bottom w:val="nil"/>
              <w:right w:val="nil"/>
            </w:tcBorders>
          </w:tcPr>
          <w:p w14:paraId="05EAB03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071" w:type="dxa"/>
            <w:tcBorders>
              <w:top w:val="nil"/>
              <w:left w:val="nil"/>
              <w:bottom w:val="nil"/>
              <w:right w:val="nil"/>
            </w:tcBorders>
          </w:tcPr>
          <w:p w14:paraId="17761F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011" w:type="dxa"/>
            <w:tcBorders>
              <w:top w:val="nil"/>
              <w:left w:val="nil"/>
              <w:bottom w:val="nil"/>
              <w:right w:val="nil"/>
            </w:tcBorders>
          </w:tcPr>
          <w:p w14:paraId="29A206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0.192***</w:t>
            </w:r>
          </w:p>
        </w:tc>
        <w:tc>
          <w:tcPr>
            <w:tcW w:w="2235" w:type="dxa"/>
            <w:tcBorders>
              <w:top w:val="nil"/>
              <w:left w:val="nil"/>
              <w:bottom w:val="nil"/>
              <w:right w:val="nil"/>
            </w:tcBorders>
          </w:tcPr>
          <w:p w14:paraId="47CD0BC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0.091***</w:t>
            </w:r>
          </w:p>
        </w:tc>
        <w:tc>
          <w:tcPr>
            <w:tcW w:w="2235" w:type="dxa"/>
            <w:tcBorders>
              <w:top w:val="nil"/>
              <w:left w:val="nil"/>
              <w:bottom w:val="nil"/>
              <w:right w:val="nil"/>
            </w:tcBorders>
          </w:tcPr>
          <w:p w14:paraId="204AEDE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0.343***</w:t>
            </w:r>
          </w:p>
        </w:tc>
      </w:tr>
      <w:tr w:rsidR="00276E7F" w:rsidRPr="000A1A85" w14:paraId="6935854A" w14:textId="77777777" w:rsidTr="000415B4">
        <w:trPr>
          <w:trHeight w:val="278"/>
          <w:jc w:val="center"/>
        </w:trPr>
        <w:tc>
          <w:tcPr>
            <w:tcW w:w="1564" w:type="dxa"/>
            <w:tcBorders>
              <w:top w:val="nil"/>
              <w:left w:val="nil"/>
              <w:bottom w:val="nil"/>
              <w:right w:val="nil"/>
            </w:tcBorders>
          </w:tcPr>
          <w:p w14:paraId="244FF58C"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A8BCCD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503ED4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157CAE5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235" w:type="dxa"/>
            <w:tcBorders>
              <w:top w:val="nil"/>
              <w:left w:val="nil"/>
              <w:bottom w:val="nil"/>
              <w:right w:val="nil"/>
            </w:tcBorders>
          </w:tcPr>
          <w:p w14:paraId="6B38482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r>
      <w:tr w:rsidR="00276E7F" w:rsidRPr="000A1A85" w14:paraId="19DA1684" w14:textId="77777777" w:rsidTr="000415B4">
        <w:trPr>
          <w:trHeight w:val="293"/>
          <w:jc w:val="center"/>
        </w:trPr>
        <w:tc>
          <w:tcPr>
            <w:tcW w:w="1564" w:type="dxa"/>
            <w:tcBorders>
              <w:top w:val="nil"/>
              <w:left w:val="nil"/>
              <w:bottom w:val="nil"/>
              <w:right w:val="nil"/>
            </w:tcBorders>
          </w:tcPr>
          <w:p w14:paraId="454768D6" w14:textId="5058E71F"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w:t>
            </w:r>
            <w:r w:rsidR="00A608F2">
              <w:rPr>
                <w:rFonts w:cstheme="minorHAnsi"/>
                <w:sz w:val="24"/>
                <w:szCs w:val="24"/>
              </w:rPr>
              <w:t xml:space="preserve"> </w:t>
            </w:r>
            <w:r w:rsidRPr="000A1A85">
              <w:rPr>
                <w:rFonts w:cstheme="minorHAnsi"/>
                <w:sz w:val="24"/>
                <w:szCs w:val="24"/>
              </w:rPr>
              <w:t>Y</w:t>
            </w:r>
          </w:p>
        </w:tc>
        <w:tc>
          <w:tcPr>
            <w:tcW w:w="2071" w:type="dxa"/>
            <w:tcBorders>
              <w:top w:val="nil"/>
              <w:left w:val="nil"/>
              <w:bottom w:val="nil"/>
              <w:right w:val="nil"/>
            </w:tcBorders>
          </w:tcPr>
          <w:p w14:paraId="5F8DA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0.028***</w:t>
            </w:r>
          </w:p>
        </w:tc>
        <w:tc>
          <w:tcPr>
            <w:tcW w:w="2011" w:type="dxa"/>
            <w:tcBorders>
              <w:top w:val="nil"/>
              <w:left w:val="nil"/>
              <w:bottom w:val="nil"/>
              <w:right w:val="nil"/>
            </w:tcBorders>
          </w:tcPr>
          <w:p w14:paraId="57E7A7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235" w:type="dxa"/>
            <w:tcBorders>
              <w:top w:val="nil"/>
              <w:left w:val="nil"/>
              <w:bottom w:val="nil"/>
              <w:right w:val="nil"/>
            </w:tcBorders>
          </w:tcPr>
          <w:p w14:paraId="6D0096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0.024***</w:t>
            </w:r>
          </w:p>
        </w:tc>
        <w:tc>
          <w:tcPr>
            <w:tcW w:w="2235" w:type="dxa"/>
            <w:tcBorders>
              <w:top w:val="nil"/>
              <w:left w:val="nil"/>
              <w:bottom w:val="nil"/>
              <w:right w:val="nil"/>
            </w:tcBorders>
          </w:tcPr>
          <w:p w14:paraId="4A898C5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0.120***</w:t>
            </w:r>
          </w:p>
        </w:tc>
      </w:tr>
      <w:tr w:rsidR="00276E7F" w:rsidRPr="000A1A85" w14:paraId="749A61A3" w14:textId="77777777" w:rsidTr="000415B4">
        <w:trPr>
          <w:trHeight w:val="278"/>
          <w:jc w:val="center"/>
        </w:trPr>
        <w:tc>
          <w:tcPr>
            <w:tcW w:w="1564" w:type="dxa"/>
            <w:tcBorders>
              <w:top w:val="nil"/>
              <w:left w:val="nil"/>
              <w:bottom w:val="nil"/>
              <w:right w:val="nil"/>
            </w:tcBorders>
          </w:tcPr>
          <w:p w14:paraId="5E9E73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7FCDAC5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011" w:type="dxa"/>
            <w:tcBorders>
              <w:top w:val="nil"/>
              <w:left w:val="nil"/>
              <w:bottom w:val="nil"/>
              <w:right w:val="nil"/>
            </w:tcBorders>
          </w:tcPr>
          <w:p w14:paraId="1059147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(0.008)</w:t>
            </w:r>
          </w:p>
        </w:tc>
        <w:tc>
          <w:tcPr>
            <w:tcW w:w="2235" w:type="dxa"/>
            <w:tcBorders>
              <w:top w:val="nil"/>
              <w:left w:val="nil"/>
              <w:bottom w:val="nil"/>
              <w:right w:val="nil"/>
            </w:tcBorders>
          </w:tcPr>
          <w:p w14:paraId="44720BB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c>
          <w:tcPr>
            <w:tcW w:w="2235" w:type="dxa"/>
            <w:tcBorders>
              <w:top w:val="nil"/>
              <w:left w:val="nil"/>
              <w:bottom w:val="nil"/>
              <w:right w:val="nil"/>
            </w:tcBorders>
          </w:tcPr>
          <w:p w14:paraId="66375A9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(0.006)</w:t>
            </w:r>
          </w:p>
        </w:tc>
      </w:tr>
      <w:tr w:rsidR="00276E7F" w:rsidRPr="000A1A85" w14:paraId="461AE30D" w14:textId="77777777" w:rsidTr="000415B4">
        <w:trPr>
          <w:trHeight w:val="293"/>
          <w:jc w:val="center"/>
        </w:trPr>
        <w:tc>
          <w:tcPr>
            <w:tcW w:w="1564" w:type="dxa"/>
            <w:tcBorders>
              <w:top w:val="nil"/>
              <w:left w:val="nil"/>
              <w:bottom w:val="nil"/>
              <w:right w:val="nil"/>
            </w:tcBorders>
          </w:tcPr>
          <w:p w14:paraId="61A098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071" w:type="dxa"/>
            <w:tcBorders>
              <w:top w:val="nil"/>
              <w:left w:val="nil"/>
              <w:bottom w:val="nil"/>
              <w:right w:val="nil"/>
            </w:tcBorders>
          </w:tcPr>
          <w:p w14:paraId="69131AE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0.161***</w:t>
            </w:r>
          </w:p>
        </w:tc>
        <w:tc>
          <w:tcPr>
            <w:tcW w:w="2011" w:type="dxa"/>
            <w:tcBorders>
              <w:top w:val="nil"/>
              <w:left w:val="nil"/>
              <w:bottom w:val="nil"/>
              <w:right w:val="nil"/>
            </w:tcBorders>
          </w:tcPr>
          <w:p w14:paraId="1CFD259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0.454***</w:t>
            </w:r>
          </w:p>
        </w:tc>
        <w:tc>
          <w:tcPr>
            <w:tcW w:w="2235" w:type="dxa"/>
            <w:tcBorders>
              <w:top w:val="nil"/>
              <w:left w:val="nil"/>
              <w:bottom w:val="nil"/>
              <w:right w:val="nil"/>
            </w:tcBorders>
          </w:tcPr>
          <w:p w14:paraId="3697880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0.216***</w:t>
            </w:r>
          </w:p>
        </w:tc>
        <w:tc>
          <w:tcPr>
            <w:tcW w:w="2235" w:type="dxa"/>
            <w:tcBorders>
              <w:top w:val="nil"/>
              <w:left w:val="nil"/>
              <w:bottom w:val="nil"/>
              <w:right w:val="nil"/>
            </w:tcBorders>
          </w:tcPr>
          <w:p w14:paraId="6E4AC95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0.915***</w:t>
            </w:r>
          </w:p>
        </w:tc>
      </w:tr>
      <w:tr w:rsidR="00276E7F" w:rsidRPr="000A1A85" w14:paraId="271A932A" w14:textId="77777777" w:rsidTr="000415B4">
        <w:trPr>
          <w:trHeight w:val="278"/>
          <w:jc w:val="center"/>
        </w:trPr>
        <w:tc>
          <w:tcPr>
            <w:tcW w:w="1564" w:type="dxa"/>
            <w:tcBorders>
              <w:top w:val="nil"/>
              <w:left w:val="nil"/>
              <w:bottom w:val="nil"/>
              <w:right w:val="nil"/>
            </w:tcBorders>
          </w:tcPr>
          <w:p w14:paraId="1085387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61D450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(0.022)</w:t>
            </w:r>
          </w:p>
        </w:tc>
        <w:tc>
          <w:tcPr>
            <w:tcW w:w="2011" w:type="dxa"/>
            <w:tcBorders>
              <w:top w:val="nil"/>
              <w:left w:val="nil"/>
              <w:bottom w:val="nil"/>
              <w:right w:val="nil"/>
            </w:tcBorders>
          </w:tcPr>
          <w:p w14:paraId="2912B1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(0.039)</w:t>
            </w:r>
          </w:p>
        </w:tc>
        <w:tc>
          <w:tcPr>
            <w:tcW w:w="2235" w:type="dxa"/>
            <w:tcBorders>
              <w:top w:val="nil"/>
              <w:left w:val="nil"/>
              <w:bottom w:val="nil"/>
              <w:right w:val="nil"/>
            </w:tcBorders>
          </w:tcPr>
          <w:p w14:paraId="4D21AF6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(0.043)</w:t>
            </w:r>
          </w:p>
        </w:tc>
        <w:tc>
          <w:tcPr>
            <w:tcW w:w="2235" w:type="dxa"/>
            <w:tcBorders>
              <w:top w:val="nil"/>
              <w:left w:val="nil"/>
              <w:bottom w:val="nil"/>
              <w:right w:val="nil"/>
            </w:tcBorders>
          </w:tcPr>
          <w:p w14:paraId="2052E4A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r>
      <w:tr w:rsidR="00276E7F" w:rsidRPr="000A1A85" w14:paraId="1C904436" w14:textId="77777777" w:rsidTr="000415B4">
        <w:trPr>
          <w:trHeight w:val="278"/>
          <w:jc w:val="center"/>
        </w:trPr>
        <w:tc>
          <w:tcPr>
            <w:tcW w:w="1564" w:type="dxa"/>
            <w:tcBorders>
              <w:top w:val="nil"/>
              <w:left w:val="nil"/>
              <w:bottom w:val="nil"/>
              <w:right w:val="nil"/>
            </w:tcBorders>
          </w:tcPr>
          <w:p w14:paraId="418C8A73"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071" w:type="dxa"/>
            <w:tcBorders>
              <w:top w:val="nil"/>
              <w:left w:val="nil"/>
              <w:bottom w:val="nil"/>
              <w:right w:val="nil"/>
            </w:tcBorders>
          </w:tcPr>
          <w:p w14:paraId="47A82F9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1A36E7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476B9BA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063E3BF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-0.001***</w:t>
            </w:r>
          </w:p>
        </w:tc>
      </w:tr>
      <w:tr w:rsidR="00276E7F" w:rsidRPr="000A1A85" w14:paraId="02C6E0FD" w14:textId="77777777" w:rsidTr="000415B4">
        <w:trPr>
          <w:trHeight w:val="293"/>
          <w:jc w:val="center"/>
        </w:trPr>
        <w:tc>
          <w:tcPr>
            <w:tcW w:w="1564" w:type="dxa"/>
            <w:tcBorders>
              <w:top w:val="nil"/>
              <w:left w:val="nil"/>
              <w:bottom w:val="nil"/>
              <w:right w:val="nil"/>
            </w:tcBorders>
          </w:tcPr>
          <w:p w14:paraId="6595834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3DA862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6159389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36DD026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57B2D5F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23F71D7" w14:textId="77777777" w:rsidTr="000415B4">
        <w:trPr>
          <w:trHeight w:val="278"/>
          <w:jc w:val="center"/>
        </w:trPr>
        <w:tc>
          <w:tcPr>
            <w:tcW w:w="1564" w:type="dxa"/>
            <w:tcBorders>
              <w:top w:val="nil"/>
              <w:left w:val="nil"/>
              <w:bottom w:val="nil"/>
              <w:right w:val="nil"/>
            </w:tcBorders>
          </w:tcPr>
          <w:p w14:paraId="22B1FA3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0D9D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5FF64E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0722D65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E84A87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018B4A7E" w14:textId="77777777" w:rsidTr="000415B4">
        <w:trPr>
          <w:trHeight w:val="293"/>
          <w:jc w:val="center"/>
        </w:trPr>
        <w:tc>
          <w:tcPr>
            <w:tcW w:w="1564" w:type="dxa"/>
            <w:tcBorders>
              <w:top w:val="nil"/>
              <w:left w:val="nil"/>
              <w:bottom w:val="nil"/>
              <w:right w:val="nil"/>
            </w:tcBorders>
          </w:tcPr>
          <w:p w14:paraId="76FEF6B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071" w:type="dxa"/>
            <w:tcBorders>
              <w:top w:val="nil"/>
              <w:left w:val="nil"/>
              <w:bottom w:val="nil"/>
              <w:right w:val="nil"/>
            </w:tcBorders>
          </w:tcPr>
          <w:p w14:paraId="2E4B61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467</w:t>
            </w:r>
          </w:p>
        </w:tc>
        <w:tc>
          <w:tcPr>
            <w:tcW w:w="2011" w:type="dxa"/>
            <w:tcBorders>
              <w:top w:val="nil"/>
              <w:left w:val="nil"/>
              <w:bottom w:val="nil"/>
              <w:right w:val="nil"/>
            </w:tcBorders>
          </w:tcPr>
          <w:p w14:paraId="1CD663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296</w:t>
            </w:r>
          </w:p>
        </w:tc>
        <w:tc>
          <w:tcPr>
            <w:tcW w:w="2235" w:type="dxa"/>
            <w:tcBorders>
              <w:top w:val="nil"/>
              <w:left w:val="nil"/>
              <w:bottom w:val="nil"/>
              <w:right w:val="nil"/>
            </w:tcBorders>
          </w:tcPr>
          <w:p w14:paraId="67BA894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512</w:t>
            </w:r>
          </w:p>
        </w:tc>
        <w:tc>
          <w:tcPr>
            <w:tcW w:w="2235" w:type="dxa"/>
            <w:tcBorders>
              <w:top w:val="nil"/>
              <w:left w:val="nil"/>
              <w:bottom w:val="nil"/>
              <w:right w:val="nil"/>
            </w:tcBorders>
          </w:tcPr>
          <w:p w14:paraId="7A3295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301</w:t>
            </w:r>
          </w:p>
        </w:tc>
      </w:tr>
      <w:tr w:rsidR="00276E7F" w:rsidRPr="000A1A85" w14:paraId="00799045" w14:textId="77777777" w:rsidTr="000415B4">
        <w:trPr>
          <w:trHeight w:val="278"/>
          <w:jc w:val="center"/>
        </w:trPr>
        <w:tc>
          <w:tcPr>
            <w:tcW w:w="1564" w:type="dxa"/>
            <w:tcBorders>
              <w:top w:val="nil"/>
              <w:left w:val="nil"/>
              <w:bottom w:val="nil"/>
              <w:right w:val="nil"/>
            </w:tcBorders>
          </w:tcPr>
          <w:p w14:paraId="57B5727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71" w:type="dxa"/>
            <w:tcBorders>
              <w:top w:val="nil"/>
              <w:left w:val="nil"/>
              <w:bottom w:val="nil"/>
              <w:right w:val="nil"/>
            </w:tcBorders>
          </w:tcPr>
          <w:p w14:paraId="66F4AC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0.986</w:t>
            </w:r>
          </w:p>
        </w:tc>
        <w:tc>
          <w:tcPr>
            <w:tcW w:w="2011" w:type="dxa"/>
            <w:tcBorders>
              <w:top w:val="nil"/>
              <w:left w:val="nil"/>
              <w:bottom w:val="nil"/>
              <w:right w:val="nil"/>
            </w:tcBorders>
          </w:tcPr>
          <w:p w14:paraId="537F009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0.968</w:t>
            </w:r>
          </w:p>
        </w:tc>
        <w:tc>
          <w:tcPr>
            <w:tcW w:w="2235" w:type="dxa"/>
            <w:tcBorders>
              <w:top w:val="nil"/>
              <w:left w:val="nil"/>
              <w:bottom w:val="nil"/>
              <w:right w:val="nil"/>
            </w:tcBorders>
          </w:tcPr>
          <w:p w14:paraId="4A464F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235" w:type="dxa"/>
            <w:tcBorders>
              <w:top w:val="nil"/>
              <w:left w:val="nil"/>
              <w:bottom w:val="nil"/>
              <w:right w:val="nil"/>
            </w:tcBorders>
          </w:tcPr>
          <w:p w14:paraId="0654DB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r>
      <w:tr w:rsidR="00276E7F" w:rsidRPr="000A1A85" w14:paraId="557608F2" w14:textId="77777777" w:rsidTr="000415B4">
        <w:tblPrEx>
          <w:tblBorders>
            <w:bottom w:val="single" w:sz="6" w:space="0" w:color="auto"/>
          </w:tblBorders>
        </w:tblPrEx>
        <w:trPr>
          <w:trHeight w:val="278"/>
          <w:jc w:val="center"/>
        </w:trPr>
        <w:tc>
          <w:tcPr>
            <w:tcW w:w="1564" w:type="dxa"/>
            <w:tcBorders>
              <w:top w:val="nil"/>
              <w:left w:val="nil"/>
              <w:bottom w:val="single" w:sz="6" w:space="0" w:color="auto"/>
              <w:right w:val="nil"/>
            </w:tcBorders>
          </w:tcPr>
          <w:p w14:paraId="52A05B1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71" w:type="dxa"/>
            <w:tcBorders>
              <w:top w:val="nil"/>
              <w:left w:val="nil"/>
              <w:bottom w:val="single" w:sz="6" w:space="0" w:color="auto"/>
              <w:right w:val="nil"/>
            </w:tcBorders>
          </w:tcPr>
          <w:p w14:paraId="6CD277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0.019</w:t>
            </w:r>
          </w:p>
        </w:tc>
        <w:tc>
          <w:tcPr>
            <w:tcW w:w="2011" w:type="dxa"/>
            <w:tcBorders>
              <w:top w:val="nil"/>
              <w:left w:val="nil"/>
              <w:bottom w:val="single" w:sz="6" w:space="0" w:color="auto"/>
              <w:right w:val="nil"/>
            </w:tcBorders>
          </w:tcPr>
          <w:p w14:paraId="613633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0.059</w:t>
            </w:r>
          </w:p>
        </w:tc>
        <w:tc>
          <w:tcPr>
            <w:tcW w:w="2235" w:type="dxa"/>
            <w:tcBorders>
              <w:top w:val="nil"/>
              <w:left w:val="nil"/>
              <w:bottom w:val="single" w:sz="6" w:space="0" w:color="auto"/>
              <w:right w:val="nil"/>
            </w:tcBorders>
          </w:tcPr>
          <w:p w14:paraId="776A960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c>
          <w:tcPr>
            <w:tcW w:w="2235" w:type="dxa"/>
            <w:tcBorders>
              <w:top w:val="nil"/>
              <w:left w:val="nil"/>
              <w:bottom w:val="single" w:sz="6" w:space="0" w:color="auto"/>
              <w:right w:val="nil"/>
            </w:tcBorders>
          </w:tcPr>
          <w:p w14:paraId="4F0A33E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0.088</w:t>
            </w:r>
          </w:p>
        </w:tc>
      </w:tr>
    </w:tbl>
    <w:p w14:paraId="2C421890"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49"/>
        <w:gridCol w:w="2177"/>
        <w:gridCol w:w="2177"/>
        <w:gridCol w:w="2177"/>
      </w:tblGrid>
      <w:tr w:rsidR="00276E7F" w:rsidRPr="000A1A85" w14:paraId="3926B533" w14:textId="77777777" w:rsidTr="000415B4">
        <w:trPr>
          <w:trHeight w:val="279"/>
          <w:jc w:val="center"/>
        </w:trPr>
        <w:tc>
          <w:tcPr>
            <w:tcW w:w="1549" w:type="dxa"/>
            <w:tcBorders>
              <w:top w:val="single" w:sz="6" w:space="0" w:color="auto"/>
              <w:left w:val="nil"/>
              <w:bottom w:val="nil"/>
              <w:right w:val="nil"/>
            </w:tcBorders>
          </w:tcPr>
          <w:p w14:paraId="7EB50E5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single" w:sz="6" w:space="0" w:color="auto"/>
              <w:left w:val="nil"/>
              <w:bottom w:val="nil"/>
              <w:right w:val="nil"/>
            </w:tcBorders>
          </w:tcPr>
          <w:p w14:paraId="02F360F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6</w:t>
            </w:r>
            <w:r w:rsidRPr="000A1A85">
              <w:rPr>
                <w:rFonts w:cstheme="minorHAnsi"/>
                <w:sz w:val="24"/>
                <w:szCs w:val="24"/>
              </w:rPr>
              <w:t>)</w:t>
            </w:r>
          </w:p>
        </w:tc>
        <w:tc>
          <w:tcPr>
            <w:tcW w:w="2177" w:type="dxa"/>
            <w:tcBorders>
              <w:top w:val="single" w:sz="6" w:space="0" w:color="auto"/>
              <w:left w:val="nil"/>
              <w:bottom w:val="nil"/>
              <w:right w:val="nil"/>
            </w:tcBorders>
          </w:tcPr>
          <w:p w14:paraId="4DDBC3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7</w:t>
            </w:r>
            <w:r w:rsidRPr="000A1A85">
              <w:rPr>
                <w:rFonts w:cstheme="minorHAnsi"/>
                <w:sz w:val="24"/>
                <w:szCs w:val="24"/>
              </w:rPr>
              <w:t>)</w:t>
            </w:r>
          </w:p>
        </w:tc>
        <w:tc>
          <w:tcPr>
            <w:tcW w:w="2177" w:type="dxa"/>
            <w:tcBorders>
              <w:top w:val="single" w:sz="6" w:space="0" w:color="auto"/>
              <w:left w:val="nil"/>
              <w:bottom w:val="nil"/>
              <w:right w:val="nil"/>
            </w:tcBorders>
          </w:tcPr>
          <w:p w14:paraId="02DED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8</w:t>
            </w:r>
            <w:r w:rsidRPr="000A1A85">
              <w:rPr>
                <w:rFonts w:cstheme="minorHAnsi"/>
                <w:sz w:val="24"/>
                <w:szCs w:val="24"/>
              </w:rPr>
              <w:t>)</w:t>
            </w:r>
          </w:p>
        </w:tc>
      </w:tr>
      <w:tr w:rsidR="00276E7F" w:rsidRPr="000A1A85" w14:paraId="47448911" w14:textId="77777777" w:rsidTr="000415B4">
        <w:trPr>
          <w:trHeight w:val="265"/>
          <w:jc w:val="center"/>
        </w:trPr>
        <w:tc>
          <w:tcPr>
            <w:tcW w:w="1549" w:type="dxa"/>
            <w:tcBorders>
              <w:top w:val="nil"/>
              <w:left w:val="nil"/>
              <w:bottom w:val="single" w:sz="6" w:space="0" w:color="auto"/>
              <w:right w:val="nil"/>
            </w:tcBorders>
          </w:tcPr>
          <w:p w14:paraId="1D02472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177" w:type="dxa"/>
            <w:tcBorders>
              <w:top w:val="nil"/>
              <w:left w:val="nil"/>
              <w:bottom w:val="single" w:sz="6" w:space="0" w:color="auto"/>
              <w:right w:val="nil"/>
            </w:tcBorders>
          </w:tcPr>
          <w:p w14:paraId="7B70D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11/7/2011-1/9/2013</w:t>
            </w:r>
          </w:p>
        </w:tc>
        <w:tc>
          <w:tcPr>
            <w:tcW w:w="2177" w:type="dxa"/>
            <w:tcBorders>
              <w:top w:val="nil"/>
              <w:left w:val="nil"/>
              <w:bottom w:val="single" w:sz="6" w:space="0" w:color="auto"/>
              <w:right w:val="nil"/>
            </w:tcBorders>
          </w:tcPr>
          <w:p w14:paraId="329030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1/10/2013-2/3/2015</w:t>
            </w:r>
          </w:p>
        </w:tc>
        <w:tc>
          <w:tcPr>
            <w:tcW w:w="2177" w:type="dxa"/>
            <w:tcBorders>
              <w:top w:val="nil"/>
              <w:left w:val="nil"/>
              <w:bottom w:val="single" w:sz="6" w:space="0" w:color="auto"/>
              <w:right w:val="nil"/>
            </w:tcBorders>
          </w:tcPr>
          <w:p w14:paraId="60A579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2/4/2015-4/28/2017</w:t>
            </w:r>
          </w:p>
        </w:tc>
      </w:tr>
      <w:tr w:rsidR="00276E7F" w:rsidRPr="000A1A85" w14:paraId="24169AD3" w14:textId="77777777" w:rsidTr="000415B4">
        <w:trPr>
          <w:trHeight w:val="279"/>
          <w:jc w:val="center"/>
        </w:trPr>
        <w:tc>
          <w:tcPr>
            <w:tcW w:w="1549" w:type="dxa"/>
            <w:tcBorders>
              <w:top w:val="nil"/>
              <w:left w:val="nil"/>
              <w:bottom w:val="nil"/>
              <w:right w:val="nil"/>
            </w:tcBorders>
          </w:tcPr>
          <w:p w14:paraId="2B4B1B9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7B6DE4C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41EE118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6523A8F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3C1CBB9" w14:textId="77777777" w:rsidTr="000415B4">
        <w:trPr>
          <w:trHeight w:val="265"/>
          <w:jc w:val="center"/>
        </w:trPr>
        <w:tc>
          <w:tcPr>
            <w:tcW w:w="1549" w:type="dxa"/>
            <w:tcBorders>
              <w:top w:val="nil"/>
              <w:left w:val="nil"/>
              <w:bottom w:val="nil"/>
              <w:right w:val="nil"/>
            </w:tcBorders>
          </w:tcPr>
          <w:p w14:paraId="123E4AE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p>
        </w:tc>
        <w:tc>
          <w:tcPr>
            <w:tcW w:w="2177" w:type="dxa"/>
            <w:tcBorders>
              <w:top w:val="nil"/>
              <w:left w:val="nil"/>
              <w:bottom w:val="nil"/>
              <w:right w:val="nil"/>
            </w:tcBorders>
          </w:tcPr>
          <w:p w14:paraId="7ACB2C0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0.461***</w:t>
            </w:r>
          </w:p>
        </w:tc>
        <w:tc>
          <w:tcPr>
            <w:tcW w:w="2177" w:type="dxa"/>
            <w:tcBorders>
              <w:top w:val="nil"/>
              <w:left w:val="nil"/>
              <w:bottom w:val="nil"/>
              <w:right w:val="nil"/>
            </w:tcBorders>
          </w:tcPr>
          <w:p w14:paraId="5F64A1F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0.490***</w:t>
            </w:r>
          </w:p>
        </w:tc>
        <w:tc>
          <w:tcPr>
            <w:tcW w:w="2177" w:type="dxa"/>
            <w:tcBorders>
              <w:top w:val="nil"/>
              <w:left w:val="nil"/>
              <w:bottom w:val="nil"/>
              <w:right w:val="nil"/>
            </w:tcBorders>
          </w:tcPr>
          <w:p w14:paraId="32A58A9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0.500***</w:t>
            </w:r>
          </w:p>
        </w:tc>
      </w:tr>
      <w:tr w:rsidR="00276E7F" w:rsidRPr="000A1A85" w14:paraId="047ED3BC" w14:textId="77777777" w:rsidTr="000415B4">
        <w:trPr>
          <w:trHeight w:val="279"/>
          <w:jc w:val="center"/>
        </w:trPr>
        <w:tc>
          <w:tcPr>
            <w:tcW w:w="1549" w:type="dxa"/>
            <w:tcBorders>
              <w:top w:val="nil"/>
              <w:left w:val="nil"/>
              <w:bottom w:val="nil"/>
              <w:right w:val="nil"/>
            </w:tcBorders>
          </w:tcPr>
          <w:p w14:paraId="0CB13307"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4FF5D9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(0.011)</w:t>
            </w:r>
          </w:p>
        </w:tc>
        <w:tc>
          <w:tcPr>
            <w:tcW w:w="2177" w:type="dxa"/>
            <w:tcBorders>
              <w:top w:val="nil"/>
              <w:left w:val="nil"/>
              <w:bottom w:val="nil"/>
              <w:right w:val="nil"/>
            </w:tcBorders>
          </w:tcPr>
          <w:p w14:paraId="53B595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c>
          <w:tcPr>
            <w:tcW w:w="2177" w:type="dxa"/>
            <w:tcBorders>
              <w:top w:val="nil"/>
              <w:left w:val="nil"/>
              <w:bottom w:val="nil"/>
              <w:right w:val="nil"/>
            </w:tcBorders>
          </w:tcPr>
          <w:p w14:paraId="78378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6E1AAF15" w14:textId="77777777" w:rsidTr="000415B4">
        <w:trPr>
          <w:trHeight w:val="265"/>
          <w:jc w:val="center"/>
        </w:trPr>
        <w:tc>
          <w:tcPr>
            <w:tcW w:w="1549" w:type="dxa"/>
            <w:tcBorders>
              <w:top w:val="nil"/>
              <w:left w:val="nil"/>
              <w:bottom w:val="nil"/>
              <w:right w:val="nil"/>
            </w:tcBorders>
          </w:tcPr>
          <w:p w14:paraId="108D86E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177" w:type="dxa"/>
            <w:tcBorders>
              <w:top w:val="nil"/>
              <w:left w:val="nil"/>
              <w:bottom w:val="nil"/>
              <w:right w:val="nil"/>
            </w:tcBorders>
          </w:tcPr>
          <w:p w14:paraId="207DEB5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0.331***</w:t>
            </w:r>
          </w:p>
        </w:tc>
        <w:tc>
          <w:tcPr>
            <w:tcW w:w="2177" w:type="dxa"/>
            <w:tcBorders>
              <w:top w:val="nil"/>
              <w:left w:val="nil"/>
              <w:bottom w:val="nil"/>
              <w:right w:val="nil"/>
            </w:tcBorders>
          </w:tcPr>
          <w:p w14:paraId="19BA60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0.327***</w:t>
            </w:r>
          </w:p>
        </w:tc>
        <w:tc>
          <w:tcPr>
            <w:tcW w:w="2177" w:type="dxa"/>
            <w:tcBorders>
              <w:top w:val="nil"/>
              <w:left w:val="nil"/>
              <w:bottom w:val="nil"/>
              <w:right w:val="nil"/>
            </w:tcBorders>
          </w:tcPr>
          <w:p w14:paraId="1E062DE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0.319***</w:t>
            </w:r>
          </w:p>
        </w:tc>
      </w:tr>
      <w:tr w:rsidR="00276E7F" w:rsidRPr="000A1A85" w14:paraId="07F84C4F" w14:textId="77777777" w:rsidTr="000415B4">
        <w:trPr>
          <w:trHeight w:val="279"/>
          <w:jc w:val="center"/>
        </w:trPr>
        <w:tc>
          <w:tcPr>
            <w:tcW w:w="1549" w:type="dxa"/>
            <w:tcBorders>
              <w:top w:val="nil"/>
              <w:left w:val="nil"/>
              <w:bottom w:val="nil"/>
              <w:right w:val="nil"/>
            </w:tcBorders>
          </w:tcPr>
          <w:p w14:paraId="10BBA82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A2D91E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1142AF7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4653628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10F5EEAB" w14:textId="77777777" w:rsidTr="000415B4">
        <w:trPr>
          <w:trHeight w:val="265"/>
          <w:jc w:val="center"/>
        </w:trPr>
        <w:tc>
          <w:tcPr>
            <w:tcW w:w="1549" w:type="dxa"/>
            <w:tcBorders>
              <w:top w:val="nil"/>
              <w:left w:val="nil"/>
              <w:bottom w:val="nil"/>
              <w:right w:val="nil"/>
            </w:tcBorders>
          </w:tcPr>
          <w:p w14:paraId="5B94360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JPY</w:t>
            </w:r>
          </w:p>
        </w:tc>
        <w:tc>
          <w:tcPr>
            <w:tcW w:w="2177" w:type="dxa"/>
            <w:tcBorders>
              <w:top w:val="nil"/>
              <w:left w:val="nil"/>
              <w:bottom w:val="nil"/>
              <w:right w:val="nil"/>
            </w:tcBorders>
          </w:tcPr>
          <w:p w14:paraId="5FEAC29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0.098***</w:t>
            </w:r>
          </w:p>
        </w:tc>
        <w:tc>
          <w:tcPr>
            <w:tcW w:w="2177" w:type="dxa"/>
            <w:tcBorders>
              <w:top w:val="nil"/>
              <w:left w:val="nil"/>
              <w:bottom w:val="nil"/>
              <w:right w:val="nil"/>
            </w:tcBorders>
          </w:tcPr>
          <w:p w14:paraId="4C38700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0.073***</w:t>
            </w:r>
          </w:p>
        </w:tc>
        <w:tc>
          <w:tcPr>
            <w:tcW w:w="2177" w:type="dxa"/>
            <w:tcBorders>
              <w:top w:val="nil"/>
              <w:left w:val="nil"/>
              <w:bottom w:val="nil"/>
              <w:right w:val="nil"/>
            </w:tcBorders>
          </w:tcPr>
          <w:p w14:paraId="2C2E8D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0.075***</w:t>
            </w:r>
          </w:p>
        </w:tc>
      </w:tr>
      <w:tr w:rsidR="00276E7F" w:rsidRPr="000A1A85" w14:paraId="58D4056F" w14:textId="77777777" w:rsidTr="000415B4">
        <w:trPr>
          <w:trHeight w:val="279"/>
          <w:jc w:val="center"/>
        </w:trPr>
        <w:tc>
          <w:tcPr>
            <w:tcW w:w="1549" w:type="dxa"/>
            <w:tcBorders>
              <w:top w:val="nil"/>
              <w:left w:val="nil"/>
              <w:bottom w:val="nil"/>
              <w:right w:val="nil"/>
            </w:tcBorders>
          </w:tcPr>
          <w:p w14:paraId="45D1C0D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1ADF736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(0.004)</w:t>
            </w:r>
          </w:p>
        </w:tc>
        <w:tc>
          <w:tcPr>
            <w:tcW w:w="2177" w:type="dxa"/>
            <w:tcBorders>
              <w:top w:val="nil"/>
              <w:left w:val="nil"/>
              <w:bottom w:val="nil"/>
              <w:right w:val="nil"/>
            </w:tcBorders>
          </w:tcPr>
          <w:p w14:paraId="095A65C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c>
          <w:tcPr>
            <w:tcW w:w="2177" w:type="dxa"/>
            <w:tcBorders>
              <w:top w:val="nil"/>
              <w:left w:val="nil"/>
              <w:bottom w:val="nil"/>
              <w:right w:val="nil"/>
            </w:tcBorders>
          </w:tcPr>
          <w:p w14:paraId="6C000B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r>
      <w:tr w:rsidR="00276E7F" w:rsidRPr="000A1A85" w14:paraId="6C60D77F" w14:textId="77777777" w:rsidTr="000415B4">
        <w:trPr>
          <w:trHeight w:val="265"/>
          <w:jc w:val="center"/>
        </w:trPr>
        <w:tc>
          <w:tcPr>
            <w:tcW w:w="1549" w:type="dxa"/>
            <w:tcBorders>
              <w:top w:val="nil"/>
              <w:left w:val="nil"/>
              <w:bottom w:val="nil"/>
              <w:right w:val="nil"/>
            </w:tcBorders>
          </w:tcPr>
          <w:p w14:paraId="58E15FB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177" w:type="dxa"/>
            <w:tcBorders>
              <w:top w:val="nil"/>
              <w:left w:val="nil"/>
              <w:bottom w:val="nil"/>
              <w:right w:val="nil"/>
            </w:tcBorders>
          </w:tcPr>
          <w:p w14:paraId="5922F5D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0.935***</w:t>
            </w:r>
          </w:p>
        </w:tc>
        <w:tc>
          <w:tcPr>
            <w:tcW w:w="2177" w:type="dxa"/>
            <w:tcBorders>
              <w:top w:val="nil"/>
              <w:left w:val="nil"/>
              <w:bottom w:val="nil"/>
              <w:right w:val="nil"/>
            </w:tcBorders>
          </w:tcPr>
          <w:p w14:paraId="2D3EB9B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0.904***</w:t>
            </w:r>
          </w:p>
        </w:tc>
        <w:tc>
          <w:tcPr>
            <w:tcW w:w="2177" w:type="dxa"/>
            <w:tcBorders>
              <w:top w:val="nil"/>
              <w:left w:val="nil"/>
              <w:bottom w:val="nil"/>
              <w:right w:val="nil"/>
            </w:tcBorders>
          </w:tcPr>
          <w:p w14:paraId="5A683F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0.931***</w:t>
            </w:r>
          </w:p>
        </w:tc>
      </w:tr>
      <w:tr w:rsidR="00276E7F" w:rsidRPr="000A1A85" w14:paraId="27C6A87E" w14:textId="77777777" w:rsidTr="000415B4">
        <w:trPr>
          <w:trHeight w:val="279"/>
          <w:jc w:val="center"/>
        </w:trPr>
        <w:tc>
          <w:tcPr>
            <w:tcW w:w="1549" w:type="dxa"/>
            <w:tcBorders>
              <w:top w:val="nil"/>
              <w:left w:val="nil"/>
              <w:bottom w:val="nil"/>
              <w:right w:val="nil"/>
            </w:tcBorders>
          </w:tcPr>
          <w:p w14:paraId="5A380DA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3371D7C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(0.016)</w:t>
            </w:r>
          </w:p>
        </w:tc>
        <w:tc>
          <w:tcPr>
            <w:tcW w:w="2177" w:type="dxa"/>
            <w:tcBorders>
              <w:top w:val="nil"/>
              <w:left w:val="nil"/>
              <w:bottom w:val="nil"/>
              <w:right w:val="nil"/>
            </w:tcBorders>
          </w:tcPr>
          <w:p w14:paraId="3170BC8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177" w:type="dxa"/>
            <w:tcBorders>
              <w:top w:val="nil"/>
              <w:left w:val="nil"/>
              <w:bottom w:val="nil"/>
              <w:right w:val="nil"/>
            </w:tcBorders>
          </w:tcPr>
          <w:p w14:paraId="4CFD2D7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(0.010)</w:t>
            </w:r>
          </w:p>
        </w:tc>
      </w:tr>
      <w:tr w:rsidR="00276E7F" w:rsidRPr="000A1A85" w14:paraId="2B18345C" w14:textId="77777777" w:rsidTr="000415B4">
        <w:trPr>
          <w:trHeight w:val="265"/>
          <w:jc w:val="center"/>
        </w:trPr>
        <w:tc>
          <w:tcPr>
            <w:tcW w:w="1549" w:type="dxa"/>
            <w:tcBorders>
              <w:top w:val="nil"/>
              <w:left w:val="nil"/>
              <w:bottom w:val="nil"/>
              <w:right w:val="nil"/>
            </w:tcBorders>
          </w:tcPr>
          <w:p w14:paraId="0B3AB75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177" w:type="dxa"/>
            <w:tcBorders>
              <w:top w:val="nil"/>
              <w:left w:val="nil"/>
              <w:bottom w:val="nil"/>
              <w:right w:val="nil"/>
            </w:tcBorders>
          </w:tcPr>
          <w:p w14:paraId="6697C4E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676A3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0A9546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E45E9BD" w14:textId="77777777" w:rsidTr="000415B4">
        <w:trPr>
          <w:trHeight w:val="279"/>
          <w:jc w:val="center"/>
        </w:trPr>
        <w:tc>
          <w:tcPr>
            <w:tcW w:w="1549" w:type="dxa"/>
            <w:tcBorders>
              <w:top w:val="nil"/>
              <w:left w:val="nil"/>
              <w:bottom w:val="nil"/>
              <w:right w:val="nil"/>
            </w:tcBorders>
          </w:tcPr>
          <w:p w14:paraId="5A9D7CC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66C879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33DB4EC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F6A5B8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0CE72D35" w14:textId="77777777" w:rsidTr="000415B4">
        <w:trPr>
          <w:trHeight w:val="265"/>
          <w:jc w:val="center"/>
        </w:trPr>
        <w:tc>
          <w:tcPr>
            <w:tcW w:w="1549" w:type="dxa"/>
            <w:tcBorders>
              <w:top w:val="nil"/>
              <w:left w:val="nil"/>
              <w:bottom w:val="nil"/>
              <w:right w:val="nil"/>
            </w:tcBorders>
          </w:tcPr>
          <w:p w14:paraId="4B24CB3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5D9478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3CDCB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9070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7DD8852" w14:textId="77777777" w:rsidTr="000415B4">
        <w:trPr>
          <w:trHeight w:val="279"/>
          <w:jc w:val="center"/>
        </w:trPr>
        <w:tc>
          <w:tcPr>
            <w:tcW w:w="1549" w:type="dxa"/>
            <w:tcBorders>
              <w:top w:val="nil"/>
              <w:left w:val="nil"/>
              <w:bottom w:val="nil"/>
              <w:right w:val="nil"/>
            </w:tcBorders>
          </w:tcPr>
          <w:p w14:paraId="1BBDF45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177" w:type="dxa"/>
            <w:tcBorders>
              <w:top w:val="nil"/>
              <w:left w:val="nil"/>
              <w:bottom w:val="nil"/>
              <w:right w:val="nil"/>
            </w:tcBorders>
          </w:tcPr>
          <w:p w14:paraId="615470C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294</w:t>
            </w:r>
          </w:p>
        </w:tc>
        <w:tc>
          <w:tcPr>
            <w:tcW w:w="2177" w:type="dxa"/>
            <w:tcBorders>
              <w:top w:val="nil"/>
              <w:left w:val="nil"/>
              <w:bottom w:val="nil"/>
              <w:right w:val="nil"/>
            </w:tcBorders>
          </w:tcPr>
          <w:p w14:paraId="7F771F5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517</w:t>
            </w:r>
          </w:p>
        </w:tc>
        <w:tc>
          <w:tcPr>
            <w:tcW w:w="2177" w:type="dxa"/>
            <w:tcBorders>
              <w:top w:val="nil"/>
              <w:left w:val="nil"/>
              <w:bottom w:val="nil"/>
              <w:right w:val="nil"/>
            </w:tcBorders>
          </w:tcPr>
          <w:p w14:paraId="17FB1E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559</w:t>
            </w:r>
          </w:p>
        </w:tc>
      </w:tr>
      <w:tr w:rsidR="00276E7F" w:rsidRPr="000A1A85" w14:paraId="24E6AC8B" w14:textId="77777777" w:rsidTr="000415B4">
        <w:trPr>
          <w:trHeight w:val="279"/>
          <w:jc w:val="center"/>
        </w:trPr>
        <w:tc>
          <w:tcPr>
            <w:tcW w:w="1549" w:type="dxa"/>
            <w:tcBorders>
              <w:top w:val="nil"/>
              <w:left w:val="nil"/>
              <w:bottom w:val="nil"/>
              <w:right w:val="nil"/>
            </w:tcBorders>
          </w:tcPr>
          <w:p w14:paraId="28C363B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77" w:type="dxa"/>
            <w:tcBorders>
              <w:top w:val="nil"/>
              <w:left w:val="nil"/>
              <w:bottom w:val="nil"/>
              <w:right w:val="nil"/>
            </w:tcBorders>
          </w:tcPr>
          <w:p w14:paraId="6AD456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177" w:type="dxa"/>
            <w:tcBorders>
              <w:top w:val="nil"/>
              <w:left w:val="nil"/>
              <w:bottom w:val="nil"/>
              <w:right w:val="nil"/>
            </w:tcBorders>
          </w:tcPr>
          <w:p w14:paraId="6EF793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c>
          <w:tcPr>
            <w:tcW w:w="2177" w:type="dxa"/>
            <w:tcBorders>
              <w:top w:val="nil"/>
              <w:left w:val="nil"/>
              <w:bottom w:val="nil"/>
              <w:right w:val="nil"/>
            </w:tcBorders>
          </w:tcPr>
          <w:p w14:paraId="2AE4C1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0.997</w:t>
            </w:r>
          </w:p>
        </w:tc>
      </w:tr>
      <w:tr w:rsidR="00276E7F" w:rsidRPr="000A1A85" w14:paraId="61F1A3CD" w14:textId="77777777" w:rsidTr="000415B4">
        <w:tblPrEx>
          <w:tblBorders>
            <w:bottom w:val="single" w:sz="6" w:space="0" w:color="auto"/>
          </w:tblBorders>
        </w:tblPrEx>
        <w:trPr>
          <w:trHeight w:val="265"/>
          <w:jc w:val="center"/>
        </w:trPr>
        <w:tc>
          <w:tcPr>
            <w:tcW w:w="1549" w:type="dxa"/>
            <w:tcBorders>
              <w:top w:val="nil"/>
              <w:left w:val="nil"/>
              <w:bottom w:val="single" w:sz="6" w:space="0" w:color="auto"/>
              <w:right w:val="nil"/>
            </w:tcBorders>
          </w:tcPr>
          <w:p w14:paraId="407607CB"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77" w:type="dxa"/>
            <w:tcBorders>
              <w:top w:val="nil"/>
              <w:left w:val="nil"/>
              <w:bottom w:val="single" w:sz="6" w:space="0" w:color="auto"/>
              <w:right w:val="nil"/>
            </w:tcBorders>
          </w:tcPr>
          <w:p w14:paraId="0B15D28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0.110</w:t>
            </w:r>
          </w:p>
        </w:tc>
        <w:tc>
          <w:tcPr>
            <w:tcW w:w="2177" w:type="dxa"/>
            <w:tcBorders>
              <w:top w:val="nil"/>
              <w:left w:val="nil"/>
              <w:bottom w:val="single" w:sz="6" w:space="0" w:color="auto"/>
              <w:right w:val="nil"/>
            </w:tcBorders>
          </w:tcPr>
          <w:p w14:paraId="5F3A98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0.109</w:t>
            </w:r>
          </w:p>
        </w:tc>
        <w:tc>
          <w:tcPr>
            <w:tcW w:w="2177" w:type="dxa"/>
            <w:tcBorders>
              <w:top w:val="nil"/>
              <w:left w:val="nil"/>
              <w:bottom w:val="single" w:sz="6" w:space="0" w:color="auto"/>
              <w:right w:val="nil"/>
            </w:tcBorders>
          </w:tcPr>
          <w:p w14:paraId="6604D1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0.106</w:t>
            </w:r>
          </w:p>
        </w:tc>
      </w:tr>
    </w:tbl>
    <w:p w14:paraId="0E25D2C2"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5C130370"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CABBED2" w14:textId="7F1D450E" w:rsidR="001449A6" w:rsidRPr="006F7AA5" w:rsidRDefault="001449A6"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6077CAE9"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6EB023B5" w14:textId="5144CFE3" w:rsidR="00276E7F" w:rsidRPr="00F16FB7" w:rsidRDefault="00276E7F" w:rsidP="00276E7F">
      <w:pPr>
        <w:jc w:val="center"/>
        <w:rPr>
          <w:rFonts w:cs="Times New Roman"/>
          <w:sz w:val="24"/>
          <w:szCs w:val="24"/>
        </w:rPr>
      </w:pPr>
      <w:r w:rsidRPr="006F7AA5">
        <w:rPr>
          <w:rFonts w:cs="Times New Roman"/>
          <w:sz w:val="24"/>
          <w:szCs w:val="24"/>
        </w:rPr>
        <w:br w:type="page"/>
      </w:r>
      <w:r>
        <w:rPr>
          <w:rFonts w:cs="Times New Roman"/>
          <w:sz w:val="24"/>
          <w:szCs w:val="24"/>
        </w:rPr>
        <w:lastRenderedPageBreak/>
        <w:t>2.2 India</w:t>
      </w:r>
      <w:r w:rsidRPr="00F16FB7">
        <w:rPr>
          <w:rFonts w:cs="Times New Roman"/>
          <w:sz w:val="24"/>
          <w:szCs w:val="24"/>
        </w:rPr>
        <w:t>: Identifying Break Points in India's Exchange Rate Regime</w:t>
      </w:r>
    </w:p>
    <w:p w14:paraId="7656D980" w14:textId="0B961CF8" w:rsidR="00276E7F" w:rsidRPr="002E0FD0" w:rsidRDefault="001449A6" w:rsidP="00276E7F">
      <w:pPr>
        <w:widowControl w:val="0"/>
        <w:autoSpaceDE w:val="0"/>
        <w:autoSpaceDN w:val="0"/>
        <w:adjustRightInd w:val="0"/>
        <w:spacing w:after="0" w:line="240" w:lineRule="auto"/>
        <w:jc w:val="center"/>
        <w:rPr>
          <w:rFonts w:cstheme="minorHAnsi"/>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 xml:space="preserve">-M2:2017 </w:t>
      </w:r>
    </w:p>
    <w:tbl>
      <w:tblPr>
        <w:tblW w:w="10083" w:type="dxa"/>
        <w:jc w:val="center"/>
        <w:tblLayout w:type="fixed"/>
        <w:tblCellMar>
          <w:left w:w="75" w:type="dxa"/>
          <w:right w:w="75" w:type="dxa"/>
        </w:tblCellMar>
        <w:tblLook w:val="0000" w:firstRow="0" w:lastRow="0" w:firstColumn="0" w:lastColumn="0" w:noHBand="0" w:noVBand="0"/>
      </w:tblPr>
      <w:tblGrid>
        <w:gridCol w:w="1523"/>
        <w:gridCol w:w="2027"/>
        <w:gridCol w:w="2253"/>
        <w:gridCol w:w="2140"/>
        <w:gridCol w:w="2140"/>
      </w:tblGrid>
      <w:tr w:rsidR="00276E7F" w:rsidRPr="002E0FD0" w14:paraId="5D5305E6" w14:textId="77777777" w:rsidTr="000415B4">
        <w:trPr>
          <w:trHeight w:val="273"/>
          <w:jc w:val="center"/>
        </w:trPr>
        <w:tc>
          <w:tcPr>
            <w:tcW w:w="1523" w:type="dxa"/>
            <w:tcBorders>
              <w:top w:val="single" w:sz="6" w:space="0" w:color="auto"/>
              <w:left w:val="nil"/>
              <w:bottom w:val="nil"/>
              <w:right w:val="nil"/>
            </w:tcBorders>
          </w:tcPr>
          <w:p w14:paraId="7CE3025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single" w:sz="6" w:space="0" w:color="auto"/>
              <w:left w:val="nil"/>
              <w:bottom w:val="nil"/>
              <w:right w:val="nil"/>
            </w:tcBorders>
          </w:tcPr>
          <w:p w14:paraId="2BDE247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w:t>
            </w:r>
          </w:p>
        </w:tc>
        <w:tc>
          <w:tcPr>
            <w:tcW w:w="2253" w:type="dxa"/>
            <w:tcBorders>
              <w:top w:val="single" w:sz="6" w:space="0" w:color="auto"/>
              <w:left w:val="nil"/>
              <w:bottom w:val="nil"/>
              <w:right w:val="nil"/>
            </w:tcBorders>
          </w:tcPr>
          <w:p w14:paraId="0429C71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w:t>
            </w:r>
          </w:p>
        </w:tc>
        <w:tc>
          <w:tcPr>
            <w:tcW w:w="2140" w:type="dxa"/>
            <w:tcBorders>
              <w:top w:val="single" w:sz="6" w:space="0" w:color="auto"/>
              <w:left w:val="nil"/>
              <w:bottom w:val="nil"/>
              <w:right w:val="nil"/>
            </w:tcBorders>
          </w:tcPr>
          <w:p w14:paraId="51C8943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(3)</w:t>
            </w:r>
          </w:p>
        </w:tc>
        <w:tc>
          <w:tcPr>
            <w:tcW w:w="2140" w:type="dxa"/>
            <w:tcBorders>
              <w:top w:val="single" w:sz="6" w:space="0" w:color="auto"/>
              <w:left w:val="nil"/>
              <w:bottom w:val="nil"/>
              <w:right w:val="nil"/>
            </w:tcBorders>
          </w:tcPr>
          <w:p w14:paraId="16EB56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w:t>
            </w:r>
          </w:p>
        </w:tc>
      </w:tr>
      <w:tr w:rsidR="00276E7F" w:rsidRPr="002E0FD0" w14:paraId="43F86623" w14:textId="77777777" w:rsidTr="000415B4">
        <w:trPr>
          <w:trHeight w:val="288"/>
          <w:jc w:val="center"/>
        </w:trPr>
        <w:tc>
          <w:tcPr>
            <w:tcW w:w="1523" w:type="dxa"/>
            <w:tcBorders>
              <w:top w:val="nil"/>
              <w:left w:val="nil"/>
              <w:bottom w:val="single" w:sz="6" w:space="0" w:color="auto"/>
              <w:right w:val="nil"/>
            </w:tcBorders>
          </w:tcPr>
          <w:p w14:paraId="55163C5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027" w:type="dxa"/>
            <w:tcBorders>
              <w:top w:val="nil"/>
              <w:left w:val="nil"/>
              <w:bottom w:val="single" w:sz="6" w:space="0" w:color="auto"/>
              <w:right w:val="nil"/>
            </w:tcBorders>
          </w:tcPr>
          <w:p w14:paraId="5114E19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8/2/2005-9/4/2007</w:t>
            </w:r>
          </w:p>
        </w:tc>
        <w:tc>
          <w:tcPr>
            <w:tcW w:w="2253" w:type="dxa"/>
            <w:tcBorders>
              <w:top w:val="nil"/>
              <w:left w:val="nil"/>
              <w:bottom w:val="single" w:sz="6" w:space="0" w:color="auto"/>
              <w:right w:val="nil"/>
            </w:tcBorders>
          </w:tcPr>
          <w:p w14:paraId="29203D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9/5/2007-10/31/2008</w:t>
            </w:r>
          </w:p>
        </w:tc>
        <w:tc>
          <w:tcPr>
            <w:tcW w:w="2140" w:type="dxa"/>
            <w:tcBorders>
              <w:top w:val="nil"/>
              <w:left w:val="nil"/>
              <w:bottom w:val="single" w:sz="6" w:space="0" w:color="auto"/>
              <w:right w:val="nil"/>
            </w:tcBorders>
          </w:tcPr>
          <w:p w14:paraId="54DE35B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11/3/2008-8/5/2011</w:t>
            </w:r>
          </w:p>
        </w:tc>
        <w:tc>
          <w:tcPr>
            <w:tcW w:w="2140" w:type="dxa"/>
            <w:tcBorders>
              <w:top w:val="nil"/>
              <w:left w:val="nil"/>
              <w:bottom w:val="single" w:sz="6" w:space="0" w:color="auto"/>
              <w:right w:val="nil"/>
            </w:tcBorders>
          </w:tcPr>
          <w:p w14:paraId="6BC01B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8/8/2011-10/1/2013</w:t>
            </w:r>
          </w:p>
        </w:tc>
      </w:tr>
      <w:tr w:rsidR="00276E7F" w:rsidRPr="002E0FD0" w14:paraId="1E4AAA5D" w14:textId="77777777" w:rsidTr="000415B4">
        <w:trPr>
          <w:trHeight w:val="273"/>
          <w:jc w:val="center"/>
        </w:trPr>
        <w:tc>
          <w:tcPr>
            <w:tcW w:w="1523" w:type="dxa"/>
            <w:tcBorders>
              <w:top w:val="nil"/>
              <w:left w:val="nil"/>
              <w:bottom w:val="nil"/>
              <w:right w:val="nil"/>
            </w:tcBorders>
          </w:tcPr>
          <w:p w14:paraId="67B5827E" w14:textId="7DA775F0"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r w:rsidR="00A608F2">
              <w:rPr>
                <w:rFonts w:cstheme="minorHAnsi"/>
                <w:sz w:val="24"/>
                <w:szCs w:val="24"/>
              </w:rPr>
              <w:t xml:space="preserve"> </w:t>
            </w:r>
            <w:r w:rsidRPr="002E0FD0">
              <w:rPr>
                <w:rFonts w:cstheme="minorHAnsi"/>
                <w:sz w:val="24"/>
                <w:szCs w:val="24"/>
              </w:rPr>
              <w:t>$</w:t>
            </w:r>
          </w:p>
        </w:tc>
        <w:tc>
          <w:tcPr>
            <w:tcW w:w="2027" w:type="dxa"/>
            <w:tcBorders>
              <w:top w:val="nil"/>
              <w:left w:val="nil"/>
              <w:bottom w:val="nil"/>
              <w:right w:val="nil"/>
            </w:tcBorders>
          </w:tcPr>
          <w:p w14:paraId="395C05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0.450***</w:t>
            </w:r>
          </w:p>
        </w:tc>
        <w:tc>
          <w:tcPr>
            <w:tcW w:w="2253" w:type="dxa"/>
            <w:tcBorders>
              <w:top w:val="nil"/>
              <w:left w:val="nil"/>
              <w:bottom w:val="nil"/>
              <w:right w:val="nil"/>
            </w:tcBorders>
          </w:tcPr>
          <w:p w14:paraId="1A45FE8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0.673***</w:t>
            </w:r>
          </w:p>
        </w:tc>
        <w:tc>
          <w:tcPr>
            <w:tcW w:w="2140" w:type="dxa"/>
            <w:tcBorders>
              <w:top w:val="nil"/>
              <w:left w:val="nil"/>
              <w:bottom w:val="nil"/>
              <w:right w:val="nil"/>
            </w:tcBorders>
          </w:tcPr>
          <w:p w14:paraId="0A432B3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0.456***</w:t>
            </w:r>
          </w:p>
        </w:tc>
        <w:tc>
          <w:tcPr>
            <w:tcW w:w="2140" w:type="dxa"/>
            <w:tcBorders>
              <w:top w:val="nil"/>
              <w:left w:val="nil"/>
              <w:bottom w:val="nil"/>
              <w:right w:val="nil"/>
            </w:tcBorders>
          </w:tcPr>
          <w:p w14:paraId="4DDC7A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0.436***</w:t>
            </w:r>
          </w:p>
        </w:tc>
      </w:tr>
      <w:tr w:rsidR="00276E7F" w:rsidRPr="002E0FD0" w14:paraId="65D8F277" w14:textId="77777777" w:rsidTr="000415B4">
        <w:trPr>
          <w:trHeight w:val="288"/>
          <w:jc w:val="center"/>
        </w:trPr>
        <w:tc>
          <w:tcPr>
            <w:tcW w:w="1523" w:type="dxa"/>
            <w:tcBorders>
              <w:top w:val="nil"/>
              <w:left w:val="nil"/>
              <w:bottom w:val="nil"/>
              <w:right w:val="nil"/>
            </w:tcBorders>
          </w:tcPr>
          <w:p w14:paraId="317685B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2AF4350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5A2A02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(0.097)</w:t>
            </w:r>
          </w:p>
        </w:tc>
        <w:tc>
          <w:tcPr>
            <w:tcW w:w="2140" w:type="dxa"/>
            <w:tcBorders>
              <w:top w:val="nil"/>
              <w:left w:val="nil"/>
              <w:bottom w:val="nil"/>
              <w:right w:val="nil"/>
            </w:tcBorders>
          </w:tcPr>
          <w:p w14:paraId="7AE635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6CA736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44B07923" w14:textId="77777777" w:rsidTr="000415B4">
        <w:trPr>
          <w:trHeight w:val="273"/>
          <w:jc w:val="center"/>
        </w:trPr>
        <w:tc>
          <w:tcPr>
            <w:tcW w:w="1523" w:type="dxa"/>
            <w:tcBorders>
              <w:top w:val="nil"/>
              <w:left w:val="nil"/>
              <w:bottom w:val="nil"/>
              <w:right w:val="nil"/>
            </w:tcBorders>
          </w:tcPr>
          <w:p w14:paraId="4EDAA88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027" w:type="dxa"/>
            <w:tcBorders>
              <w:top w:val="nil"/>
              <w:left w:val="nil"/>
              <w:bottom w:val="nil"/>
              <w:right w:val="nil"/>
            </w:tcBorders>
          </w:tcPr>
          <w:p w14:paraId="357F3E9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0.298***</w:t>
            </w:r>
          </w:p>
        </w:tc>
        <w:tc>
          <w:tcPr>
            <w:tcW w:w="2253" w:type="dxa"/>
            <w:tcBorders>
              <w:top w:val="nil"/>
              <w:left w:val="nil"/>
              <w:bottom w:val="nil"/>
              <w:right w:val="nil"/>
            </w:tcBorders>
          </w:tcPr>
          <w:p w14:paraId="6D903B7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0.217***</w:t>
            </w:r>
          </w:p>
        </w:tc>
        <w:tc>
          <w:tcPr>
            <w:tcW w:w="2140" w:type="dxa"/>
            <w:tcBorders>
              <w:top w:val="nil"/>
              <w:left w:val="nil"/>
              <w:bottom w:val="nil"/>
              <w:right w:val="nil"/>
            </w:tcBorders>
          </w:tcPr>
          <w:p w14:paraId="5146D2B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0.357***</w:t>
            </w:r>
          </w:p>
        </w:tc>
        <w:tc>
          <w:tcPr>
            <w:tcW w:w="2140" w:type="dxa"/>
            <w:tcBorders>
              <w:top w:val="nil"/>
              <w:left w:val="nil"/>
              <w:bottom w:val="nil"/>
              <w:right w:val="nil"/>
            </w:tcBorders>
          </w:tcPr>
          <w:p w14:paraId="250ED2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0.361***</w:t>
            </w:r>
          </w:p>
        </w:tc>
      </w:tr>
      <w:tr w:rsidR="00276E7F" w:rsidRPr="002E0FD0" w14:paraId="5FCC7227" w14:textId="77777777" w:rsidTr="000415B4">
        <w:trPr>
          <w:trHeight w:val="273"/>
          <w:jc w:val="center"/>
        </w:trPr>
        <w:tc>
          <w:tcPr>
            <w:tcW w:w="1523" w:type="dxa"/>
            <w:tcBorders>
              <w:top w:val="nil"/>
              <w:left w:val="nil"/>
              <w:bottom w:val="nil"/>
              <w:right w:val="nil"/>
            </w:tcBorders>
          </w:tcPr>
          <w:p w14:paraId="41240E9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F51107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(0.026)</w:t>
            </w:r>
          </w:p>
        </w:tc>
        <w:tc>
          <w:tcPr>
            <w:tcW w:w="2253" w:type="dxa"/>
            <w:tcBorders>
              <w:top w:val="nil"/>
              <w:left w:val="nil"/>
              <w:bottom w:val="nil"/>
              <w:right w:val="nil"/>
            </w:tcBorders>
          </w:tcPr>
          <w:p w14:paraId="03F0D1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(0.039)</w:t>
            </w:r>
          </w:p>
        </w:tc>
        <w:tc>
          <w:tcPr>
            <w:tcW w:w="2140" w:type="dxa"/>
            <w:tcBorders>
              <w:top w:val="nil"/>
              <w:left w:val="nil"/>
              <w:bottom w:val="nil"/>
              <w:right w:val="nil"/>
            </w:tcBorders>
          </w:tcPr>
          <w:p w14:paraId="48AED23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c>
          <w:tcPr>
            <w:tcW w:w="2140" w:type="dxa"/>
            <w:tcBorders>
              <w:top w:val="nil"/>
              <w:left w:val="nil"/>
              <w:bottom w:val="nil"/>
              <w:right w:val="nil"/>
            </w:tcBorders>
          </w:tcPr>
          <w:p w14:paraId="75C348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(0.005)</w:t>
            </w:r>
          </w:p>
        </w:tc>
      </w:tr>
      <w:tr w:rsidR="00276E7F" w:rsidRPr="002E0FD0" w14:paraId="58F9CF35" w14:textId="77777777" w:rsidTr="000415B4">
        <w:trPr>
          <w:trHeight w:val="288"/>
          <w:jc w:val="center"/>
        </w:trPr>
        <w:tc>
          <w:tcPr>
            <w:tcW w:w="1523" w:type="dxa"/>
            <w:tcBorders>
              <w:top w:val="nil"/>
              <w:left w:val="nil"/>
              <w:bottom w:val="nil"/>
              <w:right w:val="nil"/>
            </w:tcBorders>
          </w:tcPr>
          <w:p w14:paraId="41443D47" w14:textId="49DE1E25" w:rsidR="00276E7F" w:rsidRPr="002E0FD0" w:rsidRDefault="00A608F2" w:rsidP="000415B4">
            <w:pPr>
              <w:widowControl w:val="0"/>
              <w:autoSpaceDE w:val="0"/>
              <w:autoSpaceDN w:val="0"/>
              <w:adjustRightInd w:val="0"/>
              <w:spacing w:after="0" w:line="240" w:lineRule="auto"/>
              <w:rPr>
                <w:rFonts w:cstheme="minorHAnsi"/>
                <w:sz w:val="24"/>
                <w:szCs w:val="24"/>
              </w:rPr>
            </w:pPr>
            <w:r>
              <w:rPr>
                <w:rFonts w:cstheme="minorHAnsi"/>
                <w:sz w:val="24"/>
                <w:szCs w:val="24"/>
              </w:rPr>
              <w:t xml:space="preserve">Jpn </w:t>
            </w:r>
            <w:r w:rsidR="00276E7F" w:rsidRPr="002E0FD0">
              <w:rPr>
                <w:rFonts w:cstheme="minorHAnsi"/>
                <w:sz w:val="24"/>
                <w:szCs w:val="24"/>
              </w:rPr>
              <w:t>Y</w:t>
            </w:r>
          </w:p>
        </w:tc>
        <w:tc>
          <w:tcPr>
            <w:tcW w:w="2027" w:type="dxa"/>
            <w:tcBorders>
              <w:top w:val="nil"/>
              <w:left w:val="nil"/>
              <w:bottom w:val="nil"/>
              <w:right w:val="nil"/>
            </w:tcBorders>
          </w:tcPr>
          <w:p w14:paraId="71EF90F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53" w:type="dxa"/>
            <w:tcBorders>
              <w:top w:val="nil"/>
              <w:left w:val="nil"/>
              <w:bottom w:val="nil"/>
              <w:right w:val="nil"/>
            </w:tcBorders>
          </w:tcPr>
          <w:p w14:paraId="0E99ABE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0.030</w:t>
            </w:r>
          </w:p>
        </w:tc>
        <w:tc>
          <w:tcPr>
            <w:tcW w:w="2140" w:type="dxa"/>
            <w:tcBorders>
              <w:top w:val="nil"/>
              <w:left w:val="nil"/>
              <w:bottom w:val="nil"/>
              <w:right w:val="nil"/>
            </w:tcBorders>
          </w:tcPr>
          <w:p w14:paraId="386471B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0.116***</w:t>
            </w:r>
          </w:p>
        </w:tc>
        <w:tc>
          <w:tcPr>
            <w:tcW w:w="2140" w:type="dxa"/>
            <w:tcBorders>
              <w:top w:val="nil"/>
              <w:left w:val="nil"/>
              <w:bottom w:val="nil"/>
              <w:right w:val="nil"/>
            </w:tcBorders>
          </w:tcPr>
          <w:p w14:paraId="006C620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0.095***</w:t>
            </w:r>
          </w:p>
        </w:tc>
      </w:tr>
      <w:tr w:rsidR="00276E7F" w:rsidRPr="002E0FD0" w14:paraId="5D446810" w14:textId="77777777" w:rsidTr="000415B4">
        <w:trPr>
          <w:trHeight w:val="273"/>
          <w:jc w:val="center"/>
        </w:trPr>
        <w:tc>
          <w:tcPr>
            <w:tcW w:w="1523" w:type="dxa"/>
            <w:tcBorders>
              <w:top w:val="nil"/>
              <w:left w:val="nil"/>
              <w:bottom w:val="nil"/>
              <w:right w:val="nil"/>
            </w:tcBorders>
          </w:tcPr>
          <w:p w14:paraId="028EF93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41FBE4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253" w:type="dxa"/>
            <w:tcBorders>
              <w:top w:val="nil"/>
              <w:left w:val="nil"/>
              <w:bottom w:val="nil"/>
              <w:right w:val="nil"/>
            </w:tcBorders>
          </w:tcPr>
          <w:p w14:paraId="7770AF0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c>
          <w:tcPr>
            <w:tcW w:w="2140" w:type="dxa"/>
            <w:tcBorders>
              <w:top w:val="nil"/>
              <w:left w:val="nil"/>
              <w:bottom w:val="nil"/>
              <w:right w:val="nil"/>
            </w:tcBorders>
          </w:tcPr>
          <w:p w14:paraId="38F7F52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c>
          <w:tcPr>
            <w:tcW w:w="2140" w:type="dxa"/>
            <w:tcBorders>
              <w:top w:val="nil"/>
              <w:left w:val="nil"/>
              <w:bottom w:val="nil"/>
              <w:right w:val="nil"/>
            </w:tcBorders>
          </w:tcPr>
          <w:p w14:paraId="1B8520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23BB21BD" w14:textId="77777777" w:rsidTr="000415B4">
        <w:trPr>
          <w:trHeight w:val="288"/>
          <w:jc w:val="center"/>
        </w:trPr>
        <w:tc>
          <w:tcPr>
            <w:tcW w:w="1523" w:type="dxa"/>
            <w:tcBorders>
              <w:top w:val="nil"/>
              <w:left w:val="nil"/>
              <w:bottom w:val="nil"/>
              <w:right w:val="nil"/>
            </w:tcBorders>
          </w:tcPr>
          <w:p w14:paraId="24592361" w14:textId="45B21D30"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 xml:space="preserve">n </w:t>
            </w:r>
            <w:r w:rsidRPr="002E0FD0">
              <w:rPr>
                <w:rFonts w:cstheme="minorHAnsi"/>
                <w:sz w:val="24"/>
                <w:szCs w:val="24"/>
              </w:rPr>
              <w:t>Y</w:t>
            </w:r>
          </w:p>
        </w:tc>
        <w:tc>
          <w:tcPr>
            <w:tcW w:w="2027" w:type="dxa"/>
            <w:tcBorders>
              <w:top w:val="nil"/>
              <w:left w:val="nil"/>
              <w:bottom w:val="nil"/>
              <w:right w:val="nil"/>
            </w:tcBorders>
          </w:tcPr>
          <w:p w14:paraId="0AAEF3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4BFE58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140" w:type="dxa"/>
            <w:tcBorders>
              <w:top w:val="nil"/>
              <w:left w:val="nil"/>
              <w:bottom w:val="nil"/>
              <w:right w:val="nil"/>
            </w:tcBorders>
          </w:tcPr>
          <w:p w14:paraId="00D5C4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-0.006</w:t>
            </w:r>
          </w:p>
        </w:tc>
        <w:tc>
          <w:tcPr>
            <w:tcW w:w="2140" w:type="dxa"/>
            <w:tcBorders>
              <w:top w:val="nil"/>
              <w:left w:val="nil"/>
              <w:bottom w:val="nil"/>
              <w:right w:val="nil"/>
            </w:tcBorders>
          </w:tcPr>
          <w:p w14:paraId="23EF05B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1D943AC3" w14:textId="77777777" w:rsidTr="000415B4">
        <w:trPr>
          <w:trHeight w:val="273"/>
          <w:jc w:val="center"/>
        </w:trPr>
        <w:tc>
          <w:tcPr>
            <w:tcW w:w="1523" w:type="dxa"/>
            <w:tcBorders>
              <w:top w:val="nil"/>
              <w:left w:val="nil"/>
              <w:bottom w:val="nil"/>
              <w:right w:val="nil"/>
            </w:tcBorders>
          </w:tcPr>
          <w:p w14:paraId="5D0A0FF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6614213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253" w:type="dxa"/>
            <w:tcBorders>
              <w:top w:val="nil"/>
              <w:left w:val="nil"/>
              <w:bottom w:val="nil"/>
              <w:right w:val="nil"/>
            </w:tcBorders>
          </w:tcPr>
          <w:p w14:paraId="2D4ACA9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(0.092)</w:t>
            </w:r>
          </w:p>
        </w:tc>
        <w:tc>
          <w:tcPr>
            <w:tcW w:w="2140" w:type="dxa"/>
            <w:tcBorders>
              <w:top w:val="nil"/>
              <w:left w:val="nil"/>
              <w:bottom w:val="nil"/>
              <w:right w:val="nil"/>
            </w:tcBorders>
          </w:tcPr>
          <w:p w14:paraId="2949EE2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1441061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54CDA415" w14:textId="77777777" w:rsidTr="000415B4">
        <w:trPr>
          <w:trHeight w:val="273"/>
          <w:jc w:val="center"/>
        </w:trPr>
        <w:tc>
          <w:tcPr>
            <w:tcW w:w="1523" w:type="dxa"/>
            <w:tcBorders>
              <w:top w:val="nil"/>
              <w:left w:val="nil"/>
              <w:bottom w:val="nil"/>
              <w:right w:val="nil"/>
            </w:tcBorders>
          </w:tcPr>
          <w:p w14:paraId="5A9F1578"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027" w:type="dxa"/>
            <w:tcBorders>
              <w:top w:val="nil"/>
              <w:left w:val="nil"/>
              <w:bottom w:val="nil"/>
              <w:right w:val="nil"/>
            </w:tcBorders>
          </w:tcPr>
          <w:p w14:paraId="2407732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0.768***</w:t>
            </w:r>
          </w:p>
        </w:tc>
        <w:tc>
          <w:tcPr>
            <w:tcW w:w="2253" w:type="dxa"/>
            <w:tcBorders>
              <w:top w:val="nil"/>
              <w:left w:val="nil"/>
              <w:bottom w:val="nil"/>
              <w:right w:val="nil"/>
            </w:tcBorders>
          </w:tcPr>
          <w:p w14:paraId="4CD8D7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0.639***</w:t>
            </w:r>
          </w:p>
        </w:tc>
        <w:tc>
          <w:tcPr>
            <w:tcW w:w="2140" w:type="dxa"/>
            <w:tcBorders>
              <w:top w:val="nil"/>
              <w:left w:val="nil"/>
              <w:bottom w:val="nil"/>
              <w:right w:val="nil"/>
            </w:tcBorders>
          </w:tcPr>
          <w:p w14:paraId="35D749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0.935***</w:t>
            </w:r>
          </w:p>
        </w:tc>
        <w:tc>
          <w:tcPr>
            <w:tcW w:w="2140" w:type="dxa"/>
            <w:tcBorders>
              <w:top w:val="nil"/>
              <w:left w:val="nil"/>
              <w:bottom w:val="nil"/>
              <w:right w:val="nil"/>
            </w:tcBorders>
          </w:tcPr>
          <w:p w14:paraId="1F387AD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0.992***</w:t>
            </w:r>
          </w:p>
        </w:tc>
      </w:tr>
      <w:tr w:rsidR="00276E7F" w:rsidRPr="002E0FD0" w14:paraId="2A7F3F4C" w14:textId="77777777" w:rsidTr="000415B4">
        <w:trPr>
          <w:trHeight w:val="288"/>
          <w:jc w:val="center"/>
        </w:trPr>
        <w:tc>
          <w:tcPr>
            <w:tcW w:w="1523" w:type="dxa"/>
            <w:tcBorders>
              <w:top w:val="nil"/>
              <w:left w:val="nil"/>
              <w:bottom w:val="nil"/>
              <w:right w:val="nil"/>
            </w:tcBorders>
          </w:tcPr>
          <w:p w14:paraId="701C9DE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4E1C24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53" w:type="dxa"/>
            <w:tcBorders>
              <w:top w:val="nil"/>
              <w:left w:val="nil"/>
              <w:bottom w:val="nil"/>
              <w:right w:val="nil"/>
            </w:tcBorders>
          </w:tcPr>
          <w:p w14:paraId="33E76CF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(0.046)</w:t>
            </w:r>
          </w:p>
        </w:tc>
        <w:tc>
          <w:tcPr>
            <w:tcW w:w="2140" w:type="dxa"/>
            <w:tcBorders>
              <w:top w:val="nil"/>
              <w:left w:val="nil"/>
              <w:bottom w:val="nil"/>
              <w:right w:val="nil"/>
            </w:tcBorders>
          </w:tcPr>
          <w:p w14:paraId="504C490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(0.013)</w:t>
            </w:r>
          </w:p>
        </w:tc>
        <w:tc>
          <w:tcPr>
            <w:tcW w:w="2140" w:type="dxa"/>
            <w:tcBorders>
              <w:top w:val="nil"/>
              <w:left w:val="nil"/>
              <w:bottom w:val="nil"/>
              <w:right w:val="nil"/>
            </w:tcBorders>
          </w:tcPr>
          <w:p w14:paraId="199955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72F03F44" w14:textId="77777777" w:rsidTr="000415B4">
        <w:trPr>
          <w:trHeight w:val="273"/>
          <w:jc w:val="center"/>
        </w:trPr>
        <w:tc>
          <w:tcPr>
            <w:tcW w:w="1523" w:type="dxa"/>
            <w:tcBorders>
              <w:top w:val="nil"/>
              <w:left w:val="nil"/>
              <w:bottom w:val="nil"/>
              <w:right w:val="nil"/>
            </w:tcBorders>
          </w:tcPr>
          <w:p w14:paraId="6EAC1BCD"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027" w:type="dxa"/>
            <w:tcBorders>
              <w:top w:val="nil"/>
              <w:left w:val="nil"/>
              <w:bottom w:val="nil"/>
              <w:right w:val="nil"/>
            </w:tcBorders>
          </w:tcPr>
          <w:p w14:paraId="5BB3757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53" w:type="dxa"/>
            <w:tcBorders>
              <w:top w:val="nil"/>
              <w:left w:val="nil"/>
              <w:bottom w:val="nil"/>
              <w:right w:val="nil"/>
            </w:tcBorders>
          </w:tcPr>
          <w:p w14:paraId="0EAE48F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140" w:type="dxa"/>
            <w:tcBorders>
              <w:top w:val="nil"/>
              <w:left w:val="nil"/>
              <w:bottom w:val="nil"/>
              <w:right w:val="nil"/>
            </w:tcBorders>
          </w:tcPr>
          <w:p w14:paraId="4F31494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30D4E8B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711CFAF7" w14:textId="77777777" w:rsidTr="000415B4">
        <w:trPr>
          <w:trHeight w:val="288"/>
          <w:jc w:val="center"/>
        </w:trPr>
        <w:tc>
          <w:tcPr>
            <w:tcW w:w="1523" w:type="dxa"/>
            <w:tcBorders>
              <w:top w:val="nil"/>
              <w:left w:val="nil"/>
              <w:bottom w:val="nil"/>
              <w:right w:val="nil"/>
            </w:tcBorders>
          </w:tcPr>
          <w:p w14:paraId="05B819E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02C672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53" w:type="dxa"/>
            <w:tcBorders>
              <w:top w:val="nil"/>
              <w:left w:val="nil"/>
              <w:bottom w:val="nil"/>
              <w:right w:val="nil"/>
            </w:tcBorders>
          </w:tcPr>
          <w:p w14:paraId="122A6D2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00AA59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222E9B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2AC340FE" w14:textId="77777777" w:rsidTr="000415B4">
        <w:trPr>
          <w:trHeight w:val="273"/>
          <w:jc w:val="center"/>
        </w:trPr>
        <w:tc>
          <w:tcPr>
            <w:tcW w:w="1523" w:type="dxa"/>
            <w:tcBorders>
              <w:top w:val="nil"/>
              <w:left w:val="nil"/>
              <w:bottom w:val="nil"/>
              <w:right w:val="nil"/>
            </w:tcBorders>
          </w:tcPr>
          <w:p w14:paraId="1F18EE5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027" w:type="dxa"/>
            <w:tcBorders>
              <w:top w:val="nil"/>
              <w:left w:val="nil"/>
              <w:bottom w:val="nil"/>
              <w:right w:val="nil"/>
            </w:tcBorders>
          </w:tcPr>
          <w:p w14:paraId="1A7CCC9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523</w:t>
            </w:r>
          </w:p>
        </w:tc>
        <w:tc>
          <w:tcPr>
            <w:tcW w:w="2253" w:type="dxa"/>
            <w:tcBorders>
              <w:top w:val="nil"/>
              <w:left w:val="nil"/>
              <w:bottom w:val="nil"/>
              <w:right w:val="nil"/>
            </w:tcBorders>
          </w:tcPr>
          <w:p w14:paraId="40C255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292</w:t>
            </w:r>
          </w:p>
        </w:tc>
        <w:tc>
          <w:tcPr>
            <w:tcW w:w="2140" w:type="dxa"/>
            <w:tcBorders>
              <w:top w:val="nil"/>
              <w:left w:val="nil"/>
              <w:bottom w:val="nil"/>
              <w:right w:val="nil"/>
            </w:tcBorders>
          </w:tcPr>
          <w:p w14:paraId="7A4FB35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692</w:t>
            </w:r>
          </w:p>
        </w:tc>
        <w:tc>
          <w:tcPr>
            <w:tcW w:w="2140" w:type="dxa"/>
            <w:tcBorders>
              <w:top w:val="nil"/>
              <w:left w:val="nil"/>
              <w:bottom w:val="nil"/>
              <w:right w:val="nil"/>
            </w:tcBorders>
          </w:tcPr>
          <w:p w14:paraId="5E9F927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540</w:t>
            </w:r>
          </w:p>
        </w:tc>
      </w:tr>
      <w:tr w:rsidR="00276E7F" w:rsidRPr="002E0FD0" w14:paraId="34528F57" w14:textId="77777777" w:rsidTr="000415B4">
        <w:trPr>
          <w:trHeight w:val="288"/>
          <w:jc w:val="center"/>
        </w:trPr>
        <w:tc>
          <w:tcPr>
            <w:tcW w:w="1523" w:type="dxa"/>
            <w:tcBorders>
              <w:top w:val="nil"/>
              <w:left w:val="nil"/>
              <w:bottom w:val="nil"/>
              <w:right w:val="nil"/>
            </w:tcBorders>
          </w:tcPr>
          <w:p w14:paraId="1FA10E9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27" w:type="dxa"/>
            <w:tcBorders>
              <w:top w:val="nil"/>
              <w:left w:val="nil"/>
              <w:bottom w:val="nil"/>
              <w:right w:val="nil"/>
            </w:tcBorders>
          </w:tcPr>
          <w:p w14:paraId="00BA7BAC"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0.911</w:t>
            </w:r>
          </w:p>
        </w:tc>
        <w:tc>
          <w:tcPr>
            <w:tcW w:w="2253" w:type="dxa"/>
            <w:tcBorders>
              <w:top w:val="nil"/>
              <w:left w:val="nil"/>
              <w:bottom w:val="nil"/>
              <w:right w:val="nil"/>
            </w:tcBorders>
          </w:tcPr>
          <w:p w14:paraId="0D2738C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0.910</w:t>
            </w:r>
          </w:p>
        </w:tc>
        <w:tc>
          <w:tcPr>
            <w:tcW w:w="2140" w:type="dxa"/>
            <w:tcBorders>
              <w:top w:val="nil"/>
              <w:left w:val="nil"/>
              <w:bottom w:val="nil"/>
              <w:right w:val="nil"/>
            </w:tcBorders>
          </w:tcPr>
          <w:p w14:paraId="34B9BBC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0.980</w:t>
            </w:r>
          </w:p>
        </w:tc>
        <w:tc>
          <w:tcPr>
            <w:tcW w:w="2140" w:type="dxa"/>
            <w:tcBorders>
              <w:top w:val="nil"/>
              <w:left w:val="nil"/>
              <w:bottom w:val="nil"/>
              <w:right w:val="nil"/>
            </w:tcBorders>
          </w:tcPr>
          <w:p w14:paraId="5464A67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0.996</w:t>
            </w:r>
          </w:p>
        </w:tc>
      </w:tr>
      <w:tr w:rsidR="00276E7F" w:rsidRPr="002E0FD0" w14:paraId="119C0A8C" w14:textId="77777777" w:rsidTr="000415B4">
        <w:tblPrEx>
          <w:tblBorders>
            <w:bottom w:val="single" w:sz="6" w:space="0" w:color="auto"/>
          </w:tblBorders>
        </w:tblPrEx>
        <w:trPr>
          <w:trHeight w:val="273"/>
          <w:jc w:val="center"/>
        </w:trPr>
        <w:tc>
          <w:tcPr>
            <w:tcW w:w="1523" w:type="dxa"/>
            <w:tcBorders>
              <w:top w:val="nil"/>
              <w:left w:val="nil"/>
              <w:bottom w:val="single" w:sz="6" w:space="0" w:color="auto"/>
              <w:right w:val="nil"/>
            </w:tcBorders>
          </w:tcPr>
          <w:p w14:paraId="5E51BAA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27" w:type="dxa"/>
            <w:tcBorders>
              <w:top w:val="nil"/>
              <w:left w:val="nil"/>
              <w:bottom w:val="single" w:sz="6" w:space="0" w:color="auto"/>
              <w:right w:val="nil"/>
            </w:tcBorders>
          </w:tcPr>
          <w:p w14:paraId="007235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0.091</w:t>
            </w:r>
          </w:p>
        </w:tc>
        <w:tc>
          <w:tcPr>
            <w:tcW w:w="2253" w:type="dxa"/>
            <w:tcBorders>
              <w:top w:val="nil"/>
              <w:left w:val="nil"/>
              <w:bottom w:val="single" w:sz="6" w:space="0" w:color="auto"/>
              <w:right w:val="nil"/>
            </w:tcBorders>
          </w:tcPr>
          <w:p w14:paraId="386AA0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140" w:type="dxa"/>
            <w:tcBorders>
              <w:top w:val="nil"/>
              <w:left w:val="nil"/>
              <w:bottom w:val="single" w:sz="6" w:space="0" w:color="auto"/>
              <w:right w:val="nil"/>
            </w:tcBorders>
          </w:tcPr>
          <w:p w14:paraId="6DAD409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0.078</w:t>
            </w:r>
          </w:p>
        </w:tc>
        <w:tc>
          <w:tcPr>
            <w:tcW w:w="2140" w:type="dxa"/>
            <w:tcBorders>
              <w:top w:val="nil"/>
              <w:left w:val="nil"/>
              <w:bottom w:val="single" w:sz="6" w:space="0" w:color="auto"/>
              <w:right w:val="nil"/>
            </w:tcBorders>
          </w:tcPr>
          <w:p w14:paraId="2A942D5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0.108</w:t>
            </w:r>
          </w:p>
        </w:tc>
      </w:tr>
    </w:tbl>
    <w:p w14:paraId="2A4D4938" w14:textId="77777777" w:rsidR="00276E7F" w:rsidRPr="002E0FD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1"/>
        <w:gridCol w:w="2110"/>
        <w:gridCol w:w="2221"/>
      </w:tblGrid>
      <w:tr w:rsidR="00276E7F" w:rsidRPr="002E0FD0" w14:paraId="14DB5299" w14:textId="77777777" w:rsidTr="000415B4">
        <w:trPr>
          <w:trHeight w:val="262"/>
          <w:jc w:val="center"/>
        </w:trPr>
        <w:tc>
          <w:tcPr>
            <w:tcW w:w="1501" w:type="dxa"/>
            <w:tcBorders>
              <w:top w:val="single" w:sz="6" w:space="0" w:color="auto"/>
              <w:left w:val="nil"/>
              <w:bottom w:val="nil"/>
              <w:right w:val="nil"/>
            </w:tcBorders>
          </w:tcPr>
          <w:p w14:paraId="71FEB13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single" w:sz="6" w:space="0" w:color="auto"/>
              <w:left w:val="nil"/>
              <w:bottom w:val="nil"/>
              <w:right w:val="nil"/>
            </w:tcBorders>
          </w:tcPr>
          <w:p w14:paraId="52E0D2C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2E0FD0">
              <w:rPr>
                <w:rFonts w:cstheme="minorHAnsi"/>
                <w:sz w:val="24"/>
                <w:szCs w:val="24"/>
              </w:rPr>
              <w:t>)</w:t>
            </w:r>
          </w:p>
        </w:tc>
        <w:tc>
          <w:tcPr>
            <w:tcW w:w="2221" w:type="dxa"/>
            <w:tcBorders>
              <w:top w:val="single" w:sz="6" w:space="0" w:color="auto"/>
              <w:left w:val="nil"/>
              <w:bottom w:val="nil"/>
              <w:right w:val="nil"/>
            </w:tcBorders>
          </w:tcPr>
          <w:p w14:paraId="16033A2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w:t>
            </w:r>
            <w:r>
              <w:rPr>
                <w:rFonts w:cstheme="minorHAnsi"/>
                <w:sz w:val="24"/>
                <w:szCs w:val="24"/>
              </w:rPr>
              <w:t>6</w:t>
            </w:r>
            <w:r w:rsidRPr="002E0FD0">
              <w:rPr>
                <w:rFonts w:cstheme="minorHAnsi"/>
                <w:sz w:val="24"/>
                <w:szCs w:val="24"/>
              </w:rPr>
              <w:t>)</w:t>
            </w:r>
          </w:p>
        </w:tc>
      </w:tr>
      <w:tr w:rsidR="00276E7F" w:rsidRPr="002E0FD0" w14:paraId="22AC1988" w14:textId="77777777" w:rsidTr="000415B4">
        <w:trPr>
          <w:trHeight w:val="276"/>
          <w:jc w:val="center"/>
        </w:trPr>
        <w:tc>
          <w:tcPr>
            <w:tcW w:w="1501" w:type="dxa"/>
            <w:tcBorders>
              <w:top w:val="nil"/>
              <w:left w:val="nil"/>
              <w:bottom w:val="single" w:sz="6" w:space="0" w:color="auto"/>
              <w:right w:val="nil"/>
            </w:tcBorders>
          </w:tcPr>
          <w:p w14:paraId="3CFC7C4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110" w:type="dxa"/>
            <w:tcBorders>
              <w:top w:val="nil"/>
              <w:left w:val="nil"/>
              <w:bottom w:val="single" w:sz="6" w:space="0" w:color="auto"/>
              <w:right w:val="nil"/>
            </w:tcBorders>
          </w:tcPr>
          <w:p w14:paraId="3D39126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10/2/2013-5/8/2015</w:t>
            </w:r>
          </w:p>
        </w:tc>
        <w:tc>
          <w:tcPr>
            <w:tcW w:w="2221" w:type="dxa"/>
            <w:tcBorders>
              <w:top w:val="nil"/>
              <w:left w:val="nil"/>
              <w:bottom w:val="single" w:sz="6" w:space="0" w:color="auto"/>
              <w:right w:val="nil"/>
            </w:tcBorders>
          </w:tcPr>
          <w:p w14:paraId="5182D1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5/11/2015-2/28/2017</w:t>
            </w:r>
          </w:p>
        </w:tc>
      </w:tr>
      <w:tr w:rsidR="00276E7F" w:rsidRPr="002E0FD0" w14:paraId="1EB6087E" w14:textId="77777777" w:rsidTr="000415B4">
        <w:trPr>
          <w:trHeight w:val="276"/>
          <w:jc w:val="center"/>
        </w:trPr>
        <w:tc>
          <w:tcPr>
            <w:tcW w:w="1501" w:type="dxa"/>
            <w:tcBorders>
              <w:top w:val="nil"/>
              <w:left w:val="nil"/>
              <w:bottom w:val="nil"/>
              <w:right w:val="nil"/>
            </w:tcBorders>
          </w:tcPr>
          <w:p w14:paraId="2FCC365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p>
        </w:tc>
        <w:tc>
          <w:tcPr>
            <w:tcW w:w="2110" w:type="dxa"/>
            <w:tcBorders>
              <w:top w:val="nil"/>
              <w:left w:val="nil"/>
              <w:bottom w:val="nil"/>
              <w:right w:val="nil"/>
            </w:tcBorders>
          </w:tcPr>
          <w:p w14:paraId="484E385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0.431***</w:t>
            </w:r>
          </w:p>
        </w:tc>
        <w:tc>
          <w:tcPr>
            <w:tcW w:w="2221" w:type="dxa"/>
            <w:tcBorders>
              <w:top w:val="nil"/>
              <w:left w:val="nil"/>
              <w:bottom w:val="nil"/>
              <w:right w:val="nil"/>
            </w:tcBorders>
          </w:tcPr>
          <w:p w14:paraId="7BD4686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0.487***</w:t>
            </w:r>
          </w:p>
        </w:tc>
      </w:tr>
      <w:tr w:rsidR="00276E7F" w:rsidRPr="002E0FD0" w14:paraId="6C4025D0" w14:textId="77777777" w:rsidTr="000415B4">
        <w:trPr>
          <w:trHeight w:val="262"/>
          <w:jc w:val="center"/>
        </w:trPr>
        <w:tc>
          <w:tcPr>
            <w:tcW w:w="1501" w:type="dxa"/>
            <w:tcBorders>
              <w:top w:val="nil"/>
              <w:left w:val="nil"/>
              <w:bottom w:val="nil"/>
              <w:right w:val="nil"/>
            </w:tcBorders>
          </w:tcPr>
          <w:p w14:paraId="487091E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19B2E3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21" w:type="dxa"/>
            <w:tcBorders>
              <w:top w:val="nil"/>
              <w:left w:val="nil"/>
              <w:bottom w:val="nil"/>
              <w:right w:val="nil"/>
            </w:tcBorders>
          </w:tcPr>
          <w:p w14:paraId="59494D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3D00EC45" w14:textId="77777777" w:rsidTr="000415B4">
        <w:trPr>
          <w:trHeight w:val="262"/>
          <w:jc w:val="center"/>
        </w:trPr>
        <w:tc>
          <w:tcPr>
            <w:tcW w:w="1501" w:type="dxa"/>
            <w:tcBorders>
              <w:top w:val="nil"/>
              <w:left w:val="nil"/>
              <w:bottom w:val="nil"/>
              <w:right w:val="nil"/>
            </w:tcBorders>
          </w:tcPr>
          <w:p w14:paraId="73F781C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110" w:type="dxa"/>
            <w:tcBorders>
              <w:top w:val="nil"/>
              <w:left w:val="nil"/>
              <w:bottom w:val="nil"/>
              <w:right w:val="nil"/>
            </w:tcBorders>
          </w:tcPr>
          <w:p w14:paraId="793B0B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0.356***</w:t>
            </w:r>
          </w:p>
        </w:tc>
        <w:tc>
          <w:tcPr>
            <w:tcW w:w="2221" w:type="dxa"/>
            <w:tcBorders>
              <w:top w:val="nil"/>
              <w:left w:val="nil"/>
              <w:bottom w:val="nil"/>
              <w:right w:val="nil"/>
            </w:tcBorders>
          </w:tcPr>
          <w:p w14:paraId="69354E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0.331***</w:t>
            </w:r>
          </w:p>
        </w:tc>
      </w:tr>
      <w:tr w:rsidR="00276E7F" w:rsidRPr="002E0FD0" w14:paraId="48B13399" w14:textId="77777777" w:rsidTr="000415B4">
        <w:trPr>
          <w:trHeight w:val="276"/>
          <w:jc w:val="center"/>
        </w:trPr>
        <w:tc>
          <w:tcPr>
            <w:tcW w:w="1501" w:type="dxa"/>
            <w:tcBorders>
              <w:top w:val="nil"/>
              <w:left w:val="nil"/>
              <w:bottom w:val="nil"/>
              <w:right w:val="nil"/>
            </w:tcBorders>
          </w:tcPr>
          <w:p w14:paraId="6774E3D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0A55819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0D59CA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0D3A78BF" w14:textId="77777777" w:rsidTr="000415B4">
        <w:trPr>
          <w:trHeight w:val="262"/>
          <w:jc w:val="center"/>
        </w:trPr>
        <w:tc>
          <w:tcPr>
            <w:tcW w:w="1501" w:type="dxa"/>
            <w:tcBorders>
              <w:top w:val="nil"/>
              <w:left w:val="nil"/>
              <w:bottom w:val="nil"/>
              <w:right w:val="nil"/>
            </w:tcBorders>
          </w:tcPr>
          <w:p w14:paraId="51154474" w14:textId="7E22C67C"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J</w:t>
            </w:r>
            <w:r w:rsidR="00A608F2">
              <w:rPr>
                <w:rFonts w:cstheme="minorHAnsi"/>
                <w:sz w:val="24"/>
                <w:szCs w:val="24"/>
              </w:rPr>
              <w:t xml:space="preserve">pn </w:t>
            </w:r>
            <w:r w:rsidRPr="002E0FD0">
              <w:rPr>
                <w:rFonts w:cstheme="minorHAnsi"/>
                <w:sz w:val="24"/>
                <w:szCs w:val="24"/>
              </w:rPr>
              <w:t>Y</w:t>
            </w:r>
          </w:p>
        </w:tc>
        <w:tc>
          <w:tcPr>
            <w:tcW w:w="2110" w:type="dxa"/>
            <w:tcBorders>
              <w:top w:val="nil"/>
              <w:left w:val="nil"/>
              <w:bottom w:val="nil"/>
              <w:right w:val="nil"/>
            </w:tcBorders>
          </w:tcPr>
          <w:p w14:paraId="37F008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21" w:type="dxa"/>
            <w:tcBorders>
              <w:top w:val="nil"/>
              <w:left w:val="nil"/>
              <w:bottom w:val="nil"/>
              <w:right w:val="nil"/>
            </w:tcBorders>
          </w:tcPr>
          <w:p w14:paraId="0E73D83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0.080***</w:t>
            </w:r>
          </w:p>
        </w:tc>
      </w:tr>
      <w:tr w:rsidR="00276E7F" w:rsidRPr="002E0FD0" w14:paraId="16BE197F" w14:textId="77777777" w:rsidTr="000415B4">
        <w:trPr>
          <w:trHeight w:val="276"/>
          <w:jc w:val="center"/>
        </w:trPr>
        <w:tc>
          <w:tcPr>
            <w:tcW w:w="1501" w:type="dxa"/>
            <w:tcBorders>
              <w:top w:val="nil"/>
              <w:left w:val="nil"/>
              <w:bottom w:val="nil"/>
              <w:right w:val="nil"/>
            </w:tcBorders>
          </w:tcPr>
          <w:p w14:paraId="1736E4C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FF41C6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c>
          <w:tcPr>
            <w:tcW w:w="2221" w:type="dxa"/>
            <w:tcBorders>
              <w:top w:val="nil"/>
              <w:left w:val="nil"/>
              <w:bottom w:val="nil"/>
              <w:right w:val="nil"/>
            </w:tcBorders>
          </w:tcPr>
          <w:p w14:paraId="42F39C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4775EDC3" w14:textId="77777777" w:rsidTr="000415B4">
        <w:trPr>
          <w:trHeight w:val="262"/>
          <w:jc w:val="center"/>
        </w:trPr>
        <w:tc>
          <w:tcPr>
            <w:tcW w:w="1501" w:type="dxa"/>
            <w:tcBorders>
              <w:top w:val="nil"/>
              <w:left w:val="nil"/>
              <w:bottom w:val="nil"/>
              <w:right w:val="nil"/>
            </w:tcBorders>
          </w:tcPr>
          <w:p w14:paraId="15E4D33D" w14:textId="6D53FB3B"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n Y</w:t>
            </w:r>
          </w:p>
        </w:tc>
        <w:tc>
          <w:tcPr>
            <w:tcW w:w="2110" w:type="dxa"/>
            <w:tcBorders>
              <w:top w:val="nil"/>
              <w:left w:val="nil"/>
              <w:bottom w:val="nil"/>
              <w:right w:val="nil"/>
            </w:tcBorders>
          </w:tcPr>
          <w:p w14:paraId="068884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0.027</w:t>
            </w:r>
          </w:p>
        </w:tc>
        <w:tc>
          <w:tcPr>
            <w:tcW w:w="2221" w:type="dxa"/>
            <w:tcBorders>
              <w:top w:val="nil"/>
              <w:left w:val="nil"/>
              <w:bottom w:val="nil"/>
              <w:right w:val="nil"/>
            </w:tcBorders>
          </w:tcPr>
          <w:p w14:paraId="3E43BB5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78BA6197" w14:textId="77777777" w:rsidTr="000415B4">
        <w:trPr>
          <w:trHeight w:val="262"/>
          <w:jc w:val="center"/>
        </w:trPr>
        <w:tc>
          <w:tcPr>
            <w:tcW w:w="1501" w:type="dxa"/>
            <w:tcBorders>
              <w:top w:val="nil"/>
              <w:left w:val="nil"/>
              <w:bottom w:val="nil"/>
              <w:right w:val="nil"/>
            </w:tcBorders>
          </w:tcPr>
          <w:p w14:paraId="122F3B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915881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(0.031)</w:t>
            </w:r>
          </w:p>
        </w:tc>
        <w:tc>
          <w:tcPr>
            <w:tcW w:w="2221" w:type="dxa"/>
            <w:tcBorders>
              <w:top w:val="nil"/>
              <w:left w:val="nil"/>
              <w:bottom w:val="nil"/>
              <w:right w:val="nil"/>
            </w:tcBorders>
          </w:tcPr>
          <w:p w14:paraId="0A123CF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r>
      <w:tr w:rsidR="00276E7F" w:rsidRPr="002E0FD0" w14:paraId="020082EF" w14:textId="77777777" w:rsidTr="000415B4">
        <w:trPr>
          <w:trHeight w:val="276"/>
          <w:jc w:val="center"/>
        </w:trPr>
        <w:tc>
          <w:tcPr>
            <w:tcW w:w="1501" w:type="dxa"/>
            <w:tcBorders>
              <w:top w:val="nil"/>
              <w:left w:val="nil"/>
              <w:bottom w:val="nil"/>
              <w:right w:val="nil"/>
            </w:tcBorders>
          </w:tcPr>
          <w:p w14:paraId="213EDA1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110" w:type="dxa"/>
            <w:tcBorders>
              <w:top w:val="nil"/>
              <w:left w:val="nil"/>
              <w:bottom w:val="nil"/>
              <w:right w:val="nil"/>
            </w:tcBorders>
          </w:tcPr>
          <w:p w14:paraId="03415E2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0.963***</w:t>
            </w:r>
          </w:p>
        </w:tc>
        <w:tc>
          <w:tcPr>
            <w:tcW w:w="2221" w:type="dxa"/>
            <w:tcBorders>
              <w:top w:val="nil"/>
              <w:left w:val="nil"/>
              <w:bottom w:val="nil"/>
              <w:right w:val="nil"/>
            </w:tcBorders>
          </w:tcPr>
          <w:p w14:paraId="7DC4CD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0.981***</w:t>
            </w:r>
          </w:p>
        </w:tc>
      </w:tr>
      <w:tr w:rsidR="00276E7F" w:rsidRPr="002E0FD0" w14:paraId="4D005F91" w14:textId="77777777" w:rsidTr="000415B4">
        <w:trPr>
          <w:trHeight w:val="262"/>
          <w:jc w:val="center"/>
        </w:trPr>
        <w:tc>
          <w:tcPr>
            <w:tcW w:w="1501" w:type="dxa"/>
            <w:tcBorders>
              <w:top w:val="nil"/>
              <w:left w:val="nil"/>
              <w:bottom w:val="nil"/>
              <w:right w:val="nil"/>
            </w:tcBorders>
          </w:tcPr>
          <w:p w14:paraId="68ABC2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05CD9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251FB8C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r>
      <w:tr w:rsidR="00276E7F" w:rsidRPr="002E0FD0" w14:paraId="558F5062" w14:textId="77777777" w:rsidTr="000415B4">
        <w:trPr>
          <w:trHeight w:val="276"/>
          <w:jc w:val="center"/>
        </w:trPr>
        <w:tc>
          <w:tcPr>
            <w:tcW w:w="1501" w:type="dxa"/>
            <w:tcBorders>
              <w:top w:val="nil"/>
              <w:left w:val="nil"/>
              <w:bottom w:val="nil"/>
              <w:right w:val="nil"/>
            </w:tcBorders>
          </w:tcPr>
          <w:p w14:paraId="225F1D23"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110" w:type="dxa"/>
            <w:tcBorders>
              <w:top w:val="nil"/>
              <w:left w:val="nil"/>
              <w:bottom w:val="nil"/>
              <w:right w:val="nil"/>
            </w:tcBorders>
          </w:tcPr>
          <w:p w14:paraId="35ED8AE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21" w:type="dxa"/>
            <w:tcBorders>
              <w:top w:val="nil"/>
              <w:left w:val="nil"/>
              <w:bottom w:val="nil"/>
              <w:right w:val="nil"/>
            </w:tcBorders>
          </w:tcPr>
          <w:p w14:paraId="74F77D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6AE89069" w14:textId="77777777" w:rsidTr="000415B4">
        <w:trPr>
          <w:trHeight w:val="262"/>
          <w:jc w:val="center"/>
        </w:trPr>
        <w:tc>
          <w:tcPr>
            <w:tcW w:w="1501" w:type="dxa"/>
            <w:tcBorders>
              <w:top w:val="nil"/>
              <w:left w:val="nil"/>
              <w:bottom w:val="nil"/>
              <w:right w:val="nil"/>
            </w:tcBorders>
          </w:tcPr>
          <w:p w14:paraId="760BB63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A5A241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21" w:type="dxa"/>
            <w:tcBorders>
              <w:top w:val="nil"/>
              <w:left w:val="nil"/>
              <w:bottom w:val="nil"/>
              <w:right w:val="nil"/>
            </w:tcBorders>
          </w:tcPr>
          <w:p w14:paraId="2F2649C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4018A958" w14:textId="77777777" w:rsidTr="000415B4">
        <w:trPr>
          <w:trHeight w:val="276"/>
          <w:jc w:val="center"/>
        </w:trPr>
        <w:tc>
          <w:tcPr>
            <w:tcW w:w="1501" w:type="dxa"/>
            <w:tcBorders>
              <w:top w:val="nil"/>
              <w:left w:val="nil"/>
              <w:bottom w:val="nil"/>
              <w:right w:val="nil"/>
            </w:tcBorders>
          </w:tcPr>
          <w:p w14:paraId="6F2B894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110" w:type="dxa"/>
            <w:tcBorders>
              <w:top w:val="nil"/>
              <w:left w:val="nil"/>
              <w:bottom w:val="nil"/>
              <w:right w:val="nil"/>
            </w:tcBorders>
          </w:tcPr>
          <w:p w14:paraId="743D90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400</w:t>
            </w:r>
          </w:p>
        </w:tc>
        <w:tc>
          <w:tcPr>
            <w:tcW w:w="2221" w:type="dxa"/>
            <w:tcBorders>
              <w:top w:val="nil"/>
              <w:left w:val="nil"/>
              <w:bottom w:val="nil"/>
              <w:right w:val="nil"/>
            </w:tcBorders>
          </w:tcPr>
          <w:p w14:paraId="78E9E5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451</w:t>
            </w:r>
          </w:p>
        </w:tc>
      </w:tr>
      <w:tr w:rsidR="00276E7F" w:rsidRPr="002E0FD0" w14:paraId="0595A901" w14:textId="77777777" w:rsidTr="000415B4">
        <w:trPr>
          <w:trHeight w:val="262"/>
          <w:jc w:val="center"/>
        </w:trPr>
        <w:tc>
          <w:tcPr>
            <w:tcW w:w="1501" w:type="dxa"/>
            <w:tcBorders>
              <w:top w:val="nil"/>
              <w:left w:val="nil"/>
              <w:bottom w:val="nil"/>
              <w:right w:val="nil"/>
            </w:tcBorders>
          </w:tcPr>
          <w:p w14:paraId="0D255B54"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10" w:type="dxa"/>
            <w:tcBorders>
              <w:top w:val="nil"/>
              <w:left w:val="nil"/>
              <w:bottom w:val="nil"/>
              <w:right w:val="nil"/>
            </w:tcBorders>
          </w:tcPr>
          <w:p w14:paraId="6D2D6E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0.982</w:t>
            </w:r>
          </w:p>
        </w:tc>
        <w:tc>
          <w:tcPr>
            <w:tcW w:w="2221" w:type="dxa"/>
            <w:tcBorders>
              <w:top w:val="nil"/>
              <w:left w:val="nil"/>
              <w:bottom w:val="nil"/>
              <w:right w:val="nil"/>
            </w:tcBorders>
          </w:tcPr>
          <w:p w14:paraId="02F4D4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0.997</w:t>
            </w:r>
          </w:p>
        </w:tc>
      </w:tr>
      <w:tr w:rsidR="00276E7F" w:rsidRPr="002E0FD0" w14:paraId="05107800" w14:textId="77777777" w:rsidTr="000415B4">
        <w:tblPrEx>
          <w:tblBorders>
            <w:bottom w:val="single" w:sz="6" w:space="0" w:color="auto"/>
          </w:tblBorders>
        </w:tblPrEx>
        <w:trPr>
          <w:trHeight w:val="276"/>
          <w:jc w:val="center"/>
        </w:trPr>
        <w:tc>
          <w:tcPr>
            <w:tcW w:w="1501" w:type="dxa"/>
            <w:tcBorders>
              <w:top w:val="nil"/>
              <w:left w:val="nil"/>
              <w:bottom w:val="single" w:sz="6" w:space="0" w:color="auto"/>
              <w:right w:val="nil"/>
            </w:tcBorders>
          </w:tcPr>
          <w:p w14:paraId="598132A0"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10" w:type="dxa"/>
            <w:tcBorders>
              <w:top w:val="nil"/>
              <w:left w:val="nil"/>
              <w:bottom w:val="single" w:sz="6" w:space="0" w:color="auto"/>
              <w:right w:val="nil"/>
            </w:tcBorders>
          </w:tcPr>
          <w:p w14:paraId="4C801B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0.120</w:t>
            </w:r>
          </w:p>
        </w:tc>
        <w:tc>
          <w:tcPr>
            <w:tcW w:w="2221" w:type="dxa"/>
            <w:tcBorders>
              <w:top w:val="nil"/>
              <w:left w:val="nil"/>
              <w:bottom w:val="single" w:sz="6" w:space="0" w:color="auto"/>
              <w:right w:val="nil"/>
            </w:tcBorders>
          </w:tcPr>
          <w:p w14:paraId="69B94E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0.110</w:t>
            </w:r>
          </w:p>
        </w:tc>
      </w:tr>
    </w:tbl>
    <w:p w14:paraId="383E42A1" w14:textId="01BB1AFD" w:rsidR="00E861C8" w:rsidRPr="006F7AA5" w:rsidRDefault="00E861C8" w:rsidP="00E861C8">
      <w:pPr>
        <w:widowControl w:val="0"/>
        <w:autoSpaceDE w:val="0"/>
        <w:autoSpaceDN w:val="0"/>
        <w:adjustRightInd w:val="0"/>
        <w:spacing w:after="0" w:line="240" w:lineRule="auto"/>
        <w:jc w:val="center"/>
        <w:rPr>
          <w:rFonts w:cs="Times New Roman"/>
          <w:sz w:val="24"/>
          <w:szCs w:val="24"/>
        </w:rPr>
      </w:pPr>
      <w:r w:rsidRPr="00E861C8">
        <w:rPr>
          <w:rFonts w:cstheme="minorHAnsi"/>
          <w:sz w:val="8"/>
          <w:szCs w:val="8"/>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Pr="00E861C8">
        <w:rPr>
          <w:rFonts w:cs="Times New Roman"/>
          <w:sz w:val="12"/>
          <w:szCs w:val="12"/>
        </w:rPr>
        <w:br/>
      </w:r>
      <w:r w:rsidRPr="00E861C8">
        <w:rPr>
          <w:rFonts w:cstheme="minorHAnsi"/>
          <w:sz w:val="12"/>
          <w:szCs w:val="12"/>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78FFF994" w14:textId="72B27601" w:rsidR="00276E7F" w:rsidRPr="006F7AA5" w:rsidRDefault="00E861C8" w:rsidP="00276E7F">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br/>
      </w:r>
      <w:r w:rsidR="00276E7F">
        <w:rPr>
          <w:rFonts w:cs="Times New Roman"/>
          <w:sz w:val="24"/>
          <w:szCs w:val="24"/>
        </w:rPr>
        <w:lastRenderedPageBreak/>
        <w:t xml:space="preserve">2.3 </w:t>
      </w:r>
      <w:r w:rsidR="00276E7F" w:rsidRPr="006F7AA5">
        <w:rPr>
          <w:rFonts w:cs="Times New Roman"/>
          <w:sz w:val="24"/>
          <w:szCs w:val="24"/>
        </w:rPr>
        <w:t>Singapore:</w:t>
      </w:r>
      <w:r w:rsidR="00276E7F">
        <w:rPr>
          <w:rFonts w:cs="Times New Roman"/>
          <w:sz w:val="24"/>
          <w:szCs w:val="24"/>
        </w:rPr>
        <w:t xml:space="preserve"> </w:t>
      </w:r>
      <w:r w:rsidR="00276E7F" w:rsidRPr="006F7AA5">
        <w:rPr>
          <w:rFonts w:cs="Times New Roman"/>
          <w:sz w:val="24"/>
          <w:szCs w:val="24"/>
        </w:rPr>
        <w:t>Identifying Break Points in Singapore’s Exchange Rate Regime</w:t>
      </w:r>
    </w:p>
    <w:p w14:paraId="0F16A538" w14:textId="341CE620"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w:t>
      </w:r>
      <w:r w:rsidR="00276E7F">
        <w:rPr>
          <w:rFonts w:cs="Times New Roman"/>
          <w:sz w:val="24"/>
          <w:szCs w:val="24"/>
        </w:rPr>
        <w:t>2</w:t>
      </w:r>
      <w:r w:rsidR="00276E7F" w:rsidRPr="006F7AA5">
        <w:rPr>
          <w:rFonts w:cs="Times New Roman"/>
          <w:sz w:val="24"/>
          <w:szCs w:val="24"/>
        </w:rPr>
        <w:t>:2017</w:t>
      </w:r>
    </w:p>
    <w:tbl>
      <w:tblPr>
        <w:tblW w:w="9990" w:type="dxa"/>
        <w:jc w:val="center"/>
        <w:tblLayout w:type="fixed"/>
        <w:tblCellMar>
          <w:left w:w="75" w:type="dxa"/>
          <w:right w:w="75" w:type="dxa"/>
        </w:tblCellMar>
        <w:tblLook w:val="0000" w:firstRow="0" w:lastRow="0" w:firstColumn="0" w:lastColumn="0" w:noHBand="0" w:noVBand="0"/>
      </w:tblPr>
      <w:tblGrid>
        <w:gridCol w:w="1260"/>
        <w:gridCol w:w="238"/>
        <w:gridCol w:w="2012"/>
        <w:gridCol w:w="2310"/>
        <w:gridCol w:w="2100"/>
        <w:gridCol w:w="2070"/>
      </w:tblGrid>
      <w:tr w:rsidR="00276E7F" w14:paraId="091F3A15" w14:textId="77777777" w:rsidTr="000415B4">
        <w:trPr>
          <w:trHeight w:val="289"/>
          <w:jc w:val="center"/>
        </w:trPr>
        <w:tc>
          <w:tcPr>
            <w:tcW w:w="1498" w:type="dxa"/>
            <w:gridSpan w:val="2"/>
            <w:tcBorders>
              <w:top w:val="single" w:sz="6" w:space="0" w:color="auto"/>
              <w:left w:val="nil"/>
              <w:bottom w:val="nil"/>
              <w:right w:val="nil"/>
            </w:tcBorders>
          </w:tcPr>
          <w:p w14:paraId="72CD11F5"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012" w:type="dxa"/>
            <w:tcBorders>
              <w:top w:val="single" w:sz="6" w:space="0" w:color="auto"/>
              <w:left w:val="nil"/>
              <w:bottom w:val="nil"/>
              <w:right w:val="nil"/>
            </w:tcBorders>
          </w:tcPr>
          <w:p w14:paraId="4036E22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310" w:type="dxa"/>
            <w:tcBorders>
              <w:top w:val="single" w:sz="6" w:space="0" w:color="auto"/>
              <w:left w:val="nil"/>
              <w:bottom w:val="nil"/>
              <w:right w:val="nil"/>
            </w:tcBorders>
          </w:tcPr>
          <w:p w14:paraId="148FFA6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00" w:type="dxa"/>
            <w:tcBorders>
              <w:top w:val="single" w:sz="6" w:space="0" w:color="auto"/>
              <w:left w:val="nil"/>
              <w:bottom w:val="nil"/>
              <w:right w:val="nil"/>
            </w:tcBorders>
          </w:tcPr>
          <w:p w14:paraId="7286B07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70" w:type="dxa"/>
            <w:tcBorders>
              <w:top w:val="single" w:sz="6" w:space="0" w:color="auto"/>
              <w:left w:val="nil"/>
              <w:bottom w:val="nil"/>
              <w:right w:val="nil"/>
            </w:tcBorders>
          </w:tcPr>
          <w:p w14:paraId="342BA3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C124C0" w14:paraId="08E79091" w14:textId="77777777" w:rsidTr="000415B4">
        <w:trPr>
          <w:trHeight w:val="301"/>
          <w:jc w:val="center"/>
        </w:trPr>
        <w:tc>
          <w:tcPr>
            <w:tcW w:w="1260" w:type="dxa"/>
            <w:tcBorders>
              <w:top w:val="nil"/>
              <w:left w:val="nil"/>
              <w:bottom w:val="single" w:sz="6" w:space="0" w:color="auto"/>
              <w:right w:val="nil"/>
            </w:tcBorders>
          </w:tcPr>
          <w:p w14:paraId="0E03F77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50" w:type="dxa"/>
            <w:gridSpan w:val="2"/>
            <w:tcBorders>
              <w:top w:val="nil"/>
              <w:left w:val="nil"/>
              <w:bottom w:val="single" w:sz="6" w:space="0" w:color="auto"/>
              <w:right w:val="nil"/>
            </w:tcBorders>
          </w:tcPr>
          <w:p w14:paraId="493987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8/2/2005-11/9/2006</w:t>
            </w:r>
          </w:p>
        </w:tc>
        <w:tc>
          <w:tcPr>
            <w:tcW w:w="2310" w:type="dxa"/>
            <w:tcBorders>
              <w:top w:val="nil"/>
              <w:left w:val="nil"/>
              <w:bottom w:val="single" w:sz="6" w:space="0" w:color="auto"/>
              <w:right w:val="nil"/>
            </w:tcBorders>
          </w:tcPr>
          <w:p w14:paraId="3F0254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11/10/2006-1/8/2008</w:t>
            </w:r>
          </w:p>
        </w:tc>
        <w:tc>
          <w:tcPr>
            <w:tcW w:w="2100" w:type="dxa"/>
            <w:tcBorders>
              <w:top w:val="nil"/>
              <w:left w:val="nil"/>
              <w:bottom w:val="single" w:sz="6" w:space="0" w:color="auto"/>
              <w:right w:val="nil"/>
            </w:tcBorders>
          </w:tcPr>
          <w:p w14:paraId="575E9C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1/9/2008-3/2/2009</w:t>
            </w:r>
          </w:p>
        </w:tc>
        <w:tc>
          <w:tcPr>
            <w:tcW w:w="2070" w:type="dxa"/>
            <w:tcBorders>
              <w:top w:val="nil"/>
              <w:left w:val="nil"/>
              <w:bottom w:val="single" w:sz="6" w:space="0" w:color="auto"/>
              <w:right w:val="nil"/>
            </w:tcBorders>
          </w:tcPr>
          <w:p w14:paraId="63A9ECA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3/3/2009-5/4/2010</w:t>
            </w:r>
          </w:p>
        </w:tc>
      </w:tr>
      <w:tr w:rsidR="00276E7F" w:rsidRPr="00C124C0" w14:paraId="2761C89B" w14:textId="77777777" w:rsidTr="000415B4">
        <w:trPr>
          <w:trHeight w:val="289"/>
          <w:jc w:val="center"/>
        </w:trPr>
        <w:tc>
          <w:tcPr>
            <w:tcW w:w="1498" w:type="dxa"/>
            <w:gridSpan w:val="2"/>
            <w:tcBorders>
              <w:top w:val="nil"/>
              <w:left w:val="nil"/>
              <w:bottom w:val="nil"/>
              <w:right w:val="nil"/>
            </w:tcBorders>
          </w:tcPr>
          <w:p w14:paraId="36A1C75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76A3FE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4223850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67B3F34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7D89B7E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720ED8EA" w14:textId="77777777" w:rsidTr="000415B4">
        <w:trPr>
          <w:trHeight w:val="289"/>
          <w:jc w:val="center"/>
        </w:trPr>
        <w:tc>
          <w:tcPr>
            <w:tcW w:w="1498" w:type="dxa"/>
            <w:gridSpan w:val="2"/>
            <w:tcBorders>
              <w:top w:val="nil"/>
              <w:left w:val="nil"/>
              <w:bottom w:val="nil"/>
              <w:right w:val="nil"/>
            </w:tcBorders>
          </w:tcPr>
          <w:p w14:paraId="6D599D20" w14:textId="4A0FC60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012" w:type="dxa"/>
            <w:tcBorders>
              <w:top w:val="nil"/>
              <w:left w:val="nil"/>
              <w:bottom w:val="nil"/>
              <w:right w:val="nil"/>
            </w:tcBorders>
          </w:tcPr>
          <w:p w14:paraId="21EDC50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0.468***</w:t>
            </w:r>
          </w:p>
        </w:tc>
        <w:tc>
          <w:tcPr>
            <w:tcW w:w="2310" w:type="dxa"/>
            <w:tcBorders>
              <w:top w:val="nil"/>
              <w:left w:val="nil"/>
              <w:bottom w:val="nil"/>
              <w:right w:val="nil"/>
            </w:tcBorders>
          </w:tcPr>
          <w:p w14:paraId="39AC15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0.575***</w:t>
            </w:r>
          </w:p>
        </w:tc>
        <w:tc>
          <w:tcPr>
            <w:tcW w:w="2100" w:type="dxa"/>
            <w:tcBorders>
              <w:top w:val="nil"/>
              <w:left w:val="nil"/>
              <w:bottom w:val="nil"/>
              <w:right w:val="nil"/>
            </w:tcBorders>
          </w:tcPr>
          <w:p w14:paraId="19D3E4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0.154</w:t>
            </w:r>
          </w:p>
        </w:tc>
        <w:tc>
          <w:tcPr>
            <w:tcW w:w="2070" w:type="dxa"/>
            <w:tcBorders>
              <w:top w:val="nil"/>
              <w:left w:val="nil"/>
              <w:bottom w:val="nil"/>
              <w:right w:val="nil"/>
            </w:tcBorders>
          </w:tcPr>
          <w:p w14:paraId="70EDE8F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-0.293</w:t>
            </w:r>
          </w:p>
        </w:tc>
      </w:tr>
      <w:tr w:rsidR="00276E7F" w:rsidRPr="00C124C0" w14:paraId="29634CDD" w14:textId="77777777" w:rsidTr="000415B4">
        <w:trPr>
          <w:trHeight w:val="301"/>
          <w:jc w:val="center"/>
        </w:trPr>
        <w:tc>
          <w:tcPr>
            <w:tcW w:w="1498" w:type="dxa"/>
            <w:gridSpan w:val="2"/>
            <w:tcBorders>
              <w:top w:val="nil"/>
              <w:left w:val="nil"/>
              <w:bottom w:val="nil"/>
              <w:right w:val="nil"/>
            </w:tcBorders>
          </w:tcPr>
          <w:p w14:paraId="3EA488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902B0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(0.117)</w:t>
            </w:r>
          </w:p>
        </w:tc>
        <w:tc>
          <w:tcPr>
            <w:tcW w:w="2310" w:type="dxa"/>
            <w:tcBorders>
              <w:top w:val="nil"/>
              <w:left w:val="nil"/>
              <w:bottom w:val="nil"/>
              <w:right w:val="nil"/>
            </w:tcBorders>
          </w:tcPr>
          <w:p w14:paraId="073767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(0.135)</w:t>
            </w:r>
          </w:p>
        </w:tc>
        <w:tc>
          <w:tcPr>
            <w:tcW w:w="2100" w:type="dxa"/>
            <w:tcBorders>
              <w:top w:val="nil"/>
              <w:left w:val="nil"/>
              <w:bottom w:val="nil"/>
              <w:right w:val="nil"/>
            </w:tcBorders>
          </w:tcPr>
          <w:p w14:paraId="739980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(0.144)</w:t>
            </w:r>
          </w:p>
        </w:tc>
        <w:tc>
          <w:tcPr>
            <w:tcW w:w="2070" w:type="dxa"/>
            <w:tcBorders>
              <w:top w:val="nil"/>
              <w:left w:val="nil"/>
              <w:bottom w:val="nil"/>
              <w:right w:val="nil"/>
            </w:tcBorders>
          </w:tcPr>
          <w:p w14:paraId="62DBE8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(0.469)</w:t>
            </w:r>
          </w:p>
        </w:tc>
      </w:tr>
      <w:tr w:rsidR="00276E7F" w:rsidRPr="00C124C0" w14:paraId="3FC48E16" w14:textId="77777777" w:rsidTr="000415B4">
        <w:trPr>
          <w:trHeight w:val="301"/>
          <w:jc w:val="center"/>
        </w:trPr>
        <w:tc>
          <w:tcPr>
            <w:tcW w:w="1498" w:type="dxa"/>
            <w:gridSpan w:val="2"/>
            <w:tcBorders>
              <w:top w:val="nil"/>
              <w:left w:val="nil"/>
              <w:bottom w:val="nil"/>
              <w:right w:val="nil"/>
            </w:tcBorders>
          </w:tcPr>
          <w:p w14:paraId="61888EF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012" w:type="dxa"/>
            <w:tcBorders>
              <w:top w:val="nil"/>
              <w:left w:val="nil"/>
              <w:bottom w:val="nil"/>
              <w:right w:val="nil"/>
            </w:tcBorders>
          </w:tcPr>
          <w:p w14:paraId="4EE10A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0.137***</w:t>
            </w:r>
          </w:p>
        </w:tc>
        <w:tc>
          <w:tcPr>
            <w:tcW w:w="2310" w:type="dxa"/>
            <w:tcBorders>
              <w:top w:val="nil"/>
              <w:left w:val="nil"/>
              <w:bottom w:val="nil"/>
              <w:right w:val="nil"/>
            </w:tcBorders>
          </w:tcPr>
          <w:p w14:paraId="2A51EF8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0.280***</w:t>
            </w:r>
          </w:p>
        </w:tc>
        <w:tc>
          <w:tcPr>
            <w:tcW w:w="2100" w:type="dxa"/>
            <w:tcBorders>
              <w:top w:val="nil"/>
              <w:left w:val="nil"/>
              <w:bottom w:val="nil"/>
              <w:right w:val="nil"/>
            </w:tcBorders>
          </w:tcPr>
          <w:p w14:paraId="245F823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0.294***</w:t>
            </w:r>
          </w:p>
        </w:tc>
        <w:tc>
          <w:tcPr>
            <w:tcW w:w="2070" w:type="dxa"/>
            <w:tcBorders>
              <w:top w:val="nil"/>
              <w:left w:val="nil"/>
              <w:bottom w:val="nil"/>
              <w:right w:val="nil"/>
            </w:tcBorders>
          </w:tcPr>
          <w:p w14:paraId="7F14105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0.298***</w:t>
            </w:r>
          </w:p>
        </w:tc>
      </w:tr>
      <w:tr w:rsidR="00276E7F" w:rsidRPr="00C124C0" w14:paraId="1F291DE2" w14:textId="77777777" w:rsidTr="000415B4">
        <w:trPr>
          <w:trHeight w:val="289"/>
          <w:jc w:val="center"/>
        </w:trPr>
        <w:tc>
          <w:tcPr>
            <w:tcW w:w="1498" w:type="dxa"/>
            <w:gridSpan w:val="2"/>
            <w:tcBorders>
              <w:top w:val="nil"/>
              <w:left w:val="nil"/>
              <w:bottom w:val="nil"/>
              <w:right w:val="nil"/>
            </w:tcBorders>
          </w:tcPr>
          <w:p w14:paraId="728BB4C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4A3783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3E4766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(0.041)</w:t>
            </w:r>
          </w:p>
        </w:tc>
        <w:tc>
          <w:tcPr>
            <w:tcW w:w="2100" w:type="dxa"/>
            <w:tcBorders>
              <w:top w:val="nil"/>
              <w:left w:val="nil"/>
              <w:bottom w:val="nil"/>
              <w:right w:val="nil"/>
            </w:tcBorders>
          </w:tcPr>
          <w:p w14:paraId="542FDBC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070" w:type="dxa"/>
            <w:tcBorders>
              <w:top w:val="nil"/>
              <w:left w:val="nil"/>
              <w:bottom w:val="nil"/>
              <w:right w:val="nil"/>
            </w:tcBorders>
          </w:tcPr>
          <w:p w14:paraId="4B0F25C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r>
      <w:tr w:rsidR="00276E7F" w:rsidRPr="00C124C0" w14:paraId="27FC021D" w14:textId="77777777" w:rsidTr="000415B4">
        <w:trPr>
          <w:trHeight w:val="301"/>
          <w:jc w:val="center"/>
        </w:trPr>
        <w:tc>
          <w:tcPr>
            <w:tcW w:w="1498" w:type="dxa"/>
            <w:gridSpan w:val="2"/>
            <w:tcBorders>
              <w:top w:val="nil"/>
              <w:left w:val="nil"/>
              <w:bottom w:val="nil"/>
              <w:right w:val="nil"/>
            </w:tcBorders>
          </w:tcPr>
          <w:p w14:paraId="076C31BC" w14:textId="49D9F819"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5CBCA97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0.191***</w:t>
            </w:r>
          </w:p>
        </w:tc>
        <w:tc>
          <w:tcPr>
            <w:tcW w:w="2310" w:type="dxa"/>
            <w:tcBorders>
              <w:top w:val="nil"/>
              <w:left w:val="nil"/>
              <w:bottom w:val="nil"/>
              <w:right w:val="nil"/>
            </w:tcBorders>
          </w:tcPr>
          <w:p w14:paraId="4CBE7F4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c>
          <w:tcPr>
            <w:tcW w:w="2100" w:type="dxa"/>
            <w:tcBorders>
              <w:top w:val="nil"/>
              <w:left w:val="nil"/>
              <w:bottom w:val="nil"/>
              <w:right w:val="nil"/>
            </w:tcBorders>
          </w:tcPr>
          <w:p w14:paraId="43262F2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0.009</w:t>
            </w:r>
          </w:p>
        </w:tc>
        <w:tc>
          <w:tcPr>
            <w:tcW w:w="2070" w:type="dxa"/>
            <w:tcBorders>
              <w:top w:val="nil"/>
              <w:left w:val="nil"/>
              <w:bottom w:val="nil"/>
              <w:right w:val="nil"/>
            </w:tcBorders>
          </w:tcPr>
          <w:p w14:paraId="2AEB828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-0.002</w:t>
            </w:r>
          </w:p>
        </w:tc>
      </w:tr>
      <w:tr w:rsidR="00276E7F" w:rsidRPr="00C124C0" w14:paraId="60C2CDC7" w14:textId="77777777" w:rsidTr="000415B4">
        <w:trPr>
          <w:trHeight w:val="289"/>
          <w:jc w:val="center"/>
        </w:trPr>
        <w:tc>
          <w:tcPr>
            <w:tcW w:w="1498" w:type="dxa"/>
            <w:gridSpan w:val="2"/>
            <w:tcBorders>
              <w:top w:val="nil"/>
              <w:left w:val="nil"/>
              <w:bottom w:val="nil"/>
              <w:right w:val="nil"/>
            </w:tcBorders>
          </w:tcPr>
          <w:p w14:paraId="09E9D06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69EDC0C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c>
          <w:tcPr>
            <w:tcW w:w="2310" w:type="dxa"/>
            <w:tcBorders>
              <w:top w:val="nil"/>
              <w:left w:val="nil"/>
              <w:bottom w:val="nil"/>
              <w:right w:val="nil"/>
            </w:tcBorders>
          </w:tcPr>
          <w:p w14:paraId="6109BB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100" w:type="dxa"/>
            <w:tcBorders>
              <w:top w:val="nil"/>
              <w:left w:val="nil"/>
              <w:bottom w:val="nil"/>
              <w:right w:val="nil"/>
            </w:tcBorders>
          </w:tcPr>
          <w:p w14:paraId="4D58FDD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070" w:type="dxa"/>
            <w:tcBorders>
              <w:top w:val="nil"/>
              <w:left w:val="nil"/>
              <w:bottom w:val="nil"/>
              <w:right w:val="nil"/>
            </w:tcBorders>
          </w:tcPr>
          <w:p w14:paraId="6A0F1C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r>
      <w:tr w:rsidR="00276E7F" w:rsidRPr="00C124C0" w14:paraId="77FA61E2" w14:textId="77777777" w:rsidTr="000415B4">
        <w:trPr>
          <w:trHeight w:val="301"/>
          <w:jc w:val="center"/>
        </w:trPr>
        <w:tc>
          <w:tcPr>
            <w:tcW w:w="1498" w:type="dxa"/>
            <w:gridSpan w:val="2"/>
            <w:tcBorders>
              <w:top w:val="nil"/>
              <w:left w:val="nil"/>
              <w:bottom w:val="nil"/>
              <w:right w:val="nil"/>
            </w:tcBorders>
          </w:tcPr>
          <w:p w14:paraId="2C5D2402" w14:textId="5A2DBAEF"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0C3B3CF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0.118</w:t>
            </w:r>
          </w:p>
        </w:tc>
        <w:tc>
          <w:tcPr>
            <w:tcW w:w="2310" w:type="dxa"/>
            <w:tcBorders>
              <w:top w:val="nil"/>
              <w:left w:val="nil"/>
              <w:bottom w:val="nil"/>
              <w:right w:val="nil"/>
            </w:tcBorders>
          </w:tcPr>
          <w:p w14:paraId="579E9A3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0.095</w:t>
            </w:r>
          </w:p>
        </w:tc>
        <w:tc>
          <w:tcPr>
            <w:tcW w:w="2100" w:type="dxa"/>
            <w:tcBorders>
              <w:top w:val="nil"/>
              <w:left w:val="nil"/>
              <w:bottom w:val="nil"/>
              <w:right w:val="nil"/>
            </w:tcBorders>
          </w:tcPr>
          <w:p w14:paraId="7A8ED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0.465***</w:t>
            </w:r>
          </w:p>
        </w:tc>
        <w:tc>
          <w:tcPr>
            <w:tcW w:w="2070" w:type="dxa"/>
            <w:tcBorders>
              <w:top w:val="nil"/>
              <w:left w:val="nil"/>
              <w:bottom w:val="nil"/>
              <w:right w:val="nil"/>
            </w:tcBorders>
          </w:tcPr>
          <w:p w14:paraId="5423AE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0.905*</w:t>
            </w:r>
          </w:p>
        </w:tc>
      </w:tr>
      <w:tr w:rsidR="00276E7F" w:rsidRPr="00C124C0" w14:paraId="7A4AC23E" w14:textId="77777777" w:rsidTr="000415B4">
        <w:trPr>
          <w:trHeight w:val="289"/>
          <w:jc w:val="center"/>
        </w:trPr>
        <w:tc>
          <w:tcPr>
            <w:tcW w:w="1498" w:type="dxa"/>
            <w:gridSpan w:val="2"/>
            <w:tcBorders>
              <w:top w:val="nil"/>
              <w:left w:val="nil"/>
              <w:bottom w:val="nil"/>
              <w:right w:val="nil"/>
            </w:tcBorders>
          </w:tcPr>
          <w:p w14:paraId="5B8A063F"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591E957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(0.119)</w:t>
            </w:r>
          </w:p>
        </w:tc>
        <w:tc>
          <w:tcPr>
            <w:tcW w:w="2310" w:type="dxa"/>
            <w:tcBorders>
              <w:top w:val="nil"/>
              <w:left w:val="nil"/>
              <w:bottom w:val="nil"/>
              <w:right w:val="nil"/>
            </w:tcBorders>
          </w:tcPr>
          <w:p w14:paraId="055A179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(0.136)</w:t>
            </w:r>
          </w:p>
        </w:tc>
        <w:tc>
          <w:tcPr>
            <w:tcW w:w="2100" w:type="dxa"/>
            <w:tcBorders>
              <w:top w:val="nil"/>
              <w:left w:val="nil"/>
              <w:bottom w:val="nil"/>
              <w:right w:val="nil"/>
            </w:tcBorders>
          </w:tcPr>
          <w:p w14:paraId="6C477EE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(0.147)</w:t>
            </w:r>
          </w:p>
        </w:tc>
        <w:tc>
          <w:tcPr>
            <w:tcW w:w="2070" w:type="dxa"/>
            <w:tcBorders>
              <w:top w:val="nil"/>
              <w:left w:val="nil"/>
              <w:bottom w:val="nil"/>
              <w:right w:val="nil"/>
            </w:tcBorders>
          </w:tcPr>
          <w:p w14:paraId="0DDD351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(0.473)</w:t>
            </w:r>
          </w:p>
        </w:tc>
      </w:tr>
      <w:tr w:rsidR="00276E7F" w:rsidRPr="00C124C0" w14:paraId="55728E39" w14:textId="77777777" w:rsidTr="000415B4">
        <w:trPr>
          <w:trHeight w:val="301"/>
          <w:jc w:val="center"/>
        </w:trPr>
        <w:tc>
          <w:tcPr>
            <w:tcW w:w="1498" w:type="dxa"/>
            <w:gridSpan w:val="2"/>
            <w:tcBorders>
              <w:top w:val="nil"/>
              <w:left w:val="nil"/>
              <w:bottom w:val="nil"/>
              <w:right w:val="nil"/>
            </w:tcBorders>
          </w:tcPr>
          <w:p w14:paraId="210AAD4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012" w:type="dxa"/>
            <w:tcBorders>
              <w:top w:val="nil"/>
              <w:left w:val="nil"/>
              <w:bottom w:val="nil"/>
              <w:right w:val="nil"/>
            </w:tcBorders>
          </w:tcPr>
          <w:p w14:paraId="31A62DD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0.289***</w:t>
            </w:r>
          </w:p>
        </w:tc>
        <w:tc>
          <w:tcPr>
            <w:tcW w:w="2310" w:type="dxa"/>
            <w:tcBorders>
              <w:top w:val="nil"/>
              <w:left w:val="nil"/>
              <w:bottom w:val="nil"/>
              <w:right w:val="nil"/>
            </w:tcBorders>
          </w:tcPr>
          <w:p w14:paraId="4F3A9CE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0.181***</w:t>
            </w:r>
          </w:p>
        </w:tc>
        <w:tc>
          <w:tcPr>
            <w:tcW w:w="2100" w:type="dxa"/>
            <w:tcBorders>
              <w:top w:val="nil"/>
              <w:left w:val="nil"/>
              <w:bottom w:val="nil"/>
              <w:right w:val="nil"/>
            </w:tcBorders>
          </w:tcPr>
          <w:p w14:paraId="16A1278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0.410***</w:t>
            </w:r>
          </w:p>
        </w:tc>
        <w:tc>
          <w:tcPr>
            <w:tcW w:w="2070" w:type="dxa"/>
            <w:tcBorders>
              <w:top w:val="nil"/>
              <w:left w:val="nil"/>
              <w:bottom w:val="nil"/>
              <w:right w:val="nil"/>
            </w:tcBorders>
          </w:tcPr>
          <w:p w14:paraId="3F770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0.121***</w:t>
            </w:r>
          </w:p>
        </w:tc>
      </w:tr>
      <w:tr w:rsidR="00276E7F" w:rsidRPr="00C124C0" w14:paraId="0F2B8D06" w14:textId="77777777" w:rsidTr="000415B4">
        <w:trPr>
          <w:trHeight w:val="301"/>
          <w:jc w:val="center"/>
        </w:trPr>
        <w:tc>
          <w:tcPr>
            <w:tcW w:w="1498" w:type="dxa"/>
            <w:gridSpan w:val="2"/>
            <w:tcBorders>
              <w:top w:val="nil"/>
              <w:left w:val="nil"/>
              <w:bottom w:val="nil"/>
              <w:right w:val="nil"/>
            </w:tcBorders>
          </w:tcPr>
          <w:p w14:paraId="26C6F3E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3986CA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0301D08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100" w:type="dxa"/>
            <w:tcBorders>
              <w:top w:val="nil"/>
              <w:left w:val="nil"/>
              <w:bottom w:val="nil"/>
              <w:right w:val="nil"/>
            </w:tcBorders>
          </w:tcPr>
          <w:p w14:paraId="77A99E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(0.042)</w:t>
            </w:r>
          </w:p>
        </w:tc>
        <w:tc>
          <w:tcPr>
            <w:tcW w:w="2070" w:type="dxa"/>
            <w:tcBorders>
              <w:top w:val="nil"/>
              <w:left w:val="nil"/>
              <w:bottom w:val="nil"/>
              <w:right w:val="nil"/>
            </w:tcBorders>
          </w:tcPr>
          <w:p w14:paraId="412A4F2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r>
      <w:tr w:rsidR="00276E7F" w:rsidRPr="00C124C0" w14:paraId="387457EC" w14:textId="77777777" w:rsidTr="000415B4">
        <w:trPr>
          <w:trHeight w:val="289"/>
          <w:jc w:val="center"/>
        </w:trPr>
        <w:tc>
          <w:tcPr>
            <w:tcW w:w="1498" w:type="dxa"/>
            <w:gridSpan w:val="2"/>
            <w:tcBorders>
              <w:top w:val="nil"/>
              <w:left w:val="nil"/>
              <w:bottom w:val="nil"/>
              <w:right w:val="nil"/>
            </w:tcBorders>
          </w:tcPr>
          <w:p w14:paraId="14CDCA5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012" w:type="dxa"/>
            <w:tcBorders>
              <w:top w:val="nil"/>
              <w:left w:val="nil"/>
              <w:bottom w:val="nil"/>
              <w:right w:val="nil"/>
            </w:tcBorders>
          </w:tcPr>
          <w:p w14:paraId="35D8370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310" w:type="dxa"/>
            <w:tcBorders>
              <w:top w:val="nil"/>
              <w:left w:val="nil"/>
              <w:bottom w:val="nil"/>
              <w:right w:val="nil"/>
            </w:tcBorders>
          </w:tcPr>
          <w:p w14:paraId="42C510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100" w:type="dxa"/>
            <w:tcBorders>
              <w:top w:val="nil"/>
              <w:left w:val="nil"/>
              <w:bottom w:val="nil"/>
              <w:right w:val="nil"/>
            </w:tcBorders>
          </w:tcPr>
          <w:p w14:paraId="1D26D26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070" w:type="dxa"/>
            <w:tcBorders>
              <w:top w:val="nil"/>
              <w:left w:val="nil"/>
              <w:bottom w:val="nil"/>
              <w:right w:val="nil"/>
            </w:tcBorders>
          </w:tcPr>
          <w:p w14:paraId="75617F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7D67E65" w14:textId="77777777" w:rsidTr="000415B4">
        <w:trPr>
          <w:trHeight w:val="301"/>
          <w:jc w:val="center"/>
        </w:trPr>
        <w:tc>
          <w:tcPr>
            <w:tcW w:w="1498" w:type="dxa"/>
            <w:gridSpan w:val="2"/>
            <w:tcBorders>
              <w:top w:val="nil"/>
              <w:left w:val="nil"/>
              <w:bottom w:val="nil"/>
              <w:right w:val="nil"/>
            </w:tcBorders>
          </w:tcPr>
          <w:p w14:paraId="625DC9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30B329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310" w:type="dxa"/>
            <w:tcBorders>
              <w:top w:val="nil"/>
              <w:left w:val="nil"/>
              <w:bottom w:val="nil"/>
              <w:right w:val="nil"/>
            </w:tcBorders>
          </w:tcPr>
          <w:p w14:paraId="1FA0C66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100" w:type="dxa"/>
            <w:tcBorders>
              <w:top w:val="nil"/>
              <w:left w:val="nil"/>
              <w:bottom w:val="nil"/>
              <w:right w:val="nil"/>
            </w:tcBorders>
          </w:tcPr>
          <w:p w14:paraId="75E8982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070" w:type="dxa"/>
            <w:tcBorders>
              <w:top w:val="nil"/>
              <w:left w:val="nil"/>
              <w:bottom w:val="nil"/>
              <w:right w:val="nil"/>
            </w:tcBorders>
          </w:tcPr>
          <w:p w14:paraId="772169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76A02A58" w14:textId="77777777" w:rsidTr="000415B4">
        <w:trPr>
          <w:trHeight w:val="289"/>
          <w:jc w:val="center"/>
        </w:trPr>
        <w:tc>
          <w:tcPr>
            <w:tcW w:w="1498" w:type="dxa"/>
            <w:gridSpan w:val="2"/>
            <w:tcBorders>
              <w:top w:val="nil"/>
              <w:left w:val="nil"/>
              <w:bottom w:val="nil"/>
              <w:right w:val="nil"/>
            </w:tcBorders>
          </w:tcPr>
          <w:p w14:paraId="5ABBD6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30E0B7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7CDA3D3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5B6BBD0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4F4073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00D6D9CB" w14:textId="77777777" w:rsidTr="000415B4">
        <w:trPr>
          <w:trHeight w:val="301"/>
          <w:jc w:val="center"/>
        </w:trPr>
        <w:tc>
          <w:tcPr>
            <w:tcW w:w="1498" w:type="dxa"/>
            <w:gridSpan w:val="2"/>
            <w:tcBorders>
              <w:top w:val="nil"/>
              <w:left w:val="nil"/>
              <w:bottom w:val="nil"/>
              <w:right w:val="nil"/>
            </w:tcBorders>
          </w:tcPr>
          <w:p w14:paraId="798569C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012" w:type="dxa"/>
            <w:tcBorders>
              <w:top w:val="nil"/>
              <w:left w:val="nil"/>
              <w:bottom w:val="nil"/>
              <w:right w:val="nil"/>
            </w:tcBorders>
          </w:tcPr>
          <w:p w14:paraId="0E37E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319</w:t>
            </w:r>
          </w:p>
        </w:tc>
        <w:tc>
          <w:tcPr>
            <w:tcW w:w="2310" w:type="dxa"/>
            <w:tcBorders>
              <w:top w:val="nil"/>
              <w:left w:val="nil"/>
              <w:bottom w:val="nil"/>
              <w:right w:val="nil"/>
            </w:tcBorders>
          </w:tcPr>
          <w:p w14:paraId="10EE39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100" w:type="dxa"/>
            <w:tcBorders>
              <w:top w:val="nil"/>
              <w:left w:val="nil"/>
              <w:bottom w:val="nil"/>
              <w:right w:val="nil"/>
            </w:tcBorders>
          </w:tcPr>
          <w:p w14:paraId="1E25098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070" w:type="dxa"/>
            <w:tcBorders>
              <w:top w:val="nil"/>
              <w:left w:val="nil"/>
              <w:bottom w:val="nil"/>
              <w:right w:val="nil"/>
            </w:tcBorders>
          </w:tcPr>
          <w:p w14:paraId="0DEAB9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295</w:t>
            </w:r>
          </w:p>
        </w:tc>
      </w:tr>
      <w:tr w:rsidR="00276E7F" w:rsidRPr="00C124C0" w14:paraId="2D6E58AF" w14:textId="77777777" w:rsidTr="000415B4">
        <w:trPr>
          <w:trHeight w:val="301"/>
          <w:jc w:val="center"/>
        </w:trPr>
        <w:tc>
          <w:tcPr>
            <w:tcW w:w="1498" w:type="dxa"/>
            <w:gridSpan w:val="2"/>
            <w:tcBorders>
              <w:top w:val="nil"/>
              <w:left w:val="nil"/>
              <w:bottom w:val="nil"/>
              <w:right w:val="nil"/>
            </w:tcBorders>
          </w:tcPr>
          <w:p w14:paraId="4D6DF78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012" w:type="dxa"/>
            <w:tcBorders>
              <w:top w:val="nil"/>
              <w:left w:val="nil"/>
              <w:bottom w:val="nil"/>
              <w:right w:val="nil"/>
            </w:tcBorders>
          </w:tcPr>
          <w:p w14:paraId="0EBD7AB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0.899</w:t>
            </w:r>
          </w:p>
        </w:tc>
        <w:tc>
          <w:tcPr>
            <w:tcW w:w="2310" w:type="dxa"/>
            <w:tcBorders>
              <w:top w:val="nil"/>
              <w:left w:val="nil"/>
              <w:bottom w:val="nil"/>
              <w:right w:val="nil"/>
            </w:tcBorders>
          </w:tcPr>
          <w:p w14:paraId="1618A1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0.782</w:t>
            </w:r>
          </w:p>
        </w:tc>
        <w:tc>
          <w:tcPr>
            <w:tcW w:w="2100" w:type="dxa"/>
            <w:tcBorders>
              <w:top w:val="nil"/>
              <w:left w:val="nil"/>
              <w:bottom w:val="nil"/>
              <w:right w:val="nil"/>
            </w:tcBorders>
          </w:tcPr>
          <w:p w14:paraId="49F01DD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0.929</w:t>
            </w:r>
          </w:p>
        </w:tc>
        <w:tc>
          <w:tcPr>
            <w:tcW w:w="2070" w:type="dxa"/>
            <w:tcBorders>
              <w:top w:val="nil"/>
              <w:left w:val="nil"/>
              <w:bottom w:val="nil"/>
              <w:right w:val="nil"/>
            </w:tcBorders>
          </w:tcPr>
          <w:p w14:paraId="1BB5EDB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0.892</w:t>
            </w:r>
          </w:p>
        </w:tc>
      </w:tr>
      <w:tr w:rsidR="00276E7F" w:rsidRPr="00C124C0" w14:paraId="679C497D" w14:textId="77777777" w:rsidTr="000415B4">
        <w:tblPrEx>
          <w:tblBorders>
            <w:bottom w:val="single" w:sz="6" w:space="0" w:color="auto"/>
          </w:tblBorders>
        </w:tblPrEx>
        <w:trPr>
          <w:trHeight w:val="301"/>
          <w:jc w:val="center"/>
        </w:trPr>
        <w:tc>
          <w:tcPr>
            <w:tcW w:w="1498" w:type="dxa"/>
            <w:gridSpan w:val="2"/>
            <w:tcBorders>
              <w:top w:val="nil"/>
              <w:left w:val="nil"/>
              <w:bottom w:val="single" w:sz="6" w:space="0" w:color="auto"/>
              <w:right w:val="nil"/>
            </w:tcBorders>
          </w:tcPr>
          <w:p w14:paraId="7D4CF010"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012" w:type="dxa"/>
            <w:tcBorders>
              <w:top w:val="nil"/>
              <w:left w:val="nil"/>
              <w:bottom w:val="single" w:sz="6" w:space="0" w:color="auto"/>
              <w:right w:val="nil"/>
            </w:tcBorders>
          </w:tcPr>
          <w:p w14:paraId="0BA2826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0.086</w:t>
            </w:r>
          </w:p>
        </w:tc>
        <w:tc>
          <w:tcPr>
            <w:tcW w:w="2310" w:type="dxa"/>
            <w:tcBorders>
              <w:top w:val="nil"/>
              <w:left w:val="nil"/>
              <w:bottom w:val="single" w:sz="6" w:space="0" w:color="auto"/>
              <w:right w:val="nil"/>
            </w:tcBorders>
          </w:tcPr>
          <w:p w14:paraId="7470CB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100" w:type="dxa"/>
            <w:tcBorders>
              <w:top w:val="nil"/>
              <w:left w:val="nil"/>
              <w:bottom w:val="single" w:sz="6" w:space="0" w:color="auto"/>
              <w:right w:val="nil"/>
            </w:tcBorders>
          </w:tcPr>
          <w:p w14:paraId="262BCA8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0.077</w:t>
            </w:r>
          </w:p>
        </w:tc>
        <w:tc>
          <w:tcPr>
            <w:tcW w:w="2070" w:type="dxa"/>
            <w:tcBorders>
              <w:top w:val="nil"/>
              <w:left w:val="nil"/>
              <w:bottom w:val="single" w:sz="6" w:space="0" w:color="auto"/>
              <w:right w:val="nil"/>
            </w:tcBorders>
          </w:tcPr>
          <w:p w14:paraId="79059E7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0.092</w:t>
            </w:r>
          </w:p>
        </w:tc>
      </w:tr>
    </w:tbl>
    <w:p w14:paraId="71BC24BD" w14:textId="77777777" w:rsidR="00276E7F" w:rsidRPr="00C124C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0"/>
        <w:gridCol w:w="2280"/>
        <w:gridCol w:w="2250"/>
        <w:gridCol w:w="2250"/>
      </w:tblGrid>
      <w:tr w:rsidR="00276E7F" w:rsidRPr="00C124C0" w14:paraId="01CC79A4" w14:textId="77777777" w:rsidTr="000415B4">
        <w:trPr>
          <w:trHeight w:val="258"/>
          <w:jc w:val="center"/>
        </w:trPr>
        <w:tc>
          <w:tcPr>
            <w:tcW w:w="1500" w:type="dxa"/>
            <w:tcBorders>
              <w:top w:val="single" w:sz="6" w:space="0" w:color="auto"/>
              <w:left w:val="nil"/>
              <w:bottom w:val="nil"/>
              <w:right w:val="nil"/>
            </w:tcBorders>
          </w:tcPr>
          <w:p w14:paraId="59DA48D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single" w:sz="6" w:space="0" w:color="auto"/>
              <w:left w:val="nil"/>
              <w:bottom w:val="nil"/>
              <w:right w:val="nil"/>
            </w:tcBorders>
          </w:tcPr>
          <w:p w14:paraId="262851F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C124C0">
              <w:rPr>
                <w:rFonts w:cstheme="minorHAnsi"/>
                <w:sz w:val="24"/>
                <w:szCs w:val="24"/>
              </w:rPr>
              <w:t>)</w:t>
            </w:r>
          </w:p>
        </w:tc>
        <w:tc>
          <w:tcPr>
            <w:tcW w:w="2250" w:type="dxa"/>
            <w:tcBorders>
              <w:top w:val="single" w:sz="6" w:space="0" w:color="auto"/>
              <w:left w:val="nil"/>
              <w:bottom w:val="nil"/>
              <w:right w:val="nil"/>
            </w:tcBorders>
          </w:tcPr>
          <w:p w14:paraId="73DD5A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6</w:t>
            </w:r>
            <w:r w:rsidRPr="00C124C0">
              <w:rPr>
                <w:rFonts w:cstheme="minorHAnsi"/>
                <w:sz w:val="24"/>
                <w:szCs w:val="24"/>
              </w:rPr>
              <w:t>)</w:t>
            </w:r>
          </w:p>
        </w:tc>
        <w:tc>
          <w:tcPr>
            <w:tcW w:w="2250" w:type="dxa"/>
            <w:tcBorders>
              <w:top w:val="single" w:sz="6" w:space="0" w:color="auto"/>
              <w:left w:val="nil"/>
              <w:bottom w:val="nil"/>
              <w:right w:val="nil"/>
            </w:tcBorders>
          </w:tcPr>
          <w:p w14:paraId="0DF818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7</w:t>
            </w:r>
            <w:r w:rsidRPr="00C124C0">
              <w:rPr>
                <w:rFonts w:cstheme="minorHAnsi"/>
                <w:sz w:val="24"/>
                <w:szCs w:val="24"/>
              </w:rPr>
              <w:t>)</w:t>
            </w:r>
          </w:p>
        </w:tc>
      </w:tr>
      <w:tr w:rsidR="00276E7F" w:rsidRPr="00C124C0" w14:paraId="0D5A86E3" w14:textId="77777777" w:rsidTr="000415B4">
        <w:trPr>
          <w:trHeight w:val="258"/>
          <w:jc w:val="center"/>
        </w:trPr>
        <w:tc>
          <w:tcPr>
            <w:tcW w:w="1500" w:type="dxa"/>
            <w:tcBorders>
              <w:top w:val="nil"/>
              <w:left w:val="nil"/>
              <w:bottom w:val="single" w:sz="6" w:space="0" w:color="auto"/>
              <w:right w:val="nil"/>
            </w:tcBorders>
          </w:tcPr>
          <w:p w14:paraId="1C633CBB"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80" w:type="dxa"/>
            <w:tcBorders>
              <w:top w:val="nil"/>
              <w:left w:val="nil"/>
              <w:bottom w:val="single" w:sz="6" w:space="0" w:color="auto"/>
              <w:right w:val="nil"/>
            </w:tcBorders>
          </w:tcPr>
          <w:p w14:paraId="261D959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5/5/2010-8/19/2011</w:t>
            </w:r>
          </w:p>
        </w:tc>
        <w:tc>
          <w:tcPr>
            <w:tcW w:w="2250" w:type="dxa"/>
            <w:tcBorders>
              <w:top w:val="nil"/>
              <w:left w:val="nil"/>
              <w:bottom w:val="single" w:sz="6" w:space="0" w:color="auto"/>
              <w:right w:val="nil"/>
            </w:tcBorders>
          </w:tcPr>
          <w:p w14:paraId="5800D9E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8/22/2011-3/1/2013</w:t>
            </w:r>
          </w:p>
        </w:tc>
        <w:tc>
          <w:tcPr>
            <w:tcW w:w="2250" w:type="dxa"/>
            <w:tcBorders>
              <w:top w:val="nil"/>
              <w:left w:val="nil"/>
              <w:bottom w:val="single" w:sz="6" w:space="0" w:color="auto"/>
              <w:right w:val="nil"/>
            </w:tcBorders>
          </w:tcPr>
          <w:p w14:paraId="33B3A1F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3/4/2013-2/28/2017</w:t>
            </w:r>
          </w:p>
        </w:tc>
      </w:tr>
      <w:tr w:rsidR="00276E7F" w:rsidRPr="00C124C0" w14:paraId="796E416D" w14:textId="77777777" w:rsidTr="000415B4">
        <w:trPr>
          <w:trHeight w:val="258"/>
          <w:jc w:val="center"/>
        </w:trPr>
        <w:tc>
          <w:tcPr>
            <w:tcW w:w="1500" w:type="dxa"/>
            <w:tcBorders>
              <w:top w:val="nil"/>
              <w:left w:val="nil"/>
              <w:bottom w:val="nil"/>
              <w:right w:val="nil"/>
            </w:tcBorders>
          </w:tcPr>
          <w:p w14:paraId="75DDEB90" w14:textId="2769575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280" w:type="dxa"/>
            <w:tcBorders>
              <w:top w:val="nil"/>
              <w:left w:val="nil"/>
              <w:bottom w:val="nil"/>
              <w:right w:val="nil"/>
            </w:tcBorders>
          </w:tcPr>
          <w:p w14:paraId="5DA2FD4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0.376***</w:t>
            </w:r>
          </w:p>
        </w:tc>
        <w:tc>
          <w:tcPr>
            <w:tcW w:w="2250" w:type="dxa"/>
            <w:tcBorders>
              <w:top w:val="nil"/>
              <w:left w:val="nil"/>
              <w:bottom w:val="nil"/>
              <w:right w:val="nil"/>
            </w:tcBorders>
          </w:tcPr>
          <w:p w14:paraId="50DA8F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0.218*</w:t>
            </w:r>
          </w:p>
        </w:tc>
        <w:tc>
          <w:tcPr>
            <w:tcW w:w="2250" w:type="dxa"/>
            <w:tcBorders>
              <w:top w:val="nil"/>
              <w:left w:val="nil"/>
              <w:bottom w:val="nil"/>
              <w:right w:val="nil"/>
            </w:tcBorders>
          </w:tcPr>
          <w:p w14:paraId="6BCED92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0.379***</w:t>
            </w:r>
          </w:p>
        </w:tc>
      </w:tr>
      <w:tr w:rsidR="00276E7F" w:rsidRPr="00C124C0" w14:paraId="280AD0A7" w14:textId="77777777" w:rsidTr="000415B4">
        <w:trPr>
          <w:trHeight w:val="267"/>
          <w:jc w:val="center"/>
        </w:trPr>
        <w:tc>
          <w:tcPr>
            <w:tcW w:w="1500" w:type="dxa"/>
            <w:tcBorders>
              <w:top w:val="nil"/>
              <w:left w:val="nil"/>
              <w:bottom w:val="nil"/>
              <w:right w:val="nil"/>
            </w:tcBorders>
          </w:tcPr>
          <w:p w14:paraId="15D0E7B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0A56075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(0.084)</w:t>
            </w:r>
          </w:p>
        </w:tc>
        <w:tc>
          <w:tcPr>
            <w:tcW w:w="2250" w:type="dxa"/>
            <w:tcBorders>
              <w:top w:val="nil"/>
              <w:left w:val="nil"/>
              <w:bottom w:val="nil"/>
              <w:right w:val="nil"/>
            </w:tcBorders>
          </w:tcPr>
          <w:p w14:paraId="216530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(0.113)</w:t>
            </w:r>
          </w:p>
        </w:tc>
        <w:tc>
          <w:tcPr>
            <w:tcW w:w="2250" w:type="dxa"/>
            <w:tcBorders>
              <w:top w:val="nil"/>
              <w:left w:val="nil"/>
              <w:bottom w:val="nil"/>
              <w:right w:val="nil"/>
            </w:tcBorders>
          </w:tcPr>
          <w:p w14:paraId="42112D7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(0.033)</w:t>
            </w:r>
          </w:p>
        </w:tc>
      </w:tr>
      <w:tr w:rsidR="00276E7F" w:rsidRPr="00C124C0" w14:paraId="70284A35" w14:textId="77777777" w:rsidTr="000415B4">
        <w:trPr>
          <w:trHeight w:val="267"/>
          <w:jc w:val="center"/>
        </w:trPr>
        <w:tc>
          <w:tcPr>
            <w:tcW w:w="1500" w:type="dxa"/>
            <w:tcBorders>
              <w:top w:val="nil"/>
              <w:left w:val="nil"/>
              <w:bottom w:val="nil"/>
              <w:right w:val="nil"/>
            </w:tcBorders>
          </w:tcPr>
          <w:p w14:paraId="41F3720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280" w:type="dxa"/>
            <w:tcBorders>
              <w:top w:val="nil"/>
              <w:left w:val="nil"/>
              <w:bottom w:val="nil"/>
              <w:right w:val="nil"/>
            </w:tcBorders>
          </w:tcPr>
          <w:p w14:paraId="33697A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0.324***</w:t>
            </w:r>
          </w:p>
        </w:tc>
        <w:tc>
          <w:tcPr>
            <w:tcW w:w="2250" w:type="dxa"/>
            <w:tcBorders>
              <w:top w:val="nil"/>
              <w:left w:val="nil"/>
              <w:bottom w:val="nil"/>
              <w:right w:val="nil"/>
            </w:tcBorders>
          </w:tcPr>
          <w:p w14:paraId="708622C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0.309***</w:t>
            </w:r>
          </w:p>
        </w:tc>
        <w:tc>
          <w:tcPr>
            <w:tcW w:w="2250" w:type="dxa"/>
            <w:tcBorders>
              <w:top w:val="nil"/>
              <w:left w:val="nil"/>
              <w:bottom w:val="nil"/>
              <w:right w:val="nil"/>
            </w:tcBorders>
          </w:tcPr>
          <w:p w14:paraId="64F0423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0.316***</w:t>
            </w:r>
          </w:p>
        </w:tc>
      </w:tr>
      <w:tr w:rsidR="00276E7F" w:rsidRPr="00C124C0" w14:paraId="69A40E10" w14:textId="77777777" w:rsidTr="000415B4">
        <w:trPr>
          <w:trHeight w:val="258"/>
          <w:jc w:val="center"/>
        </w:trPr>
        <w:tc>
          <w:tcPr>
            <w:tcW w:w="1500" w:type="dxa"/>
            <w:tcBorders>
              <w:top w:val="nil"/>
              <w:left w:val="nil"/>
              <w:bottom w:val="nil"/>
              <w:right w:val="nil"/>
            </w:tcBorders>
          </w:tcPr>
          <w:p w14:paraId="54B3CF7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12BA8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c>
          <w:tcPr>
            <w:tcW w:w="2250" w:type="dxa"/>
            <w:tcBorders>
              <w:top w:val="nil"/>
              <w:left w:val="nil"/>
              <w:bottom w:val="nil"/>
              <w:right w:val="nil"/>
            </w:tcBorders>
          </w:tcPr>
          <w:p w14:paraId="52DFC84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250" w:type="dxa"/>
            <w:tcBorders>
              <w:top w:val="nil"/>
              <w:left w:val="nil"/>
              <w:bottom w:val="nil"/>
              <w:right w:val="nil"/>
            </w:tcBorders>
          </w:tcPr>
          <w:p w14:paraId="6E12FD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(0.011)</w:t>
            </w:r>
          </w:p>
        </w:tc>
      </w:tr>
      <w:tr w:rsidR="00276E7F" w:rsidRPr="00C124C0" w14:paraId="4E798334" w14:textId="77777777" w:rsidTr="000415B4">
        <w:trPr>
          <w:trHeight w:val="267"/>
          <w:jc w:val="center"/>
        </w:trPr>
        <w:tc>
          <w:tcPr>
            <w:tcW w:w="1500" w:type="dxa"/>
            <w:tcBorders>
              <w:top w:val="nil"/>
              <w:left w:val="nil"/>
              <w:bottom w:val="nil"/>
              <w:right w:val="nil"/>
            </w:tcBorders>
          </w:tcPr>
          <w:p w14:paraId="55BC7904" w14:textId="0F486965"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3A7B7C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0.048***</w:t>
            </w:r>
          </w:p>
        </w:tc>
        <w:tc>
          <w:tcPr>
            <w:tcW w:w="2250" w:type="dxa"/>
            <w:tcBorders>
              <w:top w:val="nil"/>
              <w:left w:val="nil"/>
              <w:bottom w:val="nil"/>
              <w:right w:val="nil"/>
            </w:tcBorders>
          </w:tcPr>
          <w:p w14:paraId="2E5C54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0.057**</w:t>
            </w:r>
          </w:p>
        </w:tc>
        <w:tc>
          <w:tcPr>
            <w:tcW w:w="2250" w:type="dxa"/>
            <w:tcBorders>
              <w:top w:val="nil"/>
              <w:left w:val="nil"/>
              <w:bottom w:val="nil"/>
              <w:right w:val="nil"/>
            </w:tcBorders>
          </w:tcPr>
          <w:p w14:paraId="271E3F9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0.081***</w:t>
            </w:r>
          </w:p>
        </w:tc>
      </w:tr>
      <w:tr w:rsidR="00276E7F" w:rsidRPr="00C124C0" w14:paraId="159D4FB1" w14:textId="77777777" w:rsidTr="000415B4">
        <w:trPr>
          <w:trHeight w:val="258"/>
          <w:jc w:val="center"/>
        </w:trPr>
        <w:tc>
          <w:tcPr>
            <w:tcW w:w="1500" w:type="dxa"/>
            <w:tcBorders>
              <w:top w:val="nil"/>
              <w:left w:val="nil"/>
              <w:bottom w:val="nil"/>
              <w:right w:val="nil"/>
            </w:tcBorders>
          </w:tcPr>
          <w:p w14:paraId="26AB407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2D45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(0.018)</w:t>
            </w:r>
          </w:p>
        </w:tc>
        <w:tc>
          <w:tcPr>
            <w:tcW w:w="2250" w:type="dxa"/>
            <w:tcBorders>
              <w:top w:val="nil"/>
              <w:left w:val="nil"/>
              <w:bottom w:val="nil"/>
              <w:right w:val="nil"/>
            </w:tcBorders>
          </w:tcPr>
          <w:p w14:paraId="783890C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c>
          <w:tcPr>
            <w:tcW w:w="2250" w:type="dxa"/>
            <w:tcBorders>
              <w:top w:val="nil"/>
              <w:left w:val="nil"/>
              <w:bottom w:val="nil"/>
              <w:right w:val="nil"/>
            </w:tcBorders>
          </w:tcPr>
          <w:p w14:paraId="2D183B0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(0.008)</w:t>
            </w:r>
          </w:p>
        </w:tc>
      </w:tr>
      <w:tr w:rsidR="00276E7F" w:rsidRPr="00C124C0" w14:paraId="56F81BD7" w14:textId="77777777" w:rsidTr="000415B4">
        <w:trPr>
          <w:trHeight w:val="267"/>
          <w:jc w:val="center"/>
        </w:trPr>
        <w:tc>
          <w:tcPr>
            <w:tcW w:w="1500" w:type="dxa"/>
            <w:tcBorders>
              <w:top w:val="nil"/>
              <w:left w:val="nil"/>
              <w:bottom w:val="nil"/>
              <w:right w:val="nil"/>
            </w:tcBorders>
          </w:tcPr>
          <w:p w14:paraId="4F06EC1A" w14:textId="67FFF16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579C812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0.166**</w:t>
            </w:r>
          </w:p>
        </w:tc>
        <w:tc>
          <w:tcPr>
            <w:tcW w:w="2250" w:type="dxa"/>
            <w:tcBorders>
              <w:top w:val="nil"/>
              <w:left w:val="nil"/>
              <w:bottom w:val="nil"/>
              <w:right w:val="nil"/>
            </w:tcBorders>
          </w:tcPr>
          <w:p w14:paraId="2A12A71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0.189*</w:t>
            </w:r>
          </w:p>
        </w:tc>
        <w:tc>
          <w:tcPr>
            <w:tcW w:w="2250" w:type="dxa"/>
            <w:tcBorders>
              <w:top w:val="nil"/>
              <w:left w:val="nil"/>
              <w:bottom w:val="nil"/>
              <w:right w:val="nil"/>
            </w:tcBorders>
          </w:tcPr>
          <w:p w14:paraId="28A181A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0.100***</w:t>
            </w:r>
          </w:p>
        </w:tc>
      </w:tr>
      <w:tr w:rsidR="00276E7F" w:rsidRPr="00C124C0" w14:paraId="2F28E991" w14:textId="77777777" w:rsidTr="000415B4">
        <w:trPr>
          <w:trHeight w:val="267"/>
          <w:jc w:val="center"/>
        </w:trPr>
        <w:tc>
          <w:tcPr>
            <w:tcW w:w="1500" w:type="dxa"/>
            <w:tcBorders>
              <w:top w:val="nil"/>
              <w:left w:val="nil"/>
              <w:bottom w:val="nil"/>
              <w:right w:val="nil"/>
            </w:tcBorders>
          </w:tcPr>
          <w:p w14:paraId="0750F31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478A164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250" w:type="dxa"/>
            <w:tcBorders>
              <w:top w:val="nil"/>
              <w:left w:val="nil"/>
              <w:bottom w:val="nil"/>
              <w:right w:val="nil"/>
            </w:tcBorders>
          </w:tcPr>
          <w:p w14:paraId="1785EE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(0.106)</w:t>
            </w:r>
          </w:p>
        </w:tc>
        <w:tc>
          <w:tcPr>
            <w:tcW w:w="2250" w:type="dxa"/>
            <w:tcBorders>
              <w:top w:val="nil"/>
              <w:left w:val="nil"/>
              <w:bottom w:val="nil"/>
              <w:right w:val="nil"/>
            </w:tcBorders>
          </w:tcPr>
          <w:p w14:paraId="081881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r>
      <w:tr w:rsidR="00276E7F" w:rsidRPr="00C124C0" w14:paraId="6DD925E3" w14:textId="77777777" w:rsidTr="000415B4">
        <w:trPr>
          <w:trHeight w:val="258"/>
          <w:jc w:val="center"/>
        </w:trPr>
        <w:tc>
          <w:tcPr>
            <w:tcW w:w="1500" w:type="dxa"/>
            <w:tcBorders>
              <w:top w:val="nil"/>
              <w:left w:val="nil"/>
              <w:bottom w:val="nil"/>
              <w:right w:val="nil"/>
            </w:tcBorders>
          </w:tcPr>
          <w:p w14:paraId="4F952C6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280" w:type="dxa"/>
            <w:tcBorders>
              <w:top w:val="nil"/>
              <w:left w:val="nil"/>
              <w:bottom w:val="nil"/>
              <w:right w:val="nil"/>
            </w:tcBorders>
          </w:tcPr>
          <w:p w14:paraId="28D5454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0.477***</w:t>
            </w:r>
          </w:p>
        </w:tc>
        <w:tc>
          <w:tcPr>
            <w:tcW w:w="2250" w:type="dxa"/>
            <w:tcBorders>
              <w:top w:val="nil"/>
              <w:left w:val="nil"/>
              <w:bottom w:val="nil"/>
              <w:right w:val="nil"/>
            </w:tcBorders>
          </w:tcPr>
          <w:p w14:paraId="18CEC6A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0.314***</w:t>
            </w:r>
          </w:p>
        </w:tc>
        <w:tc>
          <w:tcPr>
            <w:tcW w:w="2250" w:type="dxa"/>
            <w:tcBorders>
              <w:top w:val="nil"/>
              <w:left w:val="nil"/>
              <w:bottom w:val="nil"/>
              <w:right w:val="nil"/>
            </w:tcBorders>
          </w:tcPr>
          <w:p w14:paraId="4FA7A7B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0.724***</w:t>
            </w:r>
          </w:p>
        </w:tc>
      </w:tr>
      <w:tr w:rsidR="00276E7F" w:rsidRPr="00C124C0" w14:paraId="23D95323" w14:textId="77777777" w:rsidTr="000415B4">
        <w:trPr>
          <w:trHeight w:val="267"/>
          <w:jc w:val="center"/>
        </w:trPr>
        <w:tc>
          <w:tcPr>
            <w:tcW w:w="1500" w:type="dxa"/>
            <w:tcBorders>
              <w:top w:val="nil"/>
              <w:left w:val="nil"/>
              <w:bottom w:val="nil"/>
              <w:right w:val="nil"/>
            </w:tcBorders>
          </w:tcPr>
          <w:p w14:paraId="3E8F67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E858B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(0.027)</w:t>
            </w:r>
          </w:p>
        </w:tc>
        <w:tc>
          <w:tcPr>
            <w:tcW w:w="2250" w:type="dxa"/>
            <w:tcBorders>
              <w:top w:val="nil"/>
              <w:left w:val="nil"/>
              <w:bottom w:val="nil"/>
              <w:right w:val="nil"/>
            </w:tcBorders>
          </w:tcPr>
          <w:p w14:paraId="04394B9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250" w:type="dxa"/>
            <w:tcBorders>
              <w:top w:val="nil"/>
              <w:left w:val="nil"/>
              <w:bottom w:val="nil"/>
              <w:right w:val="nil"/>
            </w:tcBorders>
          </w:tcPr>
          <w:p w14:paraId="2514A3B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(0.017)</w:t>
            </w:r>
          </w:p>
        </w:tc>
      </w:tr>
      <w:tr w:rsidR="00276E7F" w:rsidRPr="00C124C0" w14:paraId="0C940D99" w14:textId="77777777" w:rsidTr="000415B4">
        <w:trPr>
          <w:trHeight w:val="258"/>
          <w:jc w:val="center"/>
        </w:trPr>
        <w:tc>
          <w:tcPr>
            <w:tcW w:w="1500" w:type="dxa"/>
            <w:tcBorders>
              <w:top w:val="nil"/>
              <w:left w:val="nil"/>
              <w:bottom w:val="nil"/>
              <w:right w:val="nil"/>
            </w:tcBorders>
          </w:tcPr>
          <w:p w14:paraId="63572D4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280" w:type="dxa"/>
            <w:tcBorders>
              <w:top w:val="nil"/>
              <w:left w:val="nil"/>
              <w:bottom w:val="nil"/>
              <w:right w:val="nil"/>
            </w:tcBorders>
          </w:tcPr>
          <w:p w14:paraId="22709B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250" w:type="dxa"/>
            <w:tcBorders>
              <w:top w:val="nil"/>
              <w:left w:val="nil"/>
              <w:bottom w:val="nil"/>
              <w:right w:val="nil"/>
            </w:tcBorders>
          </w:tcPr>
          <w:p w14:paraId="55165C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55D5F7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38FC903" w14:textId="77777777" w:rsidTr="000415B4">
        <w:trPr>
          <w:trHeight w:val="267"/>
          <w:jc w:val="center"/>
        </w:trPr>
        <w:tc>
          <w:tcPr>
            <w:tcW w:w="1500" w:type="dxa"/>
            <w:tcBorders>
              <w:top w:val="nil"/>
              <w:left w:val="nil"/>
              <w:bottom w:val="nil"/>
              <w:right w:val="nil"/>
            </w:tcBorders>
          </w:tcPr>
          <w:p w14:paraId="26DA4E4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FFA77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66C464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175C861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C544554" w14:textId="77777777" w:rsidTr="000415B4">
        <w:trPr>
          <w:trHeight w:val="258"/>
          <w:jc w:val="center"/>
        </w:trPr>
        <w:tc>
          <w:tcPr>
            <w:tcW w:w="1500" w:type="dxa"/>
            <w:tcBorders>
              <w:top w:val="nil"/>
              <w:left w:val="nil"/>
              <w:bottom w:val="nil"/>
              <w:right w:val="nil"/>
            </w:tcBorders>
          </w:tcPr>
          <w:p w14:paraId="3718E20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280" w:type="dxa"/>
            <w:tcBorders>
              <w:top w:val="nil"/>
              <w:left w:val="nil"/>
              <w:bottom w:val="nil"/>
              <w:right w:val="nil"/>
            </w:tcBorders>
          </w:tcPr>
          <w:p w14:paraId="50A3E5B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325</w:t>
            </w:r>
          </w:p>
        </w:tc>
        <w:tc>
          <w:tcPr>
            <w:tcW w:w="2250" w:type="dxa"/>
            <w:tcBorders>
              <w:top w:val="nil"/>
              <w:left w:val="nil"/>
              <w:bottom w:val="nil"/>
              <w:right w:val="nil"/>
            </w:tcBorders>
          </w:tcPr>
          <w:p w14:paraId="3AB02F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383</w:t>
            </w:r>
          </w:p>
        </w:tc>
        <w:tc>
          <w:tcPr>
            <w:tcW w:w="2250" w:type="dxa"/>
            <w:tcBorders>
              <w:top w:val="nil"/>
              <w:left w:val="nil"/>
              <w:bottom w:val="nil"/>
              <w:right w:val="nil"/>
            </w:tcBorders>
          </w:tcPr>
          <w:p w14:paraId="1413F2B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998</w:t>
            </w:r>
          </w:p>
        </w:tc>
      </w:tr>
      <w:tr w:rsidR="00276E7F" w:rsidRPr="00C124C0" w14:paraId="246701FA" w14:textId="77777777" w:rsidTr="000415B4">
        <w:trPr>
          <w:trHeight w:val="267"/>
          <w:jc w:val="center"/>
        </w:trPr>
        <w:tc>
          <w:tcPr>
            <w:tcW w:w="1500" w:type="dxa"/>
            <w:tcBorders>
              <w:top w:val="nil"/>
              <w:left w:val="nil"/>
              <w:bottom w:val="nil"/>
              <w:right w:val="nil"/>
            </w:tcBorders>
          </w:tcPr>
          <w:p w14:paraId="27F48D58"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280" w:type="dxa"/>
            <w:tcBorders>
              <w:top w:val="nil"/>
              <w:left w:val="nil"/>
              <w:bottom w:val="nil"/>
              <w:right w:val="nil"/>
            </w:tcBorders>
          </w:tcPr>
          <w:p w14:paraId="6BDF3D0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0.872</w:t>
            </w:r>
          </w:p>
        </w:tc>
        <w:tc>
          <w:tcPr>
            <w:tcW w:w="2250" w:type="dxa"/>
            <w:tcBorders>
              <w:top w:val="nil"/>
              <w:left w:val="nil"/>
              <w:bottom w:val="nil"/>
              <w:right w:val="nil"/>
            </w:tcBorders>
          </w:tcPr>
          <w:p w14:paraId="6E357AD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0.645</w:t>
            </w:r>
          </w:p>
        </w:tc>
        <w:tc>
          <w:tcPr>
            <w:tcW w:w="2250" w:type="dxa"/>
            <w:tcBorders>
              <w:top w:val="nil"/>
              <w:left w:val="nil"/>
              <w:bottom w:val="nil"/>
              <w:right w:val="nil"/>
            </w:tcBorders>
          </w:tcPr>
          <w:p w14:paraId="14B5FA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0.934</w:t>
            </w:r>
          </w:p>
        </w:tc>
      </w:tr>
      <w:tr w:rsidR="00276E7F" w:rsidRPr="00C124C0" w14:paraId="6053553C" w14:textId="77777777" w:rsidTr="000415B4">
        <w:tblPrEx>
          <w:tblBorders>
            <w:bottom w:val="single" w:sz="6" w:space="0" w:color="auto"/>
          </w:tblBorders>
        </w:tblPrEx>
        <w:trPr>
          <w:trHeight w:val="258"/>
          <w:jc w:val="center"/>
        </w:trPr>
        <w:tc>
          <w:tcPr>
            <w:tcW w:w="1500" w:type="dxa"/>
            <w:tcBorders>
              <w:top w:val="nil"/>
              <w:left w:val="nil"/>
              <w:bottom w:val="single" w:sz="6" w:space="0" w:color="auto"/>
              <w:right w:val="nil"/>
            </w:tcBorders>
          </w:tcPr>
          <w:p w14:paraId="1EC3A50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280" w:type="dxa"/>
            <w:tcBorders>
              <w:top w:val="nil"/>
              <w:left w:val="nil"/>
              <w:bottom w:val="single" w:sz="6" w:space="0" w:color="auto"/>
              <w:right w:val="nil"/>
            </w:tcBorders>
          </w:tcPr>
          <w:p w14:paraId="529F6CF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0.085</w:t>
            </w:r>
          </w:p>
        </w:tc>
        <w:tc>
          <w:tcPr>
            <w:tcW w:w="2250" w:type="dxa"/>
            <w:tcBorders>
              <w:top w:val="nil"/>
              <w:left w:val="nil"/>
              <w:bottom w:val="single" w:sz="6" w:space="0" w:color="auto"/>
              <w:right w:val="nil"/>
            </w:tcBorders>
          </w:tcPr>
          <w:p w14:paraId="49231A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0.227</w:t>
            </w:r>
          </w:p>
        </w:tc>
        <w:tc>
          <w:tcPr>
            <w:tcW w:w="2250" w:type="dxa"/>
            <w:tcBorders>
              <w:top w:val="nil"/>
              <w:left w:val="nil"/>
              <w:bottom w:val="single" w:sz="6" w:space="0" w:color="auto"/>
              <w:right w:val="nil"/>
            </w:tcBorders>
          </w:tcPr>
          <w:p w14:paraId="62AEA0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0.124</w:t>
            </w:r>
          </w:p>
        </w:tc>
      </w:tr>
    </w:tbl>
    <w:p w14:paraId="77F9C838" w14:textId="4B8E264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E861C8">
        <w:rPr>
          <w:rFonts w:cs="Times New Roman"/>
          <w:sz w:val="16"/>
          <w:szCs w:val="16"/>
        </w:rPr>
        <w:br/>
      </w:r>
      <w:r w:rsidR="00276E7F" w:rsidRPr="006F7AA5">
        <w:rPr>
          <w:rFonts w:cs="Times New Roman"/>
          <w:sz w:val="24"/>
          <w:szCs w:val="24"/>
        </w:rPr>
        <w:t>*** p&lt;0.01, ** p&lt;0.05, * p&lt;0.1</w:t>
      </w:r>
      <w:r w:rsidR="00276E7F">
        <w:rPr>
          <w:rFonts w:cs="Times New Roman"/>
          <w:sz w:val="24"/>
          <w:szCs w:val="24"/>
        </w:rPr>
        <w:t>.  (</w:t>
      </w:r>
      <w:r w:rsidR="00276E7F" w:rsidRPr="006F7AA5">
        <w:rPr>
          <w:rFonts w:cs="Times New Roman"/>
          <w:sz w:val="24"/>
          <w:szCs w:val="24"/>
        </w:rPr>
        <w:t>Robust standard errors in parentheses</w:t>
      </w:r>
      <w:r w:rsidR="00276E7F">
        <w:rPr>
          <w:rFonts w:cs="Times New Roman"/>
          <w:sz w:val="24"/>
          <w:szCs w:val="24"/>
        </w:rPr>
        <w:t>.)</w:t>
      </w:r>
      <w:r w:rsidRPr="00E861C8">
        <w:rPr>
          <w:rFonts w:cs="Times New Roman"/>
          <w:sz w:val="16"/>
          <w:szCs w:val="16"/>
        </w:rPr>
        <w:br/>
      </w:r>
      <w:r w:rsidRPr="00E861C8">
        <w:rPr>
          <w:rFonts w:cs="Times New Roman"/>
          <w:sz w:val="16"/>
          <w:szCs w:val="16"/>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r>
        <w:rPr>
          <w:rFonts w:cs="Times New Roman"/>
          <w:sz w:val="24"/>
          <w:szCs w:val="24"/>
        </w:rPr>
        <w:br/>
      </w:r>
    </w:p>
    <w:p w14:paraId="4482FBFD" w14:textId="77777777" w:rsidR="00276E7F" w:rsidRPr="00F16FB7" w:rsidRDefault="00276E7F" w:rsidP="00276E7F">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lastRenderedPageBreak/>
        <w:t>South Korea: Identifying Break Points in South Korea 's Exchange Rate Regime</w:t>
      </w:r>
    </w:p>
    <w:p w14:paraId="7009E542" w14:textId="30C2E200" w:rsidR="00276E7F" w:rsidRDefault="001449A6" w:rsidP="00276E7F">
      <w:pPr>
        <w:pStyle w:val="ListParagraph"/>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-M2:2013</w:t>
      </w:r>
    </w:p>
    <w:p w14:paraId="46AD18B3" w14:textId="77777777" w:rsidR="00276E7F" w:rsidRDefault="00276E7F" w:rsidP="00276E7F">
      <w:pPr>
        <w:pStyle w:val="ListParagraph"/>
        <w:widowControl w:val="0"/>
        <w:autoSpaceDE w:val="0"/>
        <w:autoSpaceDN w:val="0"/>
        <w:adjustRightInd w:val="0"/>
        <w:spacing w:after="0" w:line="240" w:lineRule="auto"/>
        <w:jc w:val="center"/>
        <w:rPr>
          <w:rFonts w:cs="Times New Roman"/>
          <w:sz w:val="24"/>
          <w:szCs w:val="24"/>
        </w:rPr>
      </w:pPr>
    </w:p>
    <w:tbl>
      <w:tblPr>
        <w:tblW w:w="10289" w:type="dxa"/>
        <w:jc w:val="center"/>
        <w:tblLayout w:type="fixed"/>
        <w:tblCellMar>
          <w:left w:w="75" w:type="dxa"/>
          <w:right w:w="75" w:type="dxa"/>
        </w:tblCellMar>
        <w:tblLook w:val="0000" w:firstRow="0" w:lastRow="0" w:firstColumn="0" w:lastColumn="0" w:noHBand="0" w:noVBand="0"/>
      </w:tblPr>
      <w:tblGrid>
        <w:gridCol w:w="1594"/>
        <w:gridCol w:w="2240"/>
        <w:gridCol w:w="2240"/>
        <w:gridCol w:w="2122"/>
        <w:gridCol w:w="2093"/>
      </w:tblGrid>
      <w:tr w:rsidR="00276E7F" w:rsidRPr="00404187" w14:paraId="0D09E738" w14:textId="77777777" w:rsidTr="00E861C8">
        <w:trPr>
          <w:trHeight w:val="299"/>
          <w:jc w:val="center"/>
        </w:trPr>
        <w:tc>
          <w:tcPr>
            <w:tcW w:w="1594" w:type="dxa"/>
            <w:tcBorders>
              <w:top w:val="single" w:sz="6" w:space="0" w:color="auto"/>
              <w:left w:val="nil"/>
              <w:bottom w:val="nil"/>
              <w:right w:val="nil"/>
            </w:tcBorders>
          </w:tcPr>
          <w:p w14:paraId="7999717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single" w:sz="6" w:space="0" w:color="auto"/>
              <w:left w:val="nil"/>
              <w:bottom w:val="nil"/>
              <w:right w:val="nil"/>
            </w:tcBorders>
          </w:tcPr>
          <w:p w14:paraId="0EA2549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240" w:type="dxa"/>
            <w:tcBorders>
              <w:top w:val="single" w:sz="6" w:space="0" w:color="auto"/>
              <w:left w:val="nil"/>
              <w:bottom w:val="nil"/>
              <w:right w:val="nil"/>
            </w:tcBorders>
          </w:tcPr>
          <w:p w14:paraId="049422F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22" w:type="dxa"/>
            <w:tcBorders>
              <w:top w:val="single" w:sz="6" w:space="0" w:color="auto"/>
              <w:left w:val="nil"/>
              <w:bottom w:val="nil"/>
              <w:right w:val="nil"/>
            </w:tcBorders>
          </w:tcPr>
          <w:p w14:paraId="420E05B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93" w:type="dxa"/>
            <w:tcBorders>
              <w:top w:val="single" w:sz="6" w:space="0" w:color="auto"/>
              <w:left w:val="nil"/>
              <w:bottom w:val="nil"/>
              <w:right w:val="nil"/>
            </w:tcBorders>
          </w:tcPr>
          <w:p w14:paraId="2EFF23B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404187" w14:paraId="1C966195" w14:textId="77777777" w:rsidTr="00E861C8">
        <w:trPr>
          <w:trHeight w:val="310"/>
          <w:jc w:val="center"/>
        </w:trPr>
        <w:tc>
          <w:tcPr>
            <w:tcW w:w="1594" w:type="dxa"/>
            <w:tcBorders>
              <w:top w:val="nil"/>
              <w:left w:val="nil"/>
              <w:bottom w:val="single" w:sz="6" w:space="0" w:color="auto"/>
              <w:right w:val="nil"/>
            </w:tcBorders>
          </w:tcPr>
          <w:p w14:paraId="4FF80A9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VARIABLES</w:t>
            </w:r>
          </w:p>
        </w:tc>
        <w:tc>
          <w:tcPr>
            <w:tcW w:w="2240" w:type="dxa"/>
            <w:tcBorders>
              <w:top w:val="nil"/>
              <w:left w:val="nil"/>
              <w:bottom w:val="single" w:sz="6" w:space="0" w:color="auto"/>
              <w:right w:val="nil"/>
            </w:tcBorders>
          </w:tcPr>
          <w:p w14:paraId="79BBF68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8/2/2005-3/17/2008</w:t>
            </w:r>
          </w:p>
        </w:tc>
        <w:tc>
          <w:tcPr>
            <w:tcW w:w="2240" w:type="dxa"/>
            <w:tcBorders>
              <w:top w:val="nil"/>
              <w:left w:val="nil"/>
              <w:bottom w:val="single" w:sz="6" w:space="0" w:color="auto"/>
              <w:right w:val="nil"/>
            </w:tcBorders>
          </w:tcPr>
          <w:p w14:paraId="3AECD2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3/18/2008-1/2/2009</w:t>
            </w:r>
          </w:p>
        </w:tc>
        <w:tc>
          <w:tcPr>
            <w:tcW w:w="2122" w:type="dxa"/>
            <w:tcBorders>
              <w:top w:val="nil"/>
              <w:left w:val="nil"/>
              <w:bottom w:val="single" w:sz="6" w:space="0" w:color="auto"/>
              <w:right w:val="nil"/>
            </w:tcBorders>
          </w:tcPr>
          <w:p w14:paraId="2A4FEE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1/5/2009-5/3/2010</w:t>
            </w:r>
          </w:p>
        </w:tc>
        <w:tc>
          <w:tcPr>
            <w:tcW w:w="2093" w:type="dxa"/>
            <w:tcBorders>
              <w:top w:val="nil"/>
              <w:left w:val="nil"/>
              <w:bottom w:val="single" w:sz="6" w:space="0" w:color="auto"/>
              <w:right w:val="nil"/>
            </w:tcBorders>
          </w:tcPr>
          <w:p w14:paraId="578B78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5/4/2010-2/1/2013</w:t>
            </w:r>
          </w:p>
        </w:tc>
      </w:tr>
      <w:tr w:rsidR="00276E7F" w:rsidRPr="00404187" w14:paraId="00E5AC9F" w14:textId="77777777" w:rsidTr="00E861C8">
        <w:trPr>
          <w:trHeight w:val="299"/>
          <w:jc w:val="center"/>
        </w:trPr>
        <w:tc>
          <w:tcPr>
            <w:tcW w:w="1594" w:type="dxa"/>
            <w:tcBorders>
              <w:top w:val="nil"/>
              <w:left w:val="nil"/>
              <w:bottom w:val="nil"/>
              <w:right w:val="nil"/>
            </w:tcBorders>
          </w:tcPr>
          <w:p w14:paraId="12EDFD4A" w14:textId="60DDC31B"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US</w:t>
            </w:r>
            <w:r w:rsidR="00A608F2">
              <w:rPr>
                <w:rFonts w:cstheme="minorHAnsi"/>
                <w:sz w:val="24"/>
                <w:szCs w:val="24"/>
              </w:rPr>
              <w:t xml:space="preserve"> </w:t>
            </w:r>
            <w:r w:rsidRPr="00404187">
              <w:rPr>
                <w:rFonts w:cstheme="minorHAnsi"/>
                <w:sz w:val="24"/>
                <w:szCs w:val="24"/>
              </w:rPr>
              <w:t>$</w:t>
            </w:r>
          </w:p>
        </w:tc>
        <w:tc>
          <w:tcPr>
            <w:tcW w:w="2240" w:type="dxa"/>
            <w:tcBorders>
              <w:top w:val="nil"/>
              <w:left w:val="nil"/>
              <w:bottom w:val="nil"/>
              <w:right w:val="nil"/>
            </w:tcBorders>
          </w:tcPr>
          <w:p w14:paraId="4F1AB5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0.239**</w:t>
            </w:r>
          </w:p>
        </w:tc>
        <w:tc>
          <w:tcPr>
            <w:tcW w:w="2240" w:type="dxa"/>
            <w:tcBorders>
              <w:top w:val="nil"/>
              <w:left w:val="nil"/>
              <w:bottom w:val="nil"/>
              <w:right w:val="nil"/>
            </w:tcBorders>
          </w:tcPr>
          <w:p w14:paraId="4EBB9DF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1.478***</w:t>
            </w:r>
          </w:p>
        </w:tc>
        <w:tc>
          <w:tcPr>
            <w:tcW w:w="2122" w:type="dxa"/>
            <w:tcBorders>
              <w:top w:val="nil"/>
              <w:left w:val="nil"/>
              <w:bottom w:val="nil"/>
              <w:right w:val="nil"/>
            </w:tcBorders>
          </w:tcPr>
          <w:p w14:paraId="0EA7889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-0.636</w:t>
            </w:r>
          </w:p>
        </w:tc>
        <w:tc>
          <w:tcPr>
            <w:tcW w:w="2093" w:type="dxa"/>
            <w:tcBorders>
              <w:top w:val="nil"/>
              <w:left w:val="nil"/>
              <w:bottom w:val="nil"/>
              <w:right w:val="nil"/>
            </w:tcBorders>
          </w:tcPr>
          <w:p w14:paraId="4C30A2E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0.307***</w:t>
            </w:r>
          </w:p>
        </w:tc>
      </w:tr>
      <w:tr w:rsidR="00276E7F" w:rsidRPr="00404187" w14:paraId="4465A2F8" w14:textId="77777777" w:rsidTr="00E861C8">
        <w:trPr>
          <w:trHeight w:val="310"/>
          <w:jc w:val="center"/>
        </w:trPr>
        <w:tc>
          <w:tcPr>
            <w:tcW w:w="1594" w:type="dxa"/>
            <w:tcBorders>
              <w:top w:val="nil"/>
              <w:left w:val="nil"/>
              <w:bottom w:val="nil"/>
              <w:right w:val="nil"/>
            </w:tcBorders>
          </w:tcPr>
          <w:p w14:paraId="061BEE3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788D512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(0.099)</w:t>
            </w:r>
          </w:p>
        </w:tc>
        <w:tc>
          <w:tcPr>
            <w:tcW w:w="2240" w:type="dxa"/>
            <w:tcBorders>
              <w:top w:val="nil"/>
              <w:left w:val="nil"/>
              <w:bottom w:val="nil"/>
              <w:right w:val="nil"/>
            </w:tcBorders>
          </w:tcPr>
          <w:p w14:paraId="606FF0F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(0.444)</w:t>
            </w:r>
          </w:p>
        </w:tc>
        <w:tc>
          <w:tcPr>
            <w:tcW w:w="2122" w:type="dxa"/>
            <w:tcBorders>
              <w:top w:val="nil"/>
              <w:left w:val="nil"/>
              <w:bottom w:val="nil"/>
              <w:right w:val="nil"/>
            </w:tcBorders>
          </w:tcPr>
          <w:p w14:paraId="417CF8F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(0.411)</w:t>
            </w:r>
          </w:p>
        </w:tc>
        <w:tc>
          <w:tcPr>
            <w:tcW w:w="2093" w:type="dxa"/>
            <w:tcBorders>
              <w:top w:val="nil"/>
              <w:left w:val="nil"/>
              <w:bottom w:val="nil"/>
              <w:right w:val="nil"/>
            </w:tcBorders>
          </w:tcPr>
          <w:p w14:paraId="7269155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7AD728ED" w14:textId="77777777" w:rsidTr="00E861C8">
        <w:trPr>
          <w:trHeight w:val="310"/>
          <w:jc w:val="center"/>
        </w:trPr>
        <w:tc>
          <w:tcPr>
            <w:tcW w:w="1594" w:type="dxa"/>
            <w:tcBorders>
              <w:top w:val="nil"/>
              <w:left w:val="nil"/>
              <w:bottom w:val="nil"/>
              <w:right w:val="nil"/>
            </w:tcBorders>
          </w:tcPr>
          <w:p w14:paraId="0A29EC9F"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Euro €</w:t>
            </w:r>
          </w:p>
        </w:tc>
        <w:tc>
          <w:tcPr>
            <w:tcW w:w="2240" w:type="dxa"/>
            <w:tcBorders>
              <w:top w:val="nil"/>
              <w:left w:val="nil"/>
              <w:bottom w:val="nil"/>
              <w:right w:val="nil"/>
            </w:tcBorders>
          </w:tcPr>
          <w:p w14:paraId="0567522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0.293***</w:t>
            </w:r>
          </w:p>
        </w:tc>
        <w:tc>
          <w:tcPr>
            <w:tcW w:w="2240" w:type="dxa"/>
            <w:tcBorders>
              <w:top w:val="nil"/>
              <w:left w:val="nil"/>
              <w:bottom w:val="nil"/>
              <w:right w:val="nil"/>
            </w:tcBorders>
          </w:tcPr>
          <w:p w14:paraId="67C7531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0.443***</w:t>
            </w:r>
          </w:p>
        </w:tc>
        <w:tc>
          <w:tcPr>
            <w:tcW w:w="2122" w:type="dxa"/>
            <w:tcBorders>
              <w:top w:val="nil"/>
              <w:left w:val="nil"/>
              <w:bottom w:val="nil"/>
              <w:right w:val="nil"/>
            </w:tcBorders>
          </w:tcPr>
          <w:p w14:paraId="64CBB1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0.345***</w:t>
            </w:r>
          </w:p>
        </w:tc>
        <w:tc>
          <w:tcPr>
            <w:tcW w:w="2093" w:type="dxa"/>
            <w:tcBorders>
              <w:top w:val="nil"/>
              <w:left w:val="nil"/>
              <w:bottom w:val="nil"/>
              <w:right w:val="nil"/>
            </w:tcBorders>
          </w:tcPr>
          <w:p w14:paraId="75528C2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0.384***</w:t>
            </w:r>
          </w:p>
        </w:tc>
      </w:tr>
      <w:tr w:rsidR="00276E7F" w:rsidRPr="00404187" w14:paraId="30605343" w14:textId="77777777" w:rsidTr="00E861C8">
        <w:trPr>
          <w:trHeight w:val="299"/>
          <w:jc w:val="center"/>
        </w:trPr>
        <w:tc>
          <w:tcPr>
            <w:tcW w:w="1594" w:type="dxa"/>
            <w:tcBorders>
              <w:top w:val="nil"/>
              <w:left w:val="nil"/>
              <w:bottom w:val="nil"/>
              <w:right w:val="nil"/>
            </w:tcBorders>
          </w:tcPr>
          <w:p w14:paraId="2B4A030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16247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240" w:type="dxa"/>
            <w:tcBorders>
              <w:top w:val="nil"/>
              <w:left w:val="nil"/>
              <w:bottom w:val="nil"/>
              <w:right w:val="nil"/>
            </w:tcBorders>
          </w:tcPr>
          <w:p w14:paraId="4267A3C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(0.118)</w:t>
            </w:r>
          </w:p>
        </w:tc>
        <w:tc>
          <w:tcPr>
            <w:tcW w:w="2122" w:type="dxa"/>
            <w:tcBorders>
              <w:top w:val="nil"/>
              <w:left w:val="nil"/>
              <w:bottom w:val="nil"/>
              <w:right w:val="nil"/>
            </w:tcBorders>
          </w:tcPr>
          <w:p w14:paraId="1D0231DB"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093" w:type="dxa"/>
            <w:tcBorders>
              <w:top w:val="nil"/>
              <w:left w:val="nil"/>
              <w:bottom w:val="nil"/>
              <w:right w:val="nil"/>
            </w:tcBorders>
          </w:tcPr>
          <w:p w14:paraId="783F530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(0.012)</w:t>
            </w:r>
          </w:p>
        </w:tc>
      </w:tr>
      <w:tr w:rsidR="00276E7F" w:rsidRPr="00404187" w14:paraId="55BD5A88" w14:textId="77777777" w:rsidTr="00E861C8">
        <w:trPr>
          <w:trHeight w:val="310"/>
          <w:jc w:val="center"/>
        </w:trPr>
        <w:tc>
          <w:tcPr>
            <w:tcW w:w="1594" w:type="dxa"/>
            <w:tcBorders>
              <w:top w:val="nil"/>
              <w:left w:val="nil"/>
              <w:bottom w:val="nil"/>
              <w:right w:val="nil"/>
            </w:tcBorders>
          </w:tcPr>
          <w:p w14:paraId="7A66FB97" w14:textId="3692BADA"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JP</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BCED0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0.077***</w:t>
            </w:r>
          </w:p>
        </w:tc>
        <w:tc>
          <w:tcPr>
            <w:tcW w:w="2240" w:type="dxa"/>
            <w:tcBorders>
              <w:top w:val="nil"/>
              <w:left w:val="nil"/>
              <w:bottom w:val="nil"/>
              <w:right w:val="nil"/>
            </w:tcBorders>
          </w:tcPr>
          <w:p w14:paraId="281940E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0.063</w:t>
            </w:r>
          </w:p>
        </w:tc>
        <w:tc>
          <w:tcPr>
            <w:tcW w:w="2122" w:type="dxa"/>
            <w:tcBorders>
              <w:top w:val="nil"/>
              <w:left w:val="nil"/>
              <w:bottom w:val="nil"/>
              <w:right w:val="nil"/>
            </w:tcBorders>
          </w:tcPr>
          <w:p w14:paraId="6BDAF91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0.083***</w:t>
            </w:r>
          </w:p>
        </w:tc>
        <w:tc>
          <w:tcPr>
            <w:tcW w:w="2093" w:type="dxa"/>
            <w:tcBorders>
              <w:top w:val="nil"/>
              <w:left w:val="nil"/>
              <w:bottom w:val="nil"/>
              <w:right w:val="nil"/>
            </w:tcBorders>
          </w:tcPr>
          <w:p w14:paraId="4A91C8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0.108***</w:t>
            </w:r>
          </w:p>
        </w:tc>
      </w:tr>
      <w:tr w:rsidR="00276E7F" w:rsidRPr="00404187" w14:paraId="4E4621FC" w14:textId="77777777" w:rsidTr="00E861C8">
        <w:trPr>
          <w:trHeight w:val="299"/>
          <w:jc w:val="center"/>
        </w:trPr>
        <w:tc>
          <w:tcPr>
            <w:tcW w:w="1594" w:type="dxa"/>
            <w:tcBorders>
              <w:top w:val="nil"/>
              <w:left w:val="nil"/>
              <w:bottom w:val="nil"/>
              <w:right w:val="nil"/>
            </w:tcBorders>
          </w:tcPr>
          <w:p w14:paraId="5C46EE3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282DB9E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(0.018)</w:t>
            </w:r>
          </w:p>
        </w:tc>
        <w:tc>
          <w:tcPr>
            <w:tcW w:w="2240" w:type="dxa"/>
            <w:tcBorders>
              <w:top w:val="nil"/>
              <w:left w:val="nil"/>
              <w:bottom w:val="nil"/>
              <w:right w:val="nil"/>
            </w:tcBorders>
          </w:tcPr>
          <w:p w14:paraId="7D40B6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(0.092)</w:t>
            </w:r>
          </w:p>
        </w:tc>
        <w:tc>
          <w:tcPr>
            <w:tcW w:w="2122" w:type="dxa"/>
            <w:tcBorders>
              <w:top w:val="nil"/>
              <w:left w:val="nil"/>
              <w:bottom w:val="nil"/>
              <w:right w:val="nil"/>
            </w:tcBorders>
          </w:tcPr>
          <w:p w14:paraId="36B6287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(0.020)</w:t>
            </w:r>
          </w:p>
        </w:tc>
        <w:tc>
          <w:tcPr>
            <w:tcW w:w="2093" w:type="dxa"/>
            <w:tcBorders>
              <w:top w:val="nil"/>
              <w:left w:val="nil"/>
              <w:bottom w:val="nil"/>
              <w:right w:val="nil"/>
            </w:tcBorders>
          </w:tcPr>
          <w:p w14:paraId="053B48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433988E9" w14:textId="77777777" w:rsidTr="00E861C8">
        <w:trPr>
          <w:trHeight w:val="310"/>
          <w:jc w:val="center"/>
        </w:trPr>
        <w:tc>
          <w:tcPr>
            <w:tcW w:w="1594" w:type="dxa"/>
            <w:tcBorders>
              <w:top w:val="nil"/>
              <w:left w:val="nil"/>
              <w:bottom w:val="nil"/>
              <w:right w:val="nil"/>
            </w:tcBorders>
          </w:tcPr>
          <w:p w14:paraId="73928F4B" w14:textId="36170115"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CN</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8902CC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0.310***</w:t>
            </w:r>
          </w:p>
        </w:tc>
        <w:tc>
          <w:tcPr>
            <w:tcW w:w="2240" w:type="dxa"/>
            <w:tcBorders>
              <w:top w:val="nil"/>
              <w:left w:val="nil"/>
              <w:bottom w:val="nil"/>
              <w:right w:val="nil"/>
            </w:tcBorders>
          </w:tcPr>
          <w:p w14:paraId="2E12A3F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-1.016**</w:t>
            </w:r>
          </w:p>
        </w:tc>
        <w:tc>
          <w:tcPr>
            <w:tcW w:w="2122" w:type="dxa"/>
            <w:tcBorders>
              <w:top w:val="nil"/>
              <w:left w:val="nil"/>
              <w:bottom w:val="nil"/>
              <w:right w:val="nil"/>
            </w:tcBorders>
          </w:tcPr>
          <w:p w14:paraId="1C27F94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1.125***</w:t>
            </w:r>
          </w:p>
        </w:tc>
        <w:tc>
          <w:tcPr>
            <w:tcW w:w="2093" w:type="dxa"/>
            <w:tcBorders>
              <w:top w:val="nil"/>
              <w:left w:val="nil"/>
              <w:bottom w:val="nil"/>
              <w:right w:val="nil"/>
            </w:tcBorders>
          </w:tcPr>
          <w:p w14:paraId="44927FB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0.122**</w:t>
            </w:r>
          </w:p>
        </w:tc>
      </w:tr>
      <w:tr w:rsidR="00276E7F" w:rsidRPr="00404187" w14:paraId="4DEFE2BB" w14:textId="77777777" w:rsidTr="00E861C8">
        <w:trPr>
          <w:trHeight w:val="299"/>
          <w:jc w:val="center"/>
        </w:trPr>
        <w:tc>
          <w:tcPr>
            <w:tcW w:w="1594" w:type="dxa"/>
            <w:tcBorders>
              <w:top w:val="nil"/>
              <w:left w:val="nil"/>
              <w:bottom w:val="nil"/>
              <w:right w:val="nil"/>
            </w:tcBorders>
          </w:tcPr>
          <w:p w14:paraId="114623CC"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4AD7F1B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(0.101)</w:t>
            </w:r>
          </w:p>
        </w:tc>
        <w:tc>
          <w:tcPr>
            <w:tcW w:w="2240" w:type="dxa"/>
            <w:tcBorders>
              <w:top w:val="nil"/>
              <w:left w:val="nil"/>
              <w:bottom w:val="nil"/>
              <w:right w:val="nil"/>
            </w:tcBorders>
          </w:tcPr>
          <w:p w14:paraId="59610A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(0.437)</w:t>
            </w:r>
          </w:p>
        </w:tc>
        <w:tc>
          <w:tcPr>
            <w:tcW w:w="2122" w:type="dxa"/>
            <w:tcBorders>
              <w:top w:val="nil"/>
              <w:left w:val="nil"/>
              <w:bottom w:val="nil"/>
              <w:right w:val="nil"/>
            </w:tcBorders>
          </w:tcPr>
          <w:p w14:paraId="7AECA27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(0.414)</w:t>
            </w:r>
          </w:p>
        </w:tc>
        <w:tc>
          <w:tcPr>
            <w:tcW w:w="2093" w:type="dxa"/>
            <w:tcBorders>
              <w:top w:val="nil"/>
              <w:left w:val="nil"/>
              <w:bottom w:val="nil"/>
              <w:right w:val="nil"/>
            </w:tcBorders>
          </w:tcPr>
          <w:p w14:paraId="6322ED2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0E0E7C93" w14:textId="77777777" w:rsidTr="00E861C8">
        <w:trPr>
          <w:trHeight w:val="310"/>
          <w:jc w:val="center"/>
        </w:trPr>
        <w:tc>
          <w:tcPr>
            <w:tcW w:w="1594" w:type="dxa"/>
            <w:tcBorders>
              <w:top w:val="nil"/>
              <w:left w:val="nil"/>
              <w:bottom w:val="nil"/>
              <w:right w:val="nil"/>
            </w:tcBorders>
          </w:tcPr>
          <w:p w14:paraId="06D9EE5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ΔEMP</w:t>
            </w:r>
          </w:p>
        </w:tc>
        <w:tc>
          <w:tcPr>
            <w:tcW w:w="2240" w:type="dxa"/>
            <w:tcBorders>
              <w:top w:val="nil"/>
              <w:left w:val="nil"/>
              <w:bottom w:val="nil"/>
              <w:right w:val="nil"/>
            </w:tcBorders>
          </w:tcPr>
          <w:p w14:paraId="719826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0.661***</w:t>
            </w:r>
          </w:p>
        </w:tc>
        <w:tc>
          <w:tcPr>
            <w:tcW w:w="2240" w:type="dxa"/>
            <w:tcBorders>
              <w:top w:val="nil"/>
              <w:left w:val="nil"/>
              <w:bottom w:val="nil"/>
              <w:right w:val="nil"/>
            </w:tcBorders>
          </w:tcPr>
          <w:p w14:paraId="75058E0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0.872***</w:t>
            </w:r>
          </w:p>
        </w:tc>
        <w:tc>
          <w:tcPr>
            <w:tcW w:w="2122" w:type="dxa"/>
            <w:tcBorders>
              <w:top w:val="nil"/>
              <w:left w:val="nil"/>
              <w:bottom w:val="nil"/>
              <w:right w:val="nil"/>
            </w:tcBorders>
          </w:tcPr>
          <w:p w14:paraId="7127DD7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0.858***</w:t>
            </w:r>
          </w:p>
        </w:tc>
        <w:tc>
          <w:tcPr>
            <w:tcW w:w="2093" w:type="dxa"/>
            <w:tcBorders>
              <w:top w:val="nil"/>
              <w:left w:val="nil"/>
              <w:bottom w:val="nil"/>
              <w:right w:val="nil"/>
            </w:tcBorders>
          </w:tcPr>
          <w:p w14:paraId="21672BF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0.938***</w:t>
            </w:r>
          </w:p>
        </w:tc>
      </w:tr>
      <w:tr w:rsidR="00276E7F" w:rsidRPr="00404187" w14:paraId="6050B273" w14:textId="77777777" w:rsidTr="00E861C8">
        <w:trPr>
          <w:trHeight w:val="310"/>
          <w:jc w:val="center"/>
        </w:trPr>
        <w:tc>
          <w:tcPr>
            <w:tcW w:w="1594" w:type="dxa"/>
            <w:tcBorders>
              <w:top w:val="nil"/>
              <w:left w:val="nil"/>
              <w:bottom w:val="nil"/>
              <w:right w:val="nil"/>
            </w:tcBorders>
          </w:tcPr>
          <w:p w14:paraId="5CCDBEB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C1A258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(0.029)</w:t>
            </w:r>
          </w:p>
        </w:tc>
        <w:tc>
          <w:tcPr>
            <w:tcW w:w="2240" w:type="dxa"/>
            <w:tcBorders>
              <w:top w:val="nil"/>
              <w:left w:val="nil"/>
              <w:bottom w:val="nil"/>
              <w:right w:val="nil"/>
            </w:tcBorders>
          </w:tcPr>
          <w:p w14:paraId="721DBA7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(0.053)</w:t>
            </w:r>
          </w:p>
        </w:tc>
        <w:tc>
          <w:tcPr>
            <w:tcW w:w="2122" w:type="dxa"/>
            <w:tcBorders>
              <w:top w:val="nil"/>
              <w:left w:val="nil"/>
              <w:bottom w:val="nil"/>
              <w:right w:val="nil"/>
            </w:tcBorders>
          </w:tcPr>
          <w:p w14:paraId="7986BFE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(0.027)</w:t>
            </w:r>
          </w:p>
        </w:tc>
        <w:tc>
          <w:tcPr>
            <w:tcW w:w="2093" w:type="dxa"/>
            <w:tcBorders>
              <w:top w:val="nil"/>
              <w:left w:val="nil"/>
              <w:bottom w:val="nil"/>
              <w:right w:val="nil"/>
            </w:tcBorders>
          </w:tcPr>
          <w:p w14:paraId="417C803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7CCFA23C" w14:textId="77777777" w:rsidTr="00E861C8">
        <w:trPr>
          <w:trHeight w:val="299"/>
          <w:jc w:val="center"/>
        </w:trPr>
        <w:tc>
          <w:tcPr>
            <w:tcW w:w="1594" w:type="dxa"/>
            <w:tcBorders>
              <w:top w:val="nil"/>
              <w:left w:val="nil"/>
              <w:bottom w:val="nil"/>
              <w:right w:val="nil"/>
            </w:tcBorders>
          </w:tcPr>
          <w:p w14:paraId="12DABD2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Constant</w:t>
            </w:r>
          </w:p>
        </w:tc>
        <w:tc>
          <w:tcPr>
            <w:tcW w:w="2240" w:type="dxa"/>
            <w:tcBorders>
              <w:top w:val="nil"/>
              <w:left w:val="nil"/>
              <w:bottom w:val="nil"/>
              <w:right w:val="nil"/>
            </w:tcBorders>
          </w:tcPr>
          <w:p w14:paraId="6C970656"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240" w:type="dxa"/>
            <w:tcBorders>
              <w:top w:val="nil"/>
              <w:left w:val="nil"/>
              <w:bottom w:val="nil"/>
              <w:right w:val="nil"/>
            </w:tcBorders>
          </w:tcPr>
          <w:p w14:paraId="78DAFF8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122" w:type="dxa"/>
            <w:tcBorders>
              <w:top w:val="nil"/>
              <w:left w:val="nil"/>
              <w:bottom w:val="nil"/>
              <w:right w:val="nil"/>
            </w:tcBorders>
          </w:tcPr>
          <w:p w14:paraId="048A130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093" w:type="dxa"/>
            <w:tcBorders>
              <w:top w:val="nil"/>
              <w:left w:val="nil"/>
              <w:bottom w:val="nil"/>
              <w:right w:val="nil"/>
            </w:tcBorders>
          </w:tcPr>
          <w:p w14:paraId="40078D9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r>
      <w:tr w:rsidR="00276E7F" w:rsidRPr="00404187" w14:paraId="525707F4" w14:textId="77777777" w:rsidTr="00E861C8">
        <w:trPr>
          <w:trHeight w:val="310"/>
          <w:jc w:val="center"/>
        </w:trPr>
        <w:tc>
          <w:tcPr>
            <w:tcW w:w="1594" w:type="dxa"/>
            <w:tcBorders>
              <w:top w:val="nil"/>
              <w:left w:val="nil"/>
              <w:bottom w:val="nil"/>
              <w:right w:val="nil"/>
            </w:tcBorders>
          </w:tcPr>
          <w:p w14:paraId="448FC37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A4AAD2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240" w:type="dxa"/>
            <w:tcBorders>
              <w:top w:val="nil"/>
              <w:left w:val="nil"/>
              <w:bottom w:val="nil"/>
              <w:right w:val="nil"/>
            </w:tcBorders>
          </w:tcPr>
          <w:p w14:paraId="7DE2AEB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122" w:type="dxa"/>
            <w:tcBorders>
              <w:top w:val="nil"/>
              <w:left w:val="nil"/>
              <w:bottom w:val="nil"/>
              <w:right w:val="nil"/>
            </w:tcBorders>
          </w:tcPr>
          <w:p w14:paraId="7C5505E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093" w:type="dxa"/>
            <w:tcBorders>
              <w:top w:val="nil"/>
              <w:left w:val="nil"/>
              <w:bottom w:val="nil"/>
              <w:right w:val="nil"/>
            </w:tcBorders>
          </w:tcPr>
          <w:p w14:paraId="64D173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r>
      <w:tr w:rsidR="00276E7F" w:rsidRPr="00404187" w14:paraId="1DEEA7DF" w14:textId="77777777" w:rsidTr="00E861C8">
        <w:trPr>
          <w:trHeight w:val="310"/>
          <w:jc w:val="center"/>
        </w:trPr>
        <w:tc>
          <w:tcPr>
            <w:tcW w:w="1594" w:type="dxa"/>
            <w:tcBorders>
              <w:top w:val="nil"/>
              <w:left w:val="nil"/>
              <w:bottom w:val="nil"/>
              <w:right w:val="nil"/>
            </w:tcBorders>
          </w:tcPr>
          <w:p w14:paraId="197A73D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Observations</w:t>
            </w:r>
          </w:p>
        </w:tc>
        <w:tc>
          <w:tcPr>
            <w:tcW w:w="2240" w:type="dxa"/>
            <w:tcBorders>
              <w:top w:val="nil"/>
              <w:left w:val="nil"/>
              <w:bottom w:val="nil"/>
              <w:right w:val="nil"/>
            </w:tcBorders>
          </w:tcPr>
          <w:p w14:paraId="09BB955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657</w:t>
            </w:r>
          </w:p>
        </w:tc>
        <w:tc>
          <w:tcPr>
            <w:tcW w:w="2240" w:type="dxa"/>
            <w:tcBorders>
              <w:top w:val="nil"/>
              <w:left w:val="nil"/>
              <w:bottom w:val="nil"/>
              <w:right w:val="nil"/>
            </w:tcBorders>
          </w:tcPr>
          <w:p w14:paraId="7C5C087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199</w:t>
            </w:r>
          </w:p>
        </w:tc>
        <w:tc>
          <w:tcPr>
            <w:tcW w:w="2122" w:type="dxa"/>
            <w:tcBorders>
              <w:top w:val="nil"/>
              <w:left w:val="nil"/>
              <w:bottom w:val="nil"/>
              <w:right w:val="nil"/>
            </w:tcBorders>
          </w:tcPr>
          <w:p w14:paraId="71BD6E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335</w:t>
            </w:r>
          </w:p>
        </w:tc>
        <w:tc>
          <w:tcPr>
            <w:tcW w:w="2093" w:type="dxa"/>
            <w:tcBorders>
              <w:top w:val="nil"/>
              <w:left w:val="nil"/>
              <w:bottom w:val="nil"/>
              <w:right w:val="nil"/>
            </w:tcBorders>
          </w:tcPr>
          <w:p w14:paraId="0B3226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690</w:t>
            </w:r>
          </w:p>
        </w:tc>
      </w:tr>
      <w:tr w:rsidR="00276E7F" w:rsidRPr="00404187" w14:paraId="40487AC3" w14:textId="77777777" w:rsidTr="00E861C8">
        <w:trPr>
          <w:trHeight w:val="310"/>
          <w:jc w:val="center"/>
        </w:trPr>
        <w:tc>
          <w:tcPr>
            <w:tcW w:w="1594" w:type="dxa"/>
            <w:tcBorders>
              <w:top w:val="nil"/>
              <w:left w:val="nil"/>
              <w:bottom w:val="nil"/>
              <w:right w:val="nil"/>
            </w:tcBorders>
          </w:tcPr>
          <w:p w14:paraId="67AAD99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R</w:t>
            </w:r>
            <w:r w:rsidRPr="00404187">
              <w:rPr>
                <w:rFonts w:cs="Times New Roman"/>
                <w:sz w:val="24"/>
                <w:szCs w:val="24"/>
                <w:vertAlign w:val="superscript"/>
              </w:rPr>
              <w:t>2</w:t>
            </w:r>
          </w:p>
        </w:tc>
        <w:tc>
          <w:tcPr>
            <w:tcW w:w="2240" w:type="dxa"/>
            <w:tcBorders>
              <w:top w:val="nil"/>
              <w:left w:val="nil"/>
              <w:bottom w:val="nil"/>
              <w:right w:val="nil"/>
            </w:tcBorders>
          </w:tcPr>
          <w:p w14:paraId="206A964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0.875</w:t>
            </w:r>
          </w:p>
        </w:tc>
        <w:tc>
          <w:tcPr>
            <w:tcW w:w="2240" w:type="dxa"/>
            <w:tcBorders>
              <w:top w:val="nil"/>
              <w:left w:val="nil"/>
              <w:bottom w:val="nil"/>
              <w:right w:val="nil"/>
            </w:tcBorders>
          </w:tcPr>
          <w:p w14:paraId="3413F78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0.842</w:t>
            </w:r>
          </w:p>
        </w:tc>
        <w:tc>
          <w:tcPr>
            <w:tcW w:w="2122" w:type="dxa"/>
            <w:tcBorders>
              <w:top w:val="nil"/>
              <w:left w:val="nil"/>
              <w:bottom w:val="nil"/>
              <w:right w:val="nil"/>
            </w:tcBorders>
          </w:tcPr>
          <w:p w14:paraId="7D0B2EA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0.919</w:t>
            </w:r>
          </w:p>
        </w:tc>
        <w:tc>
          <w:tcPr>
            <w:tcW w:w="2093" w:type="dxa"/>
            <w:tcBorders>
              <w:top w:val="nil"/>
              <w:left w:val="nil"/>
              <w:bottom w:val="nil"/>
              <w:right w:val="nil"/>
            </w:tcBorders>
          </w:tcPr>
          <w:p w14:paraId="3108F91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0.953</w:t>
            </w:r>
          </w:p>
        </w:tc>
      </w:tr>
      <w:tr w:rsidR="00276E7F" w:rsidRPr="00404187" w14:paraId="56AEF516" w14:textId="77777777" w:rsidTr="00E861C8">
        <w:tblPrEx>
          <w:tblBorders>
            <w:bottom w:val="single" w:sz="6" w:space="0" w:color="auto"/>
          </w:tblBorders>
        </w:tblPrEx>
        <w:trPr>
          <w:trHeight w:val="310"/>
          <w:jc w:val="center"/>
        </w:trPr>
        <w:tc>
          <w:tcPr>
            <w:tcW w:w="1594" w:type="dxa"/>
            <w:tcBorders>
              <w:top w:val="nil"/>
              <w:left w:val="nil"/>
              <w:bottom w:val="single" w:sz="6" w:space="0" w:color="auto"/>
              <w:right w:val="nil"/>
            </w:tcBorders>
          </w:tcPr>
          <w:p w14:paraId="379A6667"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GB₤</w:t>
            </w:r>
          </w:p>
        </w:tc>
        <w:tc>
          <w:tcPr>
            <w:tcW w:w="2240" w:type="dxa"/>
            <w:tcBorders>
              <w:top w:val="nil"/>
              <w:left w:val="nil"/>
              <w:bottom w:val="single" w:sz="6" w:space="0" w:color="auto"/>
              <w:right w:val="nil"/>
            </w:tcBorders>
          </w:tcPr>
          <w:p w14:paraId="395755E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0.082</w:t>
            </w:r>
          </w:p>
        </w:tc>
        <w:tc>
          <w:tcPr>
            <w:tcW w:w="2240" w:type="dxa"/>
            <w:tcBorders>
              <w:top w:val="nil"/>
              <w:left w:val="nil"/>
              <w:bottom w:val="single" w:sz="6" w:space="0" w:color="auto"/>
              <w:right w:val="nil"/>
            </w:tcBorders>
          </w:tcPr>
          <w:p w14:paraId="668792F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0.032</w:t>
            </w:r>
          </w:p>
        </w:tc>
        <w:tc>
          <w:tcPr>
            <w:tcW w:w="2122" w:type="dxa"/>
            <w:tcBorders>
              <w:top w:val="nil"/>
              <w:left w:val="nil"/>
              <w:bottom w:val="single" w:sz="6" w:space="0" w:color="auto"/>
              <w:right w:val="nil"/>
            </w:tcBorders>
          </w:tcPr>
          <w:p w14:paraId="7A1E57A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0.084</w:t>
            </w:r>
          </w:p>
        </w:tc>
        <w:tc>
          <w:tcPr>
            <w:tcW w:w="2093" w:type="dxa"/>
            <w:tcBorders>
              <w:top w:val="nil"/>
              <w:left w:val="nil"/>
              <w:bottom w:val="single" w:sz="6" w:space="0" w:color="auto"/>
              <w:right w:val="nil"/>
            </w:tcBorders>
          </w:tcPr>
          <w:p w14:paraId="7915DC3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0.080</w:t>
            </w:r>
          </w:p>
        </w:tc>
      </w:tr>
    </w:tbl>
    <w:p w14:paraId="10FD409C" w14:textId="77777777" w:rsidR="00276E7F" w:rsidRPr="00E861C8" w:rsidRDefault="00276E7F" w:rsidP="00276E7F">
      <w:pPr>
        <w:pStyle w:val="ListParagraph"/>
        <w:widowControl w:val="0"/>
        <w:autoSpaceDE w:val="0"/>
        <w:autoSpaceDN w:val="0"/>
        <w:adjustRightInd w:val="0"/>
        <w:spacing w:after="0" w:line="240" w:lineRule="auto"/>
        <w:jc w:val="center"/>
        <w:rPr>
          <w:rFonts w:cs="Times New Roman"/>
          <w:sz w:val="16"/>
          <w:szCs w:val="16"/>
        </w:rPr>
      </w:pPr>
    </w:p>
    <w:p w14:paraId="5EA45E90" w14:textId="7DFFF715" w:rsidR="00276E7F" w:rsidRPr="00E861C8" w:rsidRDefault="00276E7F" w:rsidP="00276E7F">
      <w:pPr>
        <w:widowControl w:val="0"/>
        <w:autoSpaceDE w:val="0"/>
        <w:autoSpaceDN w:val="0"/>
        <w:adjustRightInd w:val="0"/>
        <w:spacing w:after="0" w:line="240" w:lineRule="auto"/>
        <w:jc w:val="center"/>
        <w:rPr>
          <w:rFonts w:cs="Times New Roman"/>
          <w:sz w:val="16"/>
          <w:szCs w:val="16"/>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00E861C8" w:rsidRPr="00E861C8">
        <w:rPr>
          <w:rFonts w:cs="Times New Roman"/>
          <w:sz w:val="16"/>
          <w:szCs w:val="16"/>
        </w:rPr>
        <w:br/>
      </w:r>
    </w:p>
    <w:p w14:paraId="62CC9580" w14:textId="51D89CB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5D902B83" w14:textId="77777777" w:rsidR="00276E7F" w:rsidRDefault="00276E7F" w:rsidP="00276E7F">
      <w:pPr>
        <w:rPr>
          <w:sz w:val="20"/>
          <w:szCs w:val="20"/>
        </w:rPr>
      </w:pPr>
    </w:p>
    <w:p w14:paraId="35E3C75F" w14:textId="4D1B6D8F" w:rsidR="00276E7F" w:rsidRDefault="00276E7F" w:rsidP="00276E7F">
      <w:pPr>
        <w:rPr>
          <w:rFonts w:cs="Times New Roman"/>
          <w:sz w:val="24"/>
          <w:szCs w:val="24"/>
        </w:rPr>
      </w:pPr>
    </w:p>
    <w:p w14:paraId="2C60D495" w14:textId="77777777" w:rsidR="00A608F2" w:rsidRDefault="00A608F2" w:rsidP="00276E7F">
      <w:pPr>
        <w:rPr>
          <w:rFonts w:cs="Times New Roman"/>
          <w:sz w:val="24"/>
          <w:szCs w:val="24"/>
        </w:rPr>
      </w:pPr>
    </w:p>
    <w:p w14:paraId="53D19C05" w14:textId="61F7C56A" w:rsidR="00E32A55" w:rsidRPr="00276E7F" w:rsidRDefault="00952E31" w:rsidP="00276E7F">
      <w:pPr>
        <w:ind w:firstLine="720"/>
        <w:rPr>
          <w:sz w:val="24"/>
          <w:szCs w:val="24"/>
        </w:rPr>
      </w:pPr>
      <w:r>
        <w:rPr>
          <w:sz w:val="24"/>
          <w:szCs w:val="24"/>
        </w:rPr>
        <w:t>T</w:t>
      </w:r>
      <w:r w:rsidR="00A471BB">
        <w:rPr>
          <w:sz w:val="24"/>
          <w:szCs w:val="24"/>
        </w:rPr>
        <w:t>his research</w:t>
      </w:r>
      <w:r w:rsidR="00881181">
        <w:rPr>
          <w:sz w:val="24"/>
          <w:szCs w:val="24"/>
        </w:rPr>
        <w:t xml:space="preserve"> </w:t>
      </w:r>
      <w:r>
        <w:rPr>
          <w:sz w:val="24"/>
          <w:szCs w:val="24"/>
        </w:rPr>
        <w:t xml:space="preserve">could be extended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The target zone is incorporated into the equation by means of the Thre</w:t>
      </w:r>
      <w:r w:rsidR="00986314">
        <w:rPr>
          <w:sz w:val="24"/>
          <w:szCs w:val="24"/>
        </w:rPr>
        <w:t xml:space="preserve">shold Autoregression Technique. </w:t>
      </w:r>
    </w:p>
    <w:p w14:paraId="025A2EEC" w14:textId="77777777" w:rsidR="00F22703" w:rsidRDefault="00F22703" w:rsidP="00AB766C">
      <w:pPr>
        <w:pStyle w:val="ListParagraph"/>
        <w:ind w:left="1440"/>
        <w:rPr>
          <w:sz w:val="24"/>
          <w:szCs w:val="24"/>
        </w:rPr>
      </w:pPr>
    </w:p>
    <w:p w14:paraId="2B5B4B94" w14:textId="19C8223C" w:rsidR="00A608F2" w:rsidRDefault="00A608F2">
      <w:pPr>
        <w:rPr>
          <w:sz w:val="24"/>
          <w:szCs w:val="24"/>
        </w:rPr>
      </w:pPr>
      <w:r>
        <w:rPr>
          <w:sz w:val="24"/>
          <w:szCs w:val="24"/>
        </w:rPr>
        <w:br w:type="page"/>
      </w:r>
    </w:p>
    <w:p w14:paraId="2DD623ED"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46536505" w:rsidR="0042142F" w:rsidRPr="00D173F6" w:rsidRDefault="0042142F" w:rsidP="0042142F">
      <w:pPr>
        <w:ind w:firstLine="720"/>
        <w:rPr>
          <w:sz w:val="24"/>
          <w:szCs w:val="24"/>
        </w:rPr>
      </w:pPr>
      <w:r w:rsidRPr="00D173F6">
        <w:rPr>
          <w:sz w:val="24"/>
          <w:szCs w:val="24"/>
        </w:rPr>
        <w:t xml:space="preserve">In practice, data on intervention, even when explicitly reported, tend to look very different from data on changes </w:t>
      </w:r>
      <w:r w:rsidR="00DE5AD8">
        <w:rPr>
          <w:sz w:val="24"/>
          <w:szCs w:val="24"/>
        </w:rPr>
        <w:t xml:space="preserve">in foreign exchange reserves.  </w:t>
      </w:r>
      <w:r w:rsidRPr="00D173F6">
        <w:rPr>
          <w:sz w:val="24"/>
          <w:szCs w:val="24"/>
        </w:rPr>
        <w:t>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6A9EDB71" w:rsidR="0042142F" w:rsidRPr="00D173F6" w:rsidRDefault="0042142F" w:rsidP="0042142F">
      <w:pPr>
        <w:ind w:firstLine="720"/>
        <w:rPr>
          <w:sz w:val="24"/>
          <w:szCs w:val="24"/>
        </w:rPr>
      </w:pPr>
      <w:r w:rsidRPr="00D173F6">
        <w:rPr>
          <w:sz w:val="24"/>
          <w:szCs w:val="24"/>
        </w:rPr>
        <w:t>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w:t>
      </w:r>
      <w:r w:rsidR="00C47224">
        <w:rPr>
          <w:sz w:val="24"/>
          <w:szCs w:val="24"/>
        </w:rPr>
        <w:t xml:space="preserve">cond is the valuation effect: </w:t>
      </w:r>
      <w:r w:rsidRPr="00D173F6">
        <w:rPr>
          <w:sz w:val="24"/>
          <w:szCs w:val="24"/>
        </w:rPr>
        <w:t>If the value of reserves is measured in terms of domestic currency, it will change every time the exchange rate changes.</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w:t>
      </w:r>
      <w:r w:rsidRPr="00D173F6">
        <w:rPr>
          <w:sz w:val="24"/>
          <w:szCs w:val="24"/>
        </w:rPr>
        <w:lastRenderedPageBreak/>
        <w:t>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3934C270" w:rsidR="0042142F" w:rsidRPr="00D173F6" w:rsidRDefault="0042142F" w:rsidP="0042142F">
      <w:pPr>
        <w:ind w:firstLine="720"/>
        <w:rPr>
          <w:sz w:val="24"/>
          <w:szCs w:val="24"/>
        </w:rPr>
      </w:pPr>
      <w:r w:rsidRPr="00D173F6">
        <w:rPr>
          <w:sz w:val="24"/>
          <w:szCs w:val="24"/>
        </w:rPr>
        <w:t xml:space="preserve">We turn to Turkey because it is one of the only managed floaters that </w:t>
      </w:r>
      <w:r w:rsidR="00A334AA">
        <w:rPr>
          <w:sz w:val="24"/>
          <w:szCs w:val="24"/>
        </w:rPr>
        <w:t>has also regularly made</w:t>
      </w:r>
      <w:r w:rsidRPr="00D173F6">
        <w:rPr>
          <w:sz w:val="24"/>
          <w:szCs w:val="24"/>
        </w:rPr>
        <w:t xml:space="preserve">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5A670839" w:rsidR="0042142F" w:rsidRPr="00D173F6" w:rsidRDefault="0042142F" w:rsidP="0042142F">
      <w:pPr>
        <w:ind w:firstLine="720"/>
        <w:rPr>
          <w:sz w:val="24"/>
          <w:szCs w:val="24"/>
        </w:rPr>
      </w:pPr>
      <w:r w:rsidRPr="00D173F6">
        <w:rPr>
          <w:sz w:val="24"/>
          <w:szCs w:val="24"/>
        </w:rPr>
        <w:t xml:space="preserve">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w:t>
      </w:r>
      <w:r w:rsidR="00C47224">
        <w:rPr>
          <w:sz w:val="24"/>
          <w:szCs w:val="24"/>
        </w:rPr>
        <w:t xml:space="preserve">measure as intervention data.  </w:t>
      </w:r>
      <w:r w:rsidRPr="00D173F6">
        <w:rPr>
          <w:sz w:val="24"/>
          <w:szCs w:val="24"/>
        </w:rPr>
        <w:t>Recall the framework for thinking about the continuum of fixed versus flexible exchange rates that goes under the nam</w:t>
      </w:r>
      <w:r w:rsidR="00C47224">
        <w:rPr>
          <w:sz w:val="24"/>
          <w:szCs w:val="24"/>
        </w:rPr>
        <w:t xml:space="preserve">e of Exchange Market Pressure. </w:t>
      </w:r>
      <w:r w:rsidRPr="00D173F6">
        <w:rPr>
          <w:sz w:val="24"/>
          <w:szCs w:val="24"/>
        </w:rPr>
        <w:t xml:space="preserv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defined as the inverse of the monetary base</w:t>
      </w:r>
      <w:r w:rsidR="000A7134">
        <w:rPr>
          <w:sz w:val="24"/>
          <w:szCs w:val="24"/>
        </w:rPr>
        <w:t>, as the inverse relative standard deviation,</w:t>
      </w:r>
      <w:r w:rsidRPr="00D173F6">
        <w:rPr>
          <w:sz w:val="24"/>
          <w:szCs w:val="24"/>
        </w:rPr>
        <w:t xml:space="preserv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w:t>
      </w:r>
      <w:r w:rsidR="00C47224">
        <w:rPr>
          <w:sz w:val="24"/>
          <w:szCs w:val="24"/>
        </w:rPr>
        <w:t xml:space="preserve">xing; or somewhere in between. </w:t>
      </w:r>
      <w:r w:rsidRPr="00D173F6">
        <w:rPr>
          <w:sz w:val="24"/>
          <w:szCs w:val="24"/>
        </w:rPr>
        <w:t xml:space="preserve"> If it consistently acts to absorb some share between zero and one in the exchange rate and the remainder in reserves, then we deem it to be a systematically-managed floater.  For this purpose, it is the change in reserves that matters, not i</w:t>
      </w:r>
      <w:r w:rsidR="00C47224">
        <w:rPr>
          <w:sz w:val="24"/>
          <w:szCs w:val="24"/>
        </w:rPr>
        <w:t xml:space="preserve">ntervention normally defined.  </w:t>
      </w:r>
      <w:r w:rsidR="007B7DAE">
        <w:rPr>
          <w:sz w:val="24"/>
          <w:szCs w:val="24"/>
        </w:rPr>
        <w:t xml:space="preserve">Again, </w:t>
      </w:r>
      <w:r w:rsidRPr="00D173F6">
        <w:rPr>
          <w:sz w:val="24"/>
          <w:szCs w:val="24"/>
        </w:rPr>
        <w:t>if reserves rise because of interest earned on US Treasury bills, that is not considered</w:t>
      </w:r>
      <w:r w:rsidR="007B7DAE">
        <w:rPr>
          <w:sz w:val="24"/>
          <w:szCs w:val="24"/>
        </w:rPr>
        <w:t xml:space="preserve"> foreign exchange intervention</w:t>
      </w:r>
      <w:r w:rsidR="006549F0">
        <w:rPr>
          <w:sz w:val="24"/>
          <w:szCs w:val="24"/>
        </w:rPr>
        <w:t>, but may be relevant nonetheless</w:t>
      </w:r>
      <w:r w:rsidR="007B7DAE">
        <w:rPr>
          <w:sz w:val="24"/>
          <w:szCs w:val="24"/>
        </w:rPr>
        <w:t>.</w:t>
      </w:r>
    </w:p>
    <w:p w14:paraId="3939887A" w14:textId="22C86867"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 xml:space="preserve">Varoudakis (2013) find a clear reaction function that shows systematic management of the floating lira: Turkish </w:t>
      </w:r>
      <w:r w:rsidRPr="00D173F6">
        <w:rPr>
          <w:color w:val="000000" w:themeColor="text1"/>
          <w:kern w:val="24"/>
          <w:sz w:val="24"/>
          <w:szCs w:val="24"/>
        </w:rPr>
        <w:lastRenderedPageBreak/>
        <w:t>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additional variable, the level of foreign exchange reserves relative to GDP.  They find that it is a significant determinant of Turkish intervention.  They also identify several significant structural breaks in the reaction function.</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77427" cy="3315163"/>
                    </a:xfrm>
                    <a:prstGeom prst="rect">
                      <a:avLst/>
                    </a:prstGeom>
                  </pic:spPr>
                </pic:pic>
              </a:graphicData>
            </a:graphic>
          </wp:inline>
        </w:drawing>
      </w:r>
    </w:p>
    <w:p w14:paraId="75A3B158" w14:textId="7B6E0F02" w:rsidR="0042142F" w:rsidRDefault="0042142F" w:rsidP="0042142F">
      <w:pPr>
        <w:jc w:val="center"/>
      </w:pPr>
      <w:r>
        <w:t xml:space="preserve">Figure </w:t>
      </w:r>
      <w:r w:rsidR="000B0630">
        <w:t>4</w:t>
      </w:r>
      <w:r w:rsidR="00C47224">
        <w:t xml:space="preserve">:  </w:t>
      </w:r>
      <w:r>
        <w:t>Turkey’s systematic management of its float (from Basu and Varoudakis, 2013)</w:t>
      </w:r>
      <w:r w:rsidR="00CE3FAD">
        <w:br/>
      </w:r>
    </w:p>
    <w:p w14:paraId="23D77E12" w14:textId="30D1E2D6" w:rsidR="0042142F" w:rsidRPr="007B7DAE" w:rsidRDefault="000B0630" w:rsidP="00CE3FAD">
      <w:pPr>
        <w:ind w:firstLine="720"/>
        <w:rPr>
          <w:sz w:val="24"/>
          <w:szCs w:val="24"/>
        </w:rPr>
      </w:pP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w:t>
      </w:r>
      <w:r w:rsidR="00C47224">
        <w:rPr>
          <w:sz w:val="24"/>
          <w:szCs w:val="24"/>
        </w:rPr>
        <w:t xml:space="preserve">easures of the exchange rate.  </w:t>
      </w:r>
      <w:r w:rsidR="0042142F" w:rsidRPr="007B7DAE">
        <w:rPr>
          <w:sz w:val="24"/>
          <w:szCs w:val="24"/>
        </w:rPr>
        <w:t>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rPr>
        <w:lastRenderedPageBreak/>
        <w:drawing>
          <wp:inline distT="0" distB="0" distL="0" distR="0" wp14:anchorId="4B12435A" wp14:editId="5FEBF4E5">
            <wp:extent cx="4410075" cy="276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5133" cy="2769633"/>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2B1D4770" w:rsidR="0042142F"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00C47224">
        <w:rPr>
          <w:sz w:val="24"/>
          <w:szCs w:val="24"/>
        </w:rPr>
        <w:t xml:space="preserve">. </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00C47224">
        <w:rPr>
          <w:sz w:val="24"/>
          <w:szCs w:val="24"/>
        </w:rPr>
        <w:t xml:space="preserve">. </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29"/>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7A1EEFFF" w14:textId="77777777" w:rsidR="00A608F2" w:rsidRPr="00D173F6" w:rsidRDefault="00A608F2" w:rsidP="00D173F6">
      <w:pPr>
        <w:ind w:firstLine="720"/>
        <w:rPr>
          <w:sz w:val="24"/>
          <w:szCs w:val="24"/>
        </w:rPr>
      </w:pPr>
    </w:p>
    <w:p w14:paraId="5513B031" w14:textId="77777777" w:rsidR="0042142F" w:rsidRPr="00D173F6" w:rsidRDefault="0042142F" w:rsidP="00D173F6">
      <w:pPr>
        <w:ind w:firstLine="720"/>
        <w:rPr>
          <w:sz w:val="24"/>
          <w:szCs w:val="24"/>
        </w:rPr>
      </w:pPr>
      <w:r w:rsidRPr="00D173F6">
        <w:rPr>
          <w:sz w:val="24"/>
          <w:szCs w:val="24"/>
        </w:rPr>
        <w:lastRenderedPageBreak/>
        <w:t>The full equation is thus:</w:t>
      </w:r>
    </w:p>
    <w:p w14:paraId="6F5B3186" w14:textId="7C9F275F" w:rsidR="0042142F" w:rsidRPr="00D173F6" w:rsidRDefault="008A26FB" w:rsidP="0042142F">
      <w:pPr>
        <w:rPr>
          <w:sz w:val="24"/>
          <w:szCs w:val="24"/>
        </w:rPr>
      </w:pPr>
      <w:r>
        <w:rPr>
          <w:sz w:val="24"/>
          <w:szCs w:val="24"/>
        </w:rPr>
        <w:t xml:space="preserve"> FX acquisition =  γ +  α</w:t>
      </w:r>
      <w:r w:rsidR="0042142F" w:rsidRPr="00D173F6">
        <w:rPr>
          <w:sz w:val="24"/>
          <w:szCs w:val="24"/>
        </w:rPr>
        <w:t xml:space="preserve">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w:t>
      </w:r>
      <w:r w:rsidR="0042142F" w:rsidRPr="00D173F6">
        <w:rPr>
          <w:rFonts w:ascii="Calibri" w:eastAsia="Times New Roman" w:hAnsi="Calibri" w:cs="Times New Roman"/>
          <w:bCs/>
          <w:color w:val="000000"/>
          <w:sz w:val="24"/>
          <w:szCs w:val="24"/>
          <w:vertAlign w:val="subscript"/>
        </w:rPr>
        <w:t>trend</w:t>
      </w:r>
      <w:r w:rsidR="0042142F" w:rsidRPr="00D173F6">
        <w:rPr>
          <w:rFonts w:ascii="Calibri" w:eastAsia="Times New Roman" w:hAnsi="Calibri" w:cs="Times New Roman"/>
          <w:bCs/>
          <w:color w:val="000000"/>
          <w:sz w:val="24"/>
          <w:szCs w:val="24"/>
        </w:rPr>
        <w:t>)</w:t>
      </w:r>
      <w:r w:rsidR="0042142F" w:rsidRPr="00D173F6">
        <w:rPr>
          <w:sz w:val="24"/>
          <w:szCs w:val="24"/>
        </w:rPr>
        <w:t xml:space="preserve">  + ß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 </w:t>
      </w:r>
      <w:r w:rsidR="0042142F" w:rsidRPr="00D173F6">
        <w:rPr>
          <w:rFonts w:ascii="Calibri" w:eastAsia="Times New Roman" w:hAnsi="Calibri" w:cs="Times New Roman"/>
          <w:bCs/>
          <w:color w:val="000000"/>
          <w:sz w:val="24"/>
          <w:szCs w:val="24"/>
          <w:vertAlign w:val="subscript"/>
        </w:rPr>
        <w:t>t-1</w:t>
      </w:r>
      <w:r w:rsidR="0042142F" w:rsidRPr="00D173F6">
        <w:rPr>
          <w:sz w:val="24"/>
          <w:szCs w:val="24"/>
        </w:rPr>
        <w:t>) + δ (Res /GDP)</w:t>
      </w:r>
      <w:r w:rsidR="0042142F" w:rsidRPr="00D173F6">
        <w:rPr>
          <w:rFonts w:ascii="Calibri" w:eastAsia="Times New Roman" w:hAnsi="Calibri" w:cs="Times New Roman"/>
          <w:b/>
          <w:bCs/>
          <w:color w:val="000000"/>
          <w:sz w:val="24"/>
          <w:szCs w:val="24"/>
          <w:vertAlign w:val="subscript"/>
        </w:rPr>
        <w:t>t</w:t>
      </w:r>
      <w:r w:rsidR="0042142F"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4E93C593"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sz w:val="24"/>
          <w:szCs w:val="24"/>
        </w:rPr>
        <w:t xml:space="preserve"> </w:t>
      </w:r>
      <w:r w:rsidR="00C47224">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.3).  When the central bank’s behavior is judged by the intervention data, both the level and rate of chan</w:t>
      </w:r>
      <w:r w:rsidR="00C47224">
        <w:rPr>
          <w:sz w:val="24"/>
          <w:szCs w:val="24"/>
        </w:rPr>
        <w:t xml:space="preserve">ge variables are significant.  </w:t>
      </w:r>
      <w:r w:rsidRPr="00D173F6">
        <w:rPr>
          <w:sz w:val="24"/>
          <w:szCs w:val="24"/>
        </w:rPr>
        <w:t xml:space="preserve">When it is judged by reserve changes, the rate of change variable is highly significant but the level variable is at best borderline-significant. </w:t>
      </w:r>
    </w:p>
    <w:p w14:paraId="5AA12E88" w14:textId="7F5E2CDE"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w:t>
      </w:r>
      <w:r w:rsidR="00C47224">
        <w:rPr>
          <w:sz w:val="24"/>
          <w:szCs w:val="24"/>
        </w:rPr>
        <w:t xml:space="preserve">serves when the level is low. </w:t>
      </w:r>
      <w:r w:rsidRPr="00D173F6">
        <w:rPr>
          <w:sz w:val="24"/>
          <w:szCs w:val="24"/>
        </w:rPr>
        <w:t>The effect is not evident when central bank behavior is measured by the change in reserves, rather than the intervention data.</w:t>
      </w:r>
      <w:r w:rsidR="005E76DF">
        <w:rPr>
          <w:sz w:val="24"/>
          <w:szCs w:val="24"/>
        </w:rPr>
        <w:t xml:space="preserve">  Estimates for sub-periods are reported in the on-line appendix table (Sheets 7 and 8).</w:t>
      </w:r>
    </w:p>
    <w:p w14:paraId="7482EF98" w14:textId="4CC50810" w:rsidR="00D173F6" w:rsidRDefault="0042142F" w:rsidP="00D173F6">
      <w:pPr>
        <w:ind w:firstLine="720"/>
        <w:rPr>
          <w:sz w:val="24"/>
          <w:szCs w:val="24"/>
        </w:rPr>
      </w:pPr>
      <w:r w:rsidRPr="00D173F6">
        <w:rPr>
          <w:sz w:val="24"/>
          <w:szCs w:val="24"/>
        </w:rPr>
        <w:t>We find no evidence for the inflation targeting hypothesis:  Neither intervention nor changes in reserves appear to respond significantly to the level of inflation measured relative to its target.</w:t>
      </w:r>
      <w:r w:rsidR="0042209D">
        <w:rPr>
          <w:sz w:val="24"/>
          <w:szCs w:val="24"/>
        </w:rPr>
        <w:t xml:space="preserve">  This finding is of interest since Turkey is supposedly an inflation-targeter.  </w:t>
      </w:r>
      <w:r w:rsidRPr="00D173F6">
        <w:rPr>
          <w:sz w:val="24"/>
          <w:szCs w:val="24"/>
        </w:rPr>
        <w:t xml:space="preserve">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764DDE">
        <w:rPr>
          <w:sz w:val="24"/>
          <w:szCs w:val="24"/>
        </w:rPr>
        <w:t>3</w:t>
      </w:r>
      <w:r w:rsidRPr="00D173F6">
        <w:rPr>
          <w:sz w:val="24"/>
          <w:szCs w:val="24"/>
        </w:rPr>
        <w:t>, but they are included in the on-line appendix</w:t>
      </w:r>
      <w:r w:rsidR="005E76DF">
        <w:rPr>
          <w:sz w:val="24"/>
          <w:szCs w:val="24"/>
        </w:rPr>
        <w:t xml:space="preserve"> (Sheet 10)</w:t>
      </w:r>
      <w:r w:rsidRPr="00D173F6">
        <w:rPr>
          <w:sz w:val="24"/>
          <w:szCs w:val="24"/>
        </w:rPr>
        <w:t>.</w:t>
      </w:r>
    </w:p>
    <w:p w14:paraId="5E2E9267" w14:textId="77777777" w:rsidR="00D173F6" w:rsidRDefault="00D173F6">
      <w:pPr>
        <w:rPr>
          <w:sz w:val="24"/>
          <w:szCs w:val="24"/>
        </w:rPr>
      </w:pPr>
      <w:r>
        <w:rPr>
          <w:sz w:val="24"/>
          <w:szCs w:val="24"/>
        </w:rPr>
        <w:br w:type="page"/>
      </w:r>
    </w:p>
    <w:p w14:paraId="3BB360BF" w14:textId="3043677F" w:rsidR="0042142F" w:rsidRPr="009371EC" w:rsidRDefault="0042142F" w:rsidP="0001681A">
      <w:pPr>
        <w:spacing w:after="120" w:line="240" w:lineRule="auto"/>
        <w:jc w:val="center"/>
        <w:rPr>
          <w:b/>
          <w:sz w:val="24"/>
          <w:szCs w:val="24"/>
        </w:rPr>
      </w:pPr>
      <w:r w:rsidRPr="009371EC">
        <w:rPr>
          <w:b/>
          <w:sz w:val="24"/>
          <w:szCs w:val="24"/>
        </w:rPr>
        <w:lastRenderedPageBreak/>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346C53">
        <w:trPr>
          <w:gridAfter w:val="1"/>
          <w:wAfter w:w="900" w:type="dxa"/>
          <w:trHeight w:val="33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Table 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346C53">
        <w:trPr>
          <w:gridAfter w:val="3"/>
          <w:wAfter w:w="2880" w:type="dxa"/>
          <w:trHeight w:val="423"/>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8A26FB"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8A26FB" w:rsidRPr="009164C3" w:rsidRDefault="008A26FB"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116ACA82"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6.017**</w:t>
            </w:r>
          </w:p>
        </w:tc>
        <w:tc>
          <w:tcPr>
            <w:tcW w:w="1811" w:type="dxa"/>
            <w:tcBorders>
              <w:top w:val="nil"/>
              <w:left w:val="nil"/>
              <w:bottom w:val="nil"/>
              <w:right w:val="nil"/>
            </w:tcBorders>
            <w:shd w:val="clear" w:color="auto" w:fill="auto"/>
            <w:noWrap/>
            <w:vAlign w:val="bottom"/>
            <w:hideMark/>
          </w:tcPr>
          <w:p w14:paraId="61890C6A" w14:textId="76AFBAAC"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24.568***</w:t>
            </w:r>
          </w:p>
        </w:tc>
        <w:tc>
          <w:tcPr>
            <w:tcW w:w="254" w:type="dxa"/>
            <w:gridSpan w:val="2"/>
            <w:tcBorders>
              <w:top w:val="nil"/>
              <w:left w:val="nil"/>
              <w:bottom w:val="nil"/>
              <w:right w:val="nil"/>
            </w:tcBorders>
            <w:shd w:val="clear" w:color="auto" w:fill="auto"/>
            <w:noWrap/>
            <w:vAlign w:val="bottom"/>
            <w:hideMark/>
          </w:tcPr>
          <w:p w14:paraId="61AE1C2B"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2F416AB5" w14:textId="77777777" w:rsidTr="008A26FB">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6EED782D" w14:textId="601363BB"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72837AE" w14:textId="4E994BE0"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(2.388)</w:t>
            </w:r>
          </w:p>
        </w:tc>
        <w:tc>
          <w:tcPr>
            <w:tcW w:w="1811" w:type="dxa"/>
            <w:tcBorders>
              <w:top w:val="nil"/>
              <w:left w:val="nil"/>
              <w:bottom w:val="nil"/>
              <w:right w:val="nil"/>
            </w:tcBorders>
            <w:shd w:val="clear" w:color="auto" w:fill="auto"/>
            <w:noWrap/>
            <w:vAlign w:val="bottom"/>
          </w:tcPr>
          <w:p w14:paraId="4CECE640" w14:textId="6A009FB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(5.527)</w:t>
            </w:r>
          </w:p>
        </w:tc>
        <w:tc>
          <w:tcPr>
            <w:tcW w:w="254" w:type="dxa"/>
            <w:gridSpan w:val="2"/>
            <w:tcBorders>
              <w:top w:val="nil"/>
              <w:left w:val="nil"/>
              <w:bottom w:val="nil"/>
              <w:right w:val="nil"/>
            </w:tcBorders>
            <w:shd w:val="clear" w:color="auto" w:fill="auto"/>
            <w:noWrap/>
            <w:vAlign w:val="bottom"/>
          </w:tcPr>
          <w:p w14:paraId="374A0F80"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1355CECE"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07913280" w14:textId="0352D9E9" w:rsidR="008A26FB" w:rsidRPr="009164C3" w:rsidRDefault="008A26FB"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998" w:type="dxa"/>
            <w:gridSpan w:val="2"/>
            <w:tcBorders>
              <w:top w:val="nil"/>
              <w:left w:val="nil"/>
              <w:bottom w:val="nil"/>
              <w:right w:val="nil"/>
            </w:tcBorders>
            <w:shd w:val="clear" w:color="auto" w:fill="auto"/>
            <w:noWrap/>
            <w:vAlign w:val="bottom"/>
          </w:tcPr>
          <w:p w14:paraId="684B1497" w14:textId="518BE45D"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0.408***</w:t>
            </w:r>
          </w:p>
        </w:tc>
        <w:tc>
          <w:tcPr>
            <w:tcW w:w="1811" w:type="dxa"/>
            <w:tcBorders>
              <w:top w:val="nil"/>
              <w:left w:val="nil"/>
              <w:bottom w:val="nil"/>
              <w:right w:val="nil"/>
            </w:tcBorders>
            <w:shd w:val="clear" w:color="auto" w:fill="auto"/>
            <w:noWrap/>
            <w:vAlign w:val="bottom"/>
          </w:tcPr>
          <w:p w14:paraId="2361D89F" w14:textId="59C59EF1"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0.645***</w:t>
            </w:r>
          </w:p>
        </w:tc>
        <w:tc>
          <w:tcPr>
            <w:tcW w:w="254" w:type="dxa"/>
            <w:gridSpan w:val="2"/>
            <w:tcBorders>
              <w:top w:val="nil"/>
              <w:left w:val="nil"/>
              <w:bottom w:val="nil"/>
              <w:right w:val="nil"/>
            </w:tcBorders>
            <w:shd w:val="clear" w:color="auto" w:fill="auto"/>
            <w:noWrap/>
            <w:vAlign w:val="bottom"/>
          </w:tcPr>
          <w:p w14:paraId="7BC0179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3F9E4EC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5DEB6B4F" w14:textId="77777777"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B809190" w14:textId="0D6F571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(0.098)</w:t>
            </w:r>
          </w:p>
        </w:tc>
        <w:tc>
          <w:tcPr>
            <w:tcW w:w="1811" w:type="dxa"/>
            <w:tcBorders>
              <w:top w:val="nil"/>
              <w:left w:val="nil"/>
              <w:bottom w:val="nil"/>
              <w:right w:val="nil"/>
            </w:tcBorders>
            <w:shd w:val="clear" w:color="auto" w:fill="auto"/>
            <w:noWrap/>
            <w:vAlign w:val="bottom"/>
          </w:tcPr>
          <w:p w14:paraId="7E5D0F4F" w14:textId="036D21DE"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(0.200)</w:t>
            </w:r>
          </w:p>
        </w:tc>
        <w:tc>
          <w:tcPr>
            <w:tcW w:w="254" w:type="dxa"/>
            <w:gridSpan w:val="2"/>
            <w:tcBorders>
              <w:top w:val="nil"/>
              <w:left w:val="nil"/>
              <w:bottom w:val="nil"/>
              <w:right w:val="nil"/>
            </w:tcBorders>
            <w:shd w:val="clear" w:color="auto" w:fill="auto"/>
            <w:noWrap/>
            <w:vAlign w:val="bottom"/>
          </w:tcPr>
          <w:p w14:paraId="53214D4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54575F" w:rsidRPr="009164C3" w14:paraId="2712BF26"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49E96196" w14:textId="37A7B45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998" w:type="dxa"/>
            <w:gridSpan w:val="2"/>
            <w:tcBorders>
              <w:top w:val="nil"/>
              <w:left w:val="nil"/>
              <w:bottom w:val="nil"/>
              <w:right w:val="nil"/>
            </w:tcBorders>
            <w:shd w:val="clear" w:color="auto" w:fill="auto"/>
            <w:noWrap/>
            <w:vAlign w:val="bottom"/>
          </w:tcPr>
          <w:p w14:paraId="1951990D" w14:textId="37BE1C3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tcBorders>
              <w:top w:val="nil"/>
              <w:left w:val="nil"/>
              <w:bottom w:val="nil"/>
              <w:right w:val="nil"/>
            </w:tcBorders>
            <w:shd w:val="clear" w:color="auto" w:fill="auto"/>
            <w:noWrap/>
            <w:vAlign w:val="bottom"/>
          </w:tcPr>
          <w:p w14:paraId="6A694E3A" w14:textId="134D1CB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254" w:type="dxa"/>
            <w:gridSpan w:val="2"/>
            <w:tcBorders>
              <w:top w:val="nil"/>
              <w:left w:val="nil"/>
              <w:bottom w:val="nil"/>
              <w:right w:val="nil"/>
            </w:tcBorders>
            <w:shd w:val="clear" w:color="auto" w:fill="auto"/>
            <w:noWrap/>
            <w:vAlign w:val="bottom"/>
          </w:tcPr>
          <w:p w14:paraId="64EB0459"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346C53">
        <w:trPr>
          <w:trHeight w:val="450"/>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7A3EA0"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7A3EA0" w:rsidRPr="009164C3" w:rsidRDefault="007A3EA0"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877" w:type="dxa"/>
            <w:tcBorders>
              <w:top w:val="nil"/>
              <w:left w:val="nil"/>
              <w:bottom w:val="nil"/>
              <w:right w:val="nil"/>
            </w:tcBorders>
            <w:shd w:val="clear" w:color="auto" w:fill="auto"/>
            <w:noWrap/>
            <w:vAlign w:val="bottom"/>
            <w:hideMark/>
          </w:tcPr>
          <w:p w14:paraId="2B8A34D8" w14:textId="4E8625D5"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3.240***</w:t>
            </w:r>
          </w:p>
        </w:tc>
        <w:tc>
          <w:tcPr>
            <w:tcW w:w="2053" w:type="dxa"/>
            <w:gridSpan w:val="3"/>
            <w:tcBorders>
              <w:top w:val="nil"/>
              <w:left w:val="nil"/>
              <w:bottom w:val="nil"/>
              <w:right w:val="nil"/>
            </w:tcBorders>
            <w:shd w:val="clear" w:color="auto" w:fill="auto"/>
            <w:noWrap/>
            <w:vAlign w:val="bottom"/>
            <w:hideMark/>
          </w:tcPr>
          <w:p w14:paraId="701A0D78" w14:textId="6A6EBD32"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3.776*</w:t>
            </w:r>
          </w:p>
        </w:tc>
        <w:tc>
          <w:tcPr>
            <w:tcW w:w="1811" w:type="dxa"/>
            <w:gridSpan w:val="2"/>
            <w:tcBorders>
              <w:top w:val="nil"/>
              <w:left w:val="nil"/>
              <w:bottom w:val="nil"/>
              <w:right w:val="nil"/>
            </w:tcBorders>
            <w:shd w:val="clear" w:color="auto" w:fill="auto"/>
            <w:noWrap/>
            <w:vAlign w:val="bottom"/>
          </w:tcPr>
          <w:p w14:paraId="3283ADFB"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2F72A094" w14:textId="77777777" w:rsidTr="008A26FB">
        <w:trPr>
          <w:trHeight w:val="315"/>
        </w:trPr>
        <w:tc>
          <w:tcPr>
            <w:tcW w:w="2612" w:type="dxa"/>
            <w:gridSpan w:val="2"/>
            <w:tcBorders>
              <w:top w:val="nil"/>
              <w:left w:val="nil"/>
              <w:bottom w:val="nil"/>
              <w:right w:val="nil"/>
            </w:tcBorders>
            <w:shd w:val="clear" w:color="auto" w:fill="auto"/>
            <w:noWrap/>
            <w:vAlign w:val="bottom"/>
          </w:tcPr>
          <w:p w14:paraId="2002A123" w14:textId="79C0154C"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1FEC7A22" w14:textId="355D189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(0.871)</w:t>
            </w:r>
          </w:p>
        </w:tc>
        <w:tc>
          <w:tcPr>
            <w:tcW w:w="2053" w:type="dxa"/>
            <w:gridSpan w:val="3"/>
            <w:tcBorders>
              <w:top w:val="nil"/>
              <w:left w:val="nil"/>
              <w:bottom w:val="nil"/>
              <w:right w:val="nil"/>
            </w:tcBorders>
            <w:shd w:val="clear" w:color="auto" w:fill="auto"/>
            <w:noWrap/>
            <w:vAlign w:val="bottom"/>
          </w:tcPr>
          <w:p w14:paraId="4E162997" w14:textId="4F85CC4C"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(2.034)</w:t>
            </w:r>
          </w:p>
        </w:tc>
        <w:tc>
          <w:tcPr>
            <w:tcW w:w="1811" w:type="dxa"/>
            <w:gridSpan w:val="2"/>
            <w:tcBorders>
              <w:top w:val="nil"/>
              <w:left w:val="nil"/>
              <w:bottom w:val="nil"/>
              <w:right w:val="nil"/>
            </w:tcBorders>
            <w:shd w:val="clear" w:color="auto" w:fill="auto"/>
            <w:noWrap/>
            <w:vAlign w:val="bottom"/>
          </w:tcPr>
          <w:p w14:paraId="43466B62"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718DAB2D" w14:textId="77777777" w:rsidTr="00AB60B7">
        <w:trPr>
          <w:trHeight w:val="315"/>
        </w:trPr>
        <w:tc>
          <w:tcPr>
            <w:tcW w:w="2612" w:type="dxa"/>
            <w:gridSpan w:val="2"/>
            <w:tcBorders>
              <w:top w:val="nil"/>
              <w:left w:val="nil"/>
              <w:bottom w:val="nil"/>
              <w:right w:val="nil"/>
            </w:tcBorders>
            <w:shd w:val="clear" w:color="auto" w:fill="auto"/>
            <w:noWrap/>
            <w:vAlign w:val="bottom"/>
          </w:tcPr>
          <w:p w14:paraId="66C5B4CF" w14:textId="786A8870" w:rsidR="007A3EA0" w:rsidRPr="009164C3" w:rsidRDefault="007A3EA0"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877" w:type="dxa"/>
            <w:tcBorders>
              <w:top w:val="nil"/>
              <w:left w:val="nil"/>
              <w:bottom w:val="nil"/>
              <w:right w:val="nil"/>
            </w:tcBorders>
            <w:shd w:val="clear" w:color="auto" w:fill="auto"/>
            <w:noWrap/>
            <w:vAlign w:val="bottom"/>
          </w:tcPr>
          <w:p w14:paraId="49B64D14" w14:textId="7880B87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0.390***</w:t>
            </w:r>
          </w:p>
        </w:tc>
        <w:tc>
          <w:tcPr>
            <w:tcW w:w="2053" w:type="dxa"/>
            <w:gridSpan w:val="3"/>
            <w:tcBorders>
              <w:top w:val="nil"/>
              <w:left w:val="nil"/>
              <w:bottom w:val="nil"/>
              <w:right w:val="nil"/>
            </w:tcBorders>
            <w:shd w:val="clear" w:color="auto" w:fill="auto"/>
            <w:noWrap/>
            <w:vAlign w:val="bottom"/>
          </w:tcPr>
          <w:p w14:paraId="71B7D6F9" w14:textId="16B4F29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0.577***</w:t>
            </w:r>
          </w:p>
        </w:tc>
        <w:tc>
          <w:tcPr>
            <w:tcW w:w="1811" w:type="dxa"/>
            <w:gridSpan w:val="2"/>
            <w:tcBorders>
              <w:top w:val="nil"/>
              <w:left w:val="nil"/>
              <w:bottom w:val="nil"/>
              <w:right w:val="nil"/>
            </w:tcBorders>
            <w:shd w:val="clear" w:color="auto" w:fill="auto"/>
            <w:noWrap/>
            <w:vAlign w:val="bottom"/>
          </w:tcPr>
          <w:p w14:paraId="34BEFF13"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1E4C560B"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6488630D" w14:textId="77777777" w:rsidTr="00AB60B7">
        <w:trPr>
          <w:trHeight w:val="315"/>
        </w:trPr>
        <w:tc>
          <w:tcPr>
            <w:tcW w:w="2612" w:type="dxa"/>
            <w:gridSpan w:val="2"/>
            <w:tcBorders>
              <w:top w:val="nil"/>
              <w:left w:val="nil"/>
              <w:bottom w:val="nil"/>
              <w:right w:val="nil"/>
            </w:tcBorders>
            <w:shd w:val="clear" w:color="auto" w:fill="auto"/>
            <w:noWrap/>
            <w:vAlign w:val="bottom"/>
          </w:tcPr>
          <w:p w14:paraId="62ECCC9D" w14:textId="77777777"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31729933" w14:textId="36CC21D0"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(0.094)</w:t>
            </w:r>
          </w:p>
        </w:tc>
        <w:tc>
          <w:tcPr>
            <w:tcW w:w="2053" w:type="dxa"/>
            <w:gridSpan w:val="3"/>
            <w:tcBorders>
              <w:top w:val="nil"/>
              <w:left w:val="nil"/>
              <w:bottom w:val="nil"/>
              <w:right w:val="nil"/>
            </w:tcBorders>
            <w:shd w:val="clear" w:color="auto" w:fill="auto"/>
            <w:noWrap/>
            <w:vAlign w:val="bottom"/>
          </w:tcPr>
          <w:p w14:paraId="146BFE2A" w14:textId="503A0BE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(0.215)</w:t>
            </w:r>
          </w:p>
        </w:tc>
        <w:tc>
          <w:tcPr>
            <w:tcW w:w="1811" w:type="dxa"/>
            <w:gridSpan w:val="2"/>
            <w:tcBorders>
              <w:top w:val="nil"/>
              <w:left w:val="nil"/>
              <w:bottom w:val="nil"/>
              <w:right w:val="nil"/>
            </w:tcBorders>
            <w:shd w:val="clear" w:color="auto" w:fill="auto"/>
            <w:noWrap/>
            <w:vAlign w:val="bottom"/>
          </w:tcPr>
          <w:p w14:paraId="0E02536C"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0A4718A0"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54575F" w:rsidRPr="009164C3" w14:paraId="4FD59C7B" w14:textId="77777777" w:rsidTr="00AB60B7">
        <w:trPr>
          <w:trHeight w:val="315"/>
        </w:trPr>
        <w:tc>
          <w:tcPr>
            <w:tcW w:w="2612" w:type="dxa"/>
            <w:gridSpan w:val="2"/>
            <w:tcBorders>
              <w:top w:val="nil"/>
              <w:left w:val="nil"/>
              <w:bottom w:val="nil"/>
              <w:right w:val="nil"/>
            </w:tcBorders>
            <w:shd w:val="clear" w:color="auto" w:fill="auto"/>
            <w:noWrap/>
            <w:vAlign w:val="bottom"/>
          </w:tcPr>
          <w:p w14:paraId="075DBEC2" w14:textId="1CE84FF7"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877" w:type="dxa"/>
            <w:tcBorders>
              <w:top w:val="nil"/>
              <w:left w:val="nil"/>
              <w:bottom w:val="nil"/>
              <w:right w:val="nil"/>
            </w:tcBorders>
            <w:shd w:val="clear" w:color="auto" w:fill="auto"/>
            <w:noWrap/>
            <w:vAlign w:val="bottom"/>
          </w:tcPr>
          <w:p w14:paraId="326BD29F" w14:textId="17507287"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134</w:t>
            </w:r>
          </w:p>
        </w:tc>
        <w:tc>
          <w:tcPr>
            <w:tcW w:w="2053" w:type="dxa"/>
            <w:gridSpan w:val="3"/>
            <w:tcBorders>
              <w:top w:val="nil"/>
              <w:left w:val="nil"/>
              <w:bottom w:val="nil"/>
              <w:right w:val="nil"/>
            </w:tcBorders>
            <w:shd w:val="clear" w:color="auto" w:fill="auto"/>
            <w:noWrap/>
            <w:vAlign w:val="bottom"/>
          </w:tcPr>
          <w:p w14:paraId="6D7BF5CD" w14:textId="04465693"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gridSpan w:val="2"/>
            <w:tcBorders>
              <w:top w:val="nil"/>
              <w:left w:val="nil"/>
              <w:bottom w:val="nil"/>
              <w:right w:val="nil"/>
            </w:tcBorders>
            <w:shd w:val="clear" w:color="auto" w:fill="auto"/>
            <w:noWrap/>
            <w:vAlign w:val="bottom"/>
          </w:tcPr>
          <w:p w14:paraId="4791A3B9" w14:textId="77777777" w:rsidR="0054575F" w:rsidRPr="009164C3" w:rsidRDefault="0054575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3942B990"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346C53">
        <w:trPr>
          <w:gridAfter w:val="1"/>
          <w:wAfter w:w="90" w:type="dxa"/>
          <w:trHeight w:val="135"/>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0C2901"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165882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4.403**</w:t>
            </w:r>
          </w:p>
        </w:tc>
        <w:tc>
          <w:tcPr>
            <w:tcW w:w="1710" w:type="dxa"/>
            <w:tcBorders>
              <w:top w:val="nil"/>
              <w:left w:val="nil"/>
              <w:bottom w:val="nil"/>
              <w:right w:val="nil"/>
            </w:tcBorders>
            <w:shd w:val="clear" w:color="auto" w:fill="auto"/>
            <w:noWrap/>
            <w:vAlign w:val="bottom"/>
          </w:tcPr>
          <w:p w14:paraId="3138A049" w14:textId="6560B11A"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62296A6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2.959</w:t>
            </w:r>
          </w:p>
        </w:tc>
        <w:tc>
          <w:tcPr>
            <w:tcW w:w="1530" w:type="dxa"/>
            <w:tcBorders>
              <w:top w:val="nil"/>
              <w:left w:val="nil"/>
              <w:bottom w:val="nil"/>
              <w:right w:val="nil"/>
            </w:tcBorders>
            <w:shd w:val="clear" w:color="auto" w:fill="auto"/>
            <w:noWrap/>
            <w:vAlign w:val="bottom"/>
          </w:tcPr>
          <w:p w14:paraId="4D39C9A3" w14:textId="7F6A8D10"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24.851***</w:t>
            </w:r>
          </w:p>
        </w:tc>
        <w:tc>
          <w:tcPr>
            <w:tcW w:w="270" w:type="dxa"/>
            <w:tcBorders>
              <w:top w:val="nil"/>
              <w:left w:val="nil"/>
              <w:bottom w:val="nil"/>
              <w:right w:val="nil"/>
            </w:tcBorders>
            <w:shd w:val="clear" w:color="auto" w:fill="auto"/>
            <w:noWrap/>
            <w:vAlign w:val="bottom"/>
          </w:tcPr>
          <w:p w14:paraId="3CF95BB7"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2374DDB"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84DC3F" w14:textId="35B29AB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(1.947)</w:t>
            </w:r>
          </w:p>
        </w:tc>
        <w:tc>
          <w:tcPr>
            <w:tcW w:w="1710" w:type="dxa"/>
            <w:tcBorders>
              <w:top w:val="nil"/>
              <w:left w:val="nil"/>
              <w:bottom w:val="nil"/>
              <w:right w:val="nil"/>
            </w:tcBorders>
            <w:shd w:val="clear" w:color="auto" w:fill="auto"/>
            <w:noWrap/>
            <w:vAlign w:val="bottom"/>
          </w:tcPr>
          <w:p w14:paraId="3F024569" w14:textId="6EEA51FB"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2DB5F8" w14:textId="1FE755A6"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(1.816)</w:t>
            </w:r>
          </w:p>
        </w:tc>
        <w:tc>
          <w:tcPr>
            <w:tcW w:w="1530" w:type="dxa"/>
            <w:tcBorders>
              <w:top w:val="nil"/>
              <w:left w:val="nil"/>
              <w:bottom w:val="nil"/>
              <w:right w:val="nil"/>
            </w:tcBorders>
            <w:shd w:val="clear" w:color="auto" w:fill="auto"/>
            <w:noWrap/>
            <w:vAlign w:val="bottom"/>
          </w:tcPr>
          <w:p w14:paraId="55AAC95A" w14:textId="08CD86FE"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(5.497)</w:t>
            </w:r>
          </w:p>
        </w:tc>
        <w:tc>
          <w:tcPr>
            <w:tcW w:w="270" w:type="dxa"/>
            <w:tcBorders>
              <w:top w:val="nil"/>
              <w:left w:val="nil"/>
              <w:bottom w:val="nil"/>
              <w:right w:val="nil"/>
            </w:tcBorders>
            <w:shd w:val="clear" w:color="auto" w:fill="auto"/>
            <w:noWrap/>
            <w:vAlign w:val="bottom"/>
          </w:tcPr>
          <w:p w14:paraId="13FB6ED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402E4D0" w14:textId="77777777" w:rsidTr="00F068D1">
        <w:trPr>
          <w:trHeight w:val="315"/>
        </w:trPr>
        <w:tc>
          <w:tcPr>
            <w:tcW w:w="2265" w:type="dxa"/>
            <w:tcBorders>
              <w:top w:val="nil"/>
              <w:left w:val="nil"/>
              <w:bottom w:val="nil"/>
              <w:right w:val="nil"/>
            </w:tcBorders>
            <w:shd w:val="clear" w:color="auto" w:fill="auto"/>
            <w:noWrap/>
            <w:vAlign w:val="bottom"/>
          </w:tcPr>
          <w:p w14:paraId="4A6CE197" w14:textId="288AB650"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440" w:type="dxa"/>
            <w:tcBorders>
              <w:top w:val="nil"/>
              <w:left w:val="nil"/>
              <w:bottom w:val="nil"/>
              <w:right w:val="nil"/>
            </w:tcBorders>
            <w:shd w:val="clear" w:color="auto" w:fill="auto"/>
            <w:noWrap/>
            <w:vAlign w:val="bottom"/>
          </w:tcPr>
          <w:p w14:paraId="4E1735BF" w14:textId="498AEA75"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3.017***</w:t>
            </w:r>
          </w:p>
        </w:tc>
        <w:tc>
          <w:tcPr>
            <w:tcW w:w="1710" w:type="dxa"/>
            <w:tcBorders>
              <w:top w:val="nil"/>
              <w:left w:val="nil"/>
              <w:bottom w:val="nil"/>
              <w:right w:val="nil"/>
            </w:tcBorders>
            <w:shd w:val="clear" w:color="auto" w:fill="auto"/>
            <w:noWrap/>
            <w:vAlign w:val="bottom"/>
          </w:tcPr>
          <w:p w14:paraId="6B75BCB2" w14:textId="5CB6BC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2.338***</w:t>
            </w:r>
          </w:p>
        </w:tc>
        <w:tc>
          <w:tcPr>
            <w:tcW w:w="1440" w:type="dxa"/>
            <w:tcBorders>
              <w:top w:val="nil"/>
              <w:left w:val="nil"/>
              <w:bottom w:val="nil"/>
              <w:right w:val="nil"/>
            </w:tcBorders>
            <w:shd w:val="clear" w:color="auto" w:fill="auto"/>
            <w:noWrap/>
            <w:vAlign w:val="bottom"/>
          </w:tcPr>
          <w:p w14:paraId="1ED4F07A" w14:textId="7E2418CD"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2.264***</w:t>
            </w:r>
          </w:p>
        </w:tc>
        <w:tc>
          <w:tcPr>
            <w:tcW w:w="1530" w:type="dxa"/>
            <w:tcBorders>
              <w:top w:val="nil"/>
              <w:left w:val="nil"/>
              <w:bottom w:val="nil"/>
              <w:right w:val="nil"/>
            </w:tcBorders>
            <w:shd w:val="clear" w:color="auto" w:fill="auto"/>
            <w:noWrap/>
            <w:vAlign w:val="bottom"/>
          </w:tcPr>
          <w:p w14:paraId="6A1A3CE1" w14:textId="0C1A549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3.196*</w:t>
            </w:r>
          </w:p>
        </w:tc>
        <w:tc>
          <w:tcPr>
            <w:tcW w:w="270" w:type="dxa"/>
            <w:tcBorders>
              <w:top w:val="nil"/>
              <w:left w:val="nil"/>
              <w:bottom w:val="nil"/>
              <w:right w:val="nil"/>
            </w:tcBorders>
            <w:shd w:val="clear" w:color="auto" w:fill="auto"/>
            <w:noWrap/>
            <w:vAlign w:val="bottom"/>
          </w:tcPr>
          <w:p w14:paraId="0B9E654C"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008B854" w14:textId="77777777" w:rsidTr="00F068D1">
        <w:trPr>
          <w:trHeight w:val="315"/>
        </w:trPr>
        <w:tc>
          <w:tcPr>
            <w:tcW w:w="2265" w:type="dxa"/>
            <w:tcBorders>
              <w:top w:val="nil"/>
              <w:left w:val="nil"/>
              <w:bottom w:val="nil"/>
              <w:right w:val="nil"/>
            </w:tcBorders>
            <w:shd w:val="clear" w:color="auto" w:fill="auto"/>
            <w:noWrap/>
            <w:vAlign w:val="bottom"/>
          </w:tcPr>
          <w:p w14:paraId="2E10F461" w14:textId="7ACCE6A5"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B7BE79B" w14:textId="692D01B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(0.831)</w:t>
            </w:r>
          </w:p>
        </w:tc>
        <w:tc>
          <w:tcPr>
            <w:tcW w:w="1710" w:type="dxa"/>
            <w:tcBorders>
              <w:top w:val="nil"/>
              <w:left w:val="nil"/>
              <w:bottom w:val="nil"/>
              <w:right w:val="nil"/>
            </w:tcBorders>
            <w:shd w:val="clear" w:color="auto" w:fill="auto"/>
            <w:noWrap/>
            <w:vAlign w:val="bottom"/>
          </w:tcPr>
          <w:p w14:paraId="3B711241" w14:textId="7EA7E54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(0.867)</w:t>
            </w:r>
          </w:p>
        </w:tc>
        <w:tc>
          <w:tcPr>
            <w:tcW w:w="1440" w:type="dxa"/>
            <w:tcBorders>
              <w:top w:val="nil"/>
              <w:left w:val="nil"/>
              <w:bottom w:val="nil"/>
              <w:right w:val="nil"/>
            </w:tcBorders>
            <w:shd w:val="clear" w:color="auto" w:fill="auto"/>
            <w:noWrap/>
            <w:vAlign w:val="bottom"/>
          </w:tcPr>
          <w:p w14:paraId="7BD6257F" w14:textId="0A12E0A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(0.855)</w:t>
            </w:r>
          </w:p>
        </w:tc>
        <w:tc>
          <w:tcPr>
            <w:tcW w:w="1530" w:type="dxa"/>
            <w:tcBorders>
              <w:top w:val="nil"/>
              <w:left w:val="nil"/>
              <w:bottom w:val="nil"/>
              <w:right w:val="nil"/>
            </w:tcBorders>
            <w:shd w:val="clear" w:color="auto" w:fill="auto"/>
            <w:noWrap/>
            <w:vAlign w:val="bottom"/>
          </w:tcPr>
          <w:p w14:paraId="616969D4" w14:textId="1141523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(1.754)</w:t>
            </w:r>
          </w:p>
        </w:tc>
        <w:tc>
          <w:tcPr>
            <w:tcW w:w="270" w:type="dxa"/>
            <w:tcBorders>
              <w:top w:val="nil"/>
              <w:left w:val="nil"/>
              <w:bottom w:val="nil"/>
              <w:right w:val="nil"/>
            </w:tcBorders>
            <w:shd w:val="clear" w:color="auto" w:fill="auto"/>
            <w:noWrap/>
            <w:vAlign w:val="bottom"/>
          </w:tcPr>
          <w:p w14:paraId="240DCB0D"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55BB956" w14:textId="77777777" w:rsidTr="009371EC">
        <w:trPr>
          <w:trHeight w:val="315"/>
        </w:trPr>
        <w:tc>
          <w:tcPr>
            <w:tcW w:w="2265" w:type="dxa"/>
            <w:tcBorders>
              <w:top w:val="nil"/>
              <w:left w:val="nil"/>
              <w:bottom w:val="nil"/>
              <w:right w:val="nil"/>
            </w:tcBorders>
            <w:shd w:val="clear" w:color="auto" w:fill="auto"/>
            <w:noWrap/>
            <w:vAlign w:val="bottom"/>
          </w:tcPr>
          <w:p w14:paraId="3BB5CBAE" w14:textId="65288E24" w:rsidR="000C2901" w:rsidRPr="009164C3" w:rsidRDefault="000C2901"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tcPr>
          <w:p w14:paraId="4853969F" w14:textId="136C430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Res/GDP</w:t>
            </w:r>
          </w:p>
        </w:tc>
        <w:tc>
          <w:tcPr>
            <w:tcW w:w="1710" w:type="dxa"/>
            <w:tcBorders>
              <w:top w:val="nil"/>
              <w:left w:val="nil"/>
              <w:bottom w:val="nil"/>
              <w:right w:val="nil"/>
            </w:tcBorders>
            <w:shd w:val="clear" w:color="auto" w:fill="auto"/>
            <w:noWrap/>
            <w:vAlign w:val="bottom"/>
          </w:tcPr>
          <w:p w14:paraId="49C62562" w14:textId="3B547953"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194EF5A" w14:textId="6E73015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-4.445***</w:t>
            </w:r>
          </w:p>
        </w:tc>
        <w:tc>
          <w:tcPr>
            <w:tcW w:w="1530" w:type="dxa"/>
            <w:tcBorders>
              <w:top w:val="nil"/>
              <w:left w:val="nil"/>
              <w:bottom w:val="nil"/>
              <w:right w:val="nil"/>
            </w:tcBorders>
            <w:shd w:val="clear" w:color="auto" w:fill="auto"/>
            <w:noWrap/>
            <w:vAlign w:val="bottom"/>
          </w:tcPr>
          <w:p w14:paraId="59AF25DD" w14:textId="38ADE0E7"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-4.070**</w:t>
            </w:r>
          </w:p>
        </w:tc>
        <w:tc>
          <w:tcPr>
            <w:tcW w:w="270" w:type="dxa"/>
            <w:tcBorders>
              <w:top w:val="nil"/>
              <w:left w:val="nil"/>
              <w:bottom w:val="nil"/>
              <w:right w:val="nil"/>
            </w:tcBorders>
            <w:shd w:val="clear" w:color="auto" w:fill="auto"/>
            <w:noWrap/>
            <w:vAlign w:val="bottom"/>
          </w:tcPr>
          <w:p w14:paraId="2F4C64C8"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0C309CD"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BDDD903" w14:textId="77777777" w:rsidTr="009371EC">
        <w:trPr>
          <w:trHeight w:val="315"/>
        </w:trPr>
        <w:tc>
          <w:tcPr>
            <w:tcW w:w="2265" w:type="dxa"/>
            <w:tcBorders>
              <w:top w:val="nil"/>
              <w:left w:val="nil"/>
              <w:bottom w:val="nil"/>
              <w:right w:val="nil"/>
            </w:tcBorders>
            <w:shd w:val="clear" w:color="auto" w:fill="auto"/>
            <w:noWrap/>
            <w:vAlign w:val="bottom"/>
          </w:tcPr>
          <w:p w14:paraId="5AE21D77"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2F913692"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0E75ECB"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2C9731" w14:textId="0199D5E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(1.556)</w:t>
            </w:r>
          </w:p>
        </w:tc>
        <w:tc>
          <w:tcPr>
            <w:tcW w:w="1530" w:type="dxa"/>
            <w:tcBorders>
              <w:top w:val="nil"/>
              <w:left w:val="nil"/>
              <w:bottom w:val="nil"/>
              <w:right w:val="nil"/>
            </w:tcBorders>
            <w:shd w:val="clear" w:color="auto" w:fill="auto"/>
            <w:noWrap/>
            <w:vAlign w:val="bottom"/>
          </w:tcPr>
          <w:p w14:paraId="04B11FFA" w14:textId="05AF226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(1.566)</w:t>
            </w:r>
          </w:p>
        </w:tc>
        <w:tc>
          <w:tcPr>
            <w:tcW w:w="270" w:type="dxa"/>
            <w:tcBorders>
              <w:top w:val="nil"/>
              <w:left w:val="nil"/>
              <w:bottom w:val="nil"/>
              <w:right w:val="nil"/>
            </w:tcBorders>
            <w:shd w:val="clear" w:color="auto" w:fill="auto"/>
            <w:noWrap/>
            <w:vAlign w:val="bottom"/>
          </w:tcPr>
          <w:p w14:paraId="1A245FF6"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0082254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54575F" w:rsidRPr="009164C3" w14:paraId="7101034E" w14:textId="77777777" w:rsidTr="009371EC">
        <w:trPr>
          <w:trHeight w:val="315"/>
        </w:trPr>
        <w:tc>
          <w:tcPr>
            <w:tcW w:w="2265" w:type="dxa"/>
            <w:tcBorders>
              <w:top w:val="nil"/>
              <w:left w:val="nil"/>
              <w:bottom w:val="nil"/>
              <w:right w:val="nil"/>
            </w:tcBorders>
            <w:shd w:val="clear" w:color="auto" w:fill="auto"/>
            <w:noWrap/>
            <w:vAlign w:val="bottom"/>
          </w:tcPr>
          <w:p w14:paraId="28DAF9FF" w14:textId="5C52C9A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Constant</w:t>
            </w:r>
          </w:p>
        </w:tc>
        <w:tc>
          <w:tcPr>
            <w:tcW w:w="1440" w:type="dxa"/>
            <w:tcBorders>
              <w:top w:val="nil"/>
              <w:left w:val="nil"/>
              <w:bottom w:val="nil"/>
              <w:right w:val="nil"/>
            </w:tcBorders>
            <w:shd w:val="clear" w:color="auto" w:fill="auto"/>
            <w:noWrap/>
            <w:vAlign w:val="bottom"/>
          </w:tcPr>
          <w:p w14:paraId="73B56990" w14:textId="260F45DD"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0.399***</w:t>
            </w:r>
          </w:p>
        </w:tc>
        <w:tc>
          <w:tcPr>
            <w:tcW w:w="1710" w:type="dxa"/>
            <w:tcBorders>
              <w:top w:val="nil"/>
              <w:left w:val="nil"/>
              <w:bottom w:val="nil"/>
              <w:right w:val="nil"/>
            </w:tcBorders>
            <w:shd w:val="clear" w:color="auto" w:fill="auto"/>
            <w:noWrap/>
            <w:vAlign w:val="bottom"/>
          </w:tcPr>
          <w:p w14:paraId="119FAB2B" w14:textId="6BD1585A"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2.256***</w:t>
            </w:r>
          </w:p>
        </w:tc>
        <w:tc>
          <w:tcPr>
            <w:tcW w:w="1440" w:type="dxa"/>
            <w:tcBorders>
              <w:top w:val="nil"/>
              <w:left w:val="nil"/>
              <w:bottom w:val="nil"/>
              <w:right w:val="nil"/>
            </w:tcBorders>
            <w:shd w:val="clear" w:color="auto" w:fill="auto"/>
            <w:noWrap/>
            <w:vAlign w:val="bottom"/>
          </w:tcPr>
          <w:p w14:paraId="3576576E" w14:textId="3EEB748B"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2.105***</w:t>
            </w:r>
          </w:p>
        </w:tc>
        <w:tc>
          <w:tcPr>
            <w:tcW w:w="1530" w:type="dxa"/>
            <w:tcBorders>
              <w:top w:val="nil"/>
              <w:left w:val="nil"/>
              <w:bottom w:val="nil"/>
              <w:right w:val="nil"/>
            </w:tcBorders>
            <w:shd w:val="clear" w:color="auto" w:fill="auto"/>
            <w:noWrap/>
            <w:vAlign w:val="bottom"/>
          </w:tcPr>
          <w:p w14:paraId="1804E364" w14:textId="3EBD12A1"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-1.203</w:t>
            </w:r>
          </w:p>
        </w:tc>
        <w:tc>
          <w:tcPr>
            <w:tcW w:w="270" w:type="dxa"/>
            <w:tcBorders>
              <w:top w:val="nil"/>
              <w:left w:val="nil"/>
              <w:bottom w:val="nil"/>
              <w:right w:val="nil"/>
            </w:tcBorders>
            <w:shd w:val="clear" w:color="auto" w:fill="auto"/>
            <w:noWrap/>
            <w:vAlign w:val="bottom"/>
          </w:tcPr>
          <w:p w14:paraId="0E94314C" w14:textId="77777777" w:rsidR="0054575F" w:rsidRPr="009164C3" w:rsidRDefault="0054575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6633EC66" w14:textId="77777777" w:rsidR="0054575F" w:rsidRPr="009164C3" w:rsidRDefault="0054575F" w:rsidP="001C3BD5">
            <w:pPr>
              <w:spacing w:after="0" w:line="240" w:lineRule="auto"/>
              <w:jc w:val="right"/>
              <w:rPr>
                <w:rFonts w:ascii="Calibri" w:eastAsia="Times New Roman" w:hAnsi="Calibri" w:cs="Times New Roman"/>
                <w:color w:val="000000"/>
                <w:sz w:val="24"/>
                <w:szCs w:val="24"/>
              </w:rPr>
            </w:pPr>
          </w:p>
        </w:tc>
      </w:tr>
      <w:tr w:rsidR="0054575F" w:rsidRPr="009164C3" w14:paraId="365A42EF"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5976A331" w14:textId="07DFFBD0" w:rsidR="0054575F" w:rsidRPr="0054575F"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375F6C2A" w14:textId="76807C02"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(0.093)</w:t>
            </w:r>
          </w:p>
        </w:tc>
        <w:tc>
          <w:tcPr>
            <w:tcW w:w="1710" w:type="dxa"/>
            <w:tcBorders>
              <w:top w:val="nil"/>
              <w:left w:val="nil"/>
              <w:bottom w:val="nil"/>
              <w:right w:val="nil"/>
            </w:tcBorders>
            <w:shd w:val="clear" w:color="auto" w:fill="auto"/>
            <w:noWrap/>
            <w:vAlign w:val="bottom"/>
          </w:tcPr>
          <w:p w14:paraId="62C5472B" w14:textId="50928D0A"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(0.668)</w:t>
            </w:r>
          </w:p>
        </w:tc>
        <w:tc>
          <w:tcPr>
            <w:tcW w:w="1440" w:type="dxa"/>
            <w:tcBorders>
              <w:top w:val="nil"/>
              <w:left w:val="nil"/>
              <w:bottom w:val="nil"/>
              <w:right w:val="nil"/>
            </w:tcBorders>
            <w:shd w:val="clear" w:color="auto" w:fill="auto"/>
            <w:noWrap/>
            <w:vAlign w:val="bottom"/>
          </w:tcPr>
          <w:p w14:paraId="45483A80" w14:textId="37872B35"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(0.673)</w:t>
            </w:r>
          </w:p>
        </w:tc>
        <w:tc>
          <w:tcPr>
            <w:tcW w:w="1530" w:type="dxa"/>
            <w:tcBorders>
              <w:top w:val="nil"/>
              <w:left w:val="nil"/>
              <w:bottom w:val="nil"/>
              <w:right w:val="nil"/>
            </w:tcBorders>
            <w:shd w:val="clear" w:color="auto" w:fill="auto"/>
            <w:noWrap/>
            <w:vAlign w:val="bottom"/>
          </w:tcPr>
          <w:p w14:paraId="7EF92054" w14:textId="0229BAAD"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(1.481)</w:t>
            </w:r>
          </w:p>
        </w:tc>
      </w:tr>
      <w:tr w:rsidR="0054575F" w:rsidRPr="009164C3" w14:paraId="0E65D64B"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4A08E32C" w14:textId="7215BBFA" w:rsidR="0054575F" w:rsidRPr="0054575F" w:rsidRDefault="0054575F" w:rsidP="0003571A">
            <w:pPr>
              <w:spacing w:after="0" w:line="240" w:lineRule="auto"/>
              <w:rPr>
                <w:rFonts w:ascii="Calibri" w:eastAsia="Times New Roman" w:hAnsi="Calibri" w:cs="Times New Roman"/>
                <w:color w:val="000000"/>
                <w:sz w:val="24"/>
                <w:szCs w:val="24"/>
              </w:rPr>
            </w:pPr>
            <w:r>
              <w:rPr>
                <w:rFonts w:ascii="Calibri" w:hAnsi="Calibri"/>
                <w:color w:val="000000"/>
              </w:rPr>
              <w:t>Observations</w:t>
            </w:r>
          </w:p>
        </w:tc>
        <w:tc>
          <w:tcPr>
            <w:tcW w:w="1440" w:type="dxa"/>
            <w:tcBorders>
              <w:top w:val="nil"/>
              <w:left w:val="nil"/>
              <w:bottom w:val="nil"/>
              <w:right w:val="nil"/>
            </w:tcBorders>
            <w:shd w:val="clear" w:color="auto" w:fill="auto"/>
            <w:noWrap/>
            <w:vAlign w:val="bottom"/>
          </w:tcPr>
          <w:p w14:paraId="51FFEAEC" w14:textId="46D958AF"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710" w:type="dxa"/>
            <w:tcBorders>
              <w:top w:val="nil"/>
              <w:left w:val="nil"/>
              <w:bottom w:val="nil"/>
              <w:right w:val="nil"/>
            </w:tcBorders>
            <w:shd w:val="clear" w:color="auto" w:fill="auto"/>
            <w:noWrap/>
            <w:vAlign w:val="bottom"/>
          </w:tcPr>
          <w:p w14:paraId="61E434B4" w14:textId="1B2C1CF3"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134</w:t>
            </w:r>
          </w:p>
        </w:tc>
        <w:tc>
          <w:tcPr>
            <w:tcW w:w="1440" w:type="dxa"/>
            <w:tcBorders>
              <w:top w:val="nil"/>
              <w:left w:val="nil"/>
              <w:bottom w:val="nil"/>
              <w:right w:val="nil"/>
            </w:tcBorders>
            <w:shd w:val="clear" w:color="auto" w:fill="auto"/>
            <w:noWrap/>
            <w:vAlign w:val="bottom"/>
          </w:tcPr>
          <w:p w14:paraId="0AC6B67C" w14:textId="065F54EC"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530" w:type="dxa"/>
            <w:tcBorders>
              <w:top w:val="nil"/>
              <w:left w:val="nil"/>
              <w:bottom w:val="nil"/>
              <w:right w:val="nil"/>
            </w:tcBorders>
            <w:shd w:val="clear" w:color="auto" w:fill="auto"/>
            <w:noWrap/>
            <w:vAlign w:val="bottom"/>
          </w:tcPr>
          <w:p w14:paraId="04536567" w14:textId="12498F85"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r>
      <w:tr w:rsidR="0054575F" w:rsidRPr="009164C3" w14:paraId="0A44A62C"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68DF2E78" w14:textId="77777777" w:rsidR="0054575F" w:rsidRPr="009164C3"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06A7D4" w14:textId="77777777" w:rsidR="0054575F" w:rsidRPr="000C2901" w:rsidRDefault="0054575F" w:rsidP="0003571A">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B6161FA" w14:textId="77777777" w:rsidR="0054575F" w:rsidRPr="000C2901" w:rsidRDefault="0054575F" w:rsidP="0003571A">
            <w:pPr>
              <w:spacing w:after="0" w:line="240" w:lineRule="auto"/>
              <w:jc w:val="center"/>
              <w:rPr>
                <w:rFonts w:ascii="Calibri" w:hAnsi="Calibri"/>
                <w:color w:val="000000"/>
                <w:sz w:val="24"/>
                <w:szCs w:val="24"/>
              </w:rPr>
            </w:pPr>
          </w:p>
        </w:tc>
        <w:tc>
          <w:tcPr>
            <w:tcW w:w="1440" w:type="dxa"/>
            <w:tcBorders>
              <w:top w:val="nil"/>
              <w:left w:val="nil"/>
              <w:bottom w:val="nil"/>
              <w:right w:val="nil"/>
            </w:tcBorders>
            <w:shd w:val="clear" w:color="auto" w:fill="auto"/>
            <w:noWrap/>
            <w:vAlign w:val="bottom"/>
          </w:tcPr>
          <w:p w14:paraId="61F8BE96" w14:textId="77777777" w:rsidR="0054575F" w:rsidRPr="000C2901" w:rsidRDefault="0054575F" w:rsidP="0003571A">
            <w:pPr>
              <w:spacing w:after="0" w:line="240" w:lineRule="auto"/>
              <w:jc w:val="center"/>
              <w:rPr>
                <w:rFonts w:ascii="Calibri" w:hAnsi="Calibri"/>
                <w:color w:val="000000"/>
                <w:sz w:val="24"/>
                <w:szCs w:val="24"/>
              </w:rPr>
            </w:pPr>
          </w:p>
        </w:tc>
        <w:tc>
          <w:tcPr>
            <w:tcW w:w="1530" w:type="dxa"/>
            <w:tcBorders>
              <w:top w:val="nil"/>
              <w:left w:val="nil"/>
              <w:bottom w:val="nil"/>
              <w:right w:val="nil"/>
            </w:tcBorders>
            <w:shd w:val="clear" w:color="auto" w:fill="auto"/>
            <w:noWrap/>
            <w:vAlign w:val="bottom"/>
          </w:tcPr>
          <w:p w14:paraId="1EB4699E" w14:textId="77777777" w:rsidR="0054575F" w:rsidRPr="000C2901" w:rsidRDefault="0054575F" w:rsidP="0003571A">
            <w:pPr>
              <w:spacing w:after="0" w:line="240" w:lineRule="auto"/>
              <w:jc w:val="center"/>
              <w:rPr>
                <w:rFonts w:ascii="Calibri" w:hAnsi="Calibri"/>
                <w:color w:val="000000"/>
                <w:sz w:val="24"/>
                <w:szCs w:val="24"/>
              </w:rPr>
            </w:pPr>
          </w:p>
        </w:tc>
      </w:tr>
    </w:tbl>
    <w:p w14:paraId="39943A58" w14:textId="3FFDC903" w:rsidR="0042142F" w:rsidRPr="00346C53" w:rsidRDefault="00F068D1" w:rsidP="00346C53">
      <w:pPr>
        <w:spacing w:after="0"/>
        <w:rPr>
          <w:sz w:val="8"/>
          <w:szCs w:val="8"/>
        </w:rPr>
      </w:pPr>
      <w:r>
        <w:t xml:space="preserve"> </w:t>
      </w:r>
      <w:r w:rsidR="00A84A29">
        <w:t>t-statistic significant at:  * 10 % level  ** 5 % level  *** 1% level</w:t>
      </w:r>
      <w:r w:rsidR="003656F3">
        <w:t xml:space="preserve"> .    (Newey-West standard errors.)</w:t>
      </w:r>
      <w:r w:rsidR="00346C53" w:rsidRPr="00346C53">
        <w:rPr>
          <w:sz w:val="8"/>
          <w:szCs w:val="8"/>
        </w:rPr>
        <w:br/>
      </w:r>
    </w:p>
    <w:p w14:paraId="22218407" w14:textId="0615468B" w:rsidR="009F6ABD" w:rsidRPr="00346C53" w:rsidRDefault="009F6ABD" w:rsidP="007340F5">
      <w:pPr>
        <w:spacing w:after="0"/>
        <w:rPr>
          <w:sz w:val="8"/>
          <w:szCs w:val="8"/>
        </w:rPr>
      </w:pPr>
      <w:r>
        <w:t xml:space="preserve">Intervention is measured in </w:t>
      </w:r>
      <w:r w:rsidR="003656F3">
        <w:t xml:space="preserve">$ </w:t>
      </w:r>
      <w:r>
        <w:t xml:space="preserve">billions.  Exchange rates </w:t>
      </w: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t xml:space="preserve"> are in logs.</w:t>
      </w:r>
      <w:r w:rsidR="0003571A">
        <w:t xml:space="preserve"> </w:t>
      </w:r>
      <w:r w:rsidR="00346C53" w:rsidRPr="00346C53">
        <w:rPr>
          <w:sz w:val="8"/>
          <w:szCs w:val="8"/>
        </w:rPr>
        <w:br/>
      </w:r>
    </w:p>
    <w:p w14:paraId="3A2231C5" w14:textId="76712288" w:rsidR="00AB766C" w:rsidRPr="009963CF" w:rsidRDefault="00C47224" w:rsidP="00346C53">
      <w:pPr>
        <w:spacing w:after="0" w:line="240" w:lineRule="auto"/>
        <w:rPr>
          <w:rFonts w:eastAsia="Times New Roman" w:cs="Times New Roman"/>
          <w:color w:val="000000"/>
        </w:rPr>
      </w:pPr>
      <w:r>
        <w:t xml:space="preserve">Note:  </w:t>
      </w:r>
      <w:r w:rsidR="0042142F" w:rsidRPr="004D196F">
        <w:t>A more complete set of r</w:t>
      </w:r>
      <w:r w:rsidR="00495D8F">
        <w:t>esults is reported in an on-</w:t>
      </w:r>
      <w:r w:rsidR="00495D8F" w:rsidRPr="00495D8F">
        <w:t>line</w:t>
      </w:r>
      <w:r w:rsidR="00495D8F" w:rsidRPr="00495D8F">
        <w:rPr>
          <w:rFonts w:cs="Helvetica"/>
          <w:color w:val="1E1E1E"/>
          <w:shd w:val="clear" w:color="auto" w:fill="FFFFFF"/>
        </w:rPr>
        <w:t> </w:t>
      </w:r>
      <w:hyperlink r:id="rId14" w:history="1">
        <w:r w:rsidR="00495D8F" w:rsidRPr="00495D8F">
          <w:rPr>
            <w:rStyle w:val="Hyperlink"/>
            <w:rFonts w:cs="Helvetica"/>
            <w:color w:val="215990"/>
            <w:shd w:val="clear" w:color="auto" w:fill="FFFFFF"/>
          </w:rPr>
          <w:t>Turkey Appendix</w:t>
        </w:r>
      </w:hyperlink>
      <w:r w:rsidR="00495D8F" w:rsidRPr="00495D8F">
        <w:rPr>
          <w:rStyle w:val="apple-converted-space"/>
          <w:rFonts w:cs="Helvetica"/>
          <w:color w:val="1E1E1E"/>
          <w:shd w:val="clear" w:color="auto" w:fill="FFFFFF"/>
        </w:rPr>
        <w:t>.</w:t>
      </w:r>
      <w:r w:rsidR="00764DDE">
        <w:t xml:space="preserve"> </w:t>
      </w:r>
      <w:r w:rsidR="00495D8F">
        <w:t xml:space="preserve"> </w:t>
      </w:r>
      <w:r w:rsidR="0042142F" w:rsidRPr="004D196F">
        <w:t xml:space="preserve">It includes, for example, tests for evidence that foreign exchange intervention is influenced by inflation relative to an inflation target.  It also allows for three structural breaks, with the dates taken from Frömmel and Midiliç (2016): </w:t>
      </w:r>
      <w:r w:rsidR="0042142F"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BD37CD">
        <w:rPr>
          <w:rFonts w:eastAsia="Times New Roman" w:cs="Times New Roman"/>
          <w:color w:val="000000"/>
        </w:rPr>
        <w:t xml:space="preserve"> Thanks to Shruti Lakhtakia.</w:t>
      </w:r>
      <w:r w:rsidR="004D196F" w:rsidRPr="004D196F">
        <w:rPr>
          <w:rFonts w:eastAsia="Times New Roman" w:cs="Times New Roman"/>
          <w:color w:val="000000"/>
        </w:rPr>
        <w:t xml:space="preserve">  </w:t>
      </w:r>
    </w:p>
    <w:p w14:paraId="34E2ABFD" w14:textId="7EE4D73E" w:rsidR="002B195B" w:rsidRPr="0001681A" w:rsidRDefault="00D173F6" w:rsidP="0001681A">
      <w:pPr>
        <w:ind w:firstLine="720"/>
        <w:rPr>
          <w:sz w:val="24"/>
          <w:szCs w:val="24"/>
        </w:rPr>
      </w:pPr>
      <w:r w:rsidRPr="00D173F6">
        <w:rPr>
          <w:sz w:val="24"/>
          <w:szCs w:val="24"/>
        </w:rPr>
        <w:lastRenderedPageBreak/>
        <w:t>To conclude, we get s</w:t>
      </w:r>
      <w:r w:rsidR="00B20C03">
        <w:rPr>
          <w:sz w:val="24"/>
          <w:szCs w:val="24"/>
        </w:rPr>
        <w:t>lightly</w:t>
      </w:r>
      <w:r w:rsidRPr="00D173F6">
        <w:rPr>
          <w:sz w:val="24"/>
          <w:szCs w:val="24"/>
        </w:rPr>
        <w:t xml:space="preserve"> different answers when we use intervention data to investigate the reaction function of the Central Bank of the Republic of Turkey from the answers when we</w:t>
      </w:r>
      <w:r w:rsidR="00C47224">
        <w:rPr>
          <w:sz w:val="24"/>
          <w:szCs w:val="24"/>
        </w:rPr>
        <w:t xml:space="preserve"> use data on reserve changes.  </w:t>
      </w:r>
      <w:r w:rsidRPr="00D173F6">
        <w:rPr>
          <w:sz w:val="24"/>
          <w:szCs w:val="24"/>
        </w:rPr>
        <w:t>But in both cases</w:t>
      </w:r>
      <w:r w:rsidR="00B20C03">
        <w:rPr>
          <w:sz w:val="24"/>
          <w:szCs w:val="24"/>
        </w:rPr>
        <w:t>, qualitatively,</w:t>
      </w:r>
      <w:r w:rsidRPr="00D173F6">
        <w:rPr>
          <w:sz w:val="24"/>
          <w:szCs w:val="24"/>
        </w:rPr>
        <w:t xml:space="preserve"> we find evidence of a systematic effort to dampen volatility of the exchange rate.</w:t>
      </w:r>
    </w:p>
    <w:p w14:paraId="76ECE5BE" w14:textId="77777777" w:rsidR="00FE6187" w:rsidRDefault="00FE6187" w:rsidP="000E7009">
      <w:pPr>
        <w:pStyle w:val="ListParagraph"/>
        <w:ind w:left="1440"/>
        <w:rPr>
          <w:sz w:val="24"/>
          <w:szCs w:val="24"/>
        </w:rPr>
      </w:pPr>
    </w:p>
    <w:p w14:paraId="4CABBC4F" w14:textId="77777777" w:rsidR="002F3E63" w:rsidRDefault="002F3E63" w:rsidP="000E7009">
      <w:pPr>
        <w:pStyle w:val="ListParagraph"/>
        <w:ind w:left="1440"/>
        <w:rPr>
          <w:sz w:val="24"/>
          <w:szCs w:val="24"/>
        </w:rPr>
      </w:pPr>
    </w:p>
    <w:p w14:paraId="736411E4" w14:textId="77777777" w:rsidR="002F3E63" w:rsidRPr="003C0865" w:rsidRDefault="002F3E63"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01681A">
      <w:pPr>
        <w:spacing w:line="240" w:lineRule="auto"/>
        <w:ind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0658536F" w:rsidR="009B3044" w:rsidRPr="00FE6187" w:rsidRDefault="009B3044" w:rsidP="0001681A">
      <w:pPr>
        <w:spacing w:line="240" w:lineRule="auto"/>
        <w:ind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30"/>
      </w:r>
    </w:p>
    <w:p w14:paraId="24A607DD" w14:textId="2A65AD2F" w:rsidR="0005364A" w:rsidRDefault="00025B10" w:rsidP="0001681A">
      <w:pPr>
        <w:ind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1"/>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For one thing, the distinction between an increase in foreign assets in the domestic country and a decrease in foreign liabilities can be arbitrary, not just in an accounting sense but even conceptually, especially when it comes to banking flows.</w:t>
      </w:r>
      <w:r w:rsidR="00F91B48">
        <w:rPr>
          <w:sz w:val="24"/>
          <w:szCs w:val="24"/>
        </w:rPr>
        <w:t xml:space="preserve">  For another thing, a positive external commodity shock is often reflected in both a trade surplus and a capital account surplus.</w:t>
      </w:r>
    </w:p>
    <w:p w14:paraId="10885F50" w14:textId="406C3D45" w:rsidR="009B3044" w:rsidRPr="009B3044" w:rsidRDefault="009B3044" w:rsidP="0001681A">
      <w:pPr>
        <w:ind w:firstLine="360"/>
        <w:rPr>
          <w:sz w:val="24"/>
          <w:szCs w:val="24"/>
        </w:rPr>
      </w:pPr>
      <w:r w:rsidRPr="009B3044">
        <w:rPr>
          <w:sz w:val="24"/>
          <w:szCs w:val="24"/>
        </w:rPr>
        <w:t>The only way to solve the endogeneity problem is to use a</w:t>
      </w:r>
      <w:r w:rsidR="00500E2D">
        <w:rPr>
          <w:sz w:val="24"/>
          <w:szCs w:val="24"/>
        </w:rPr>
        <w:t xml:space="preserve">n </w:t>
      </w:r>
      <w:r w:rsidRPr="009B3044">
        <w:rPr>
          <w:sz w:val="24"/>
          <w:szCs w:val="24"/>
        </w:rPr>
        <w:t>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w:t>
      </w:r>
      <w:r w:rsidR="00743707">
        <w:rPr>
          <w:sz w:val="24"/>
          <w:szCs w:val="24"/>
        </w:rPr>
        <w:t xml:space="preserve">erate to shut off the inflow.  </w:t>
      </w:r>
      <w:r w:rsidRPr="009B3044">
        <w:rPr>
          <w:sz w:val="24"/>
          <w:szCs w:val="24"/>
        </w:rPr>
        <w:t xml:space="preserve">If one </w:t>
      </w:r>
      <w:r w:rsidR="00456731">
        <w:rPr>
          <w:sz w:val="24"/>
          <w:szCs w:val="24"/>
        </w:rPr>
        <w:t>can think of s</w:t>
      </w:r>
      <w:r w:rsidRPr="009B3044">
        <w:rPr>
          <w:sz w:val="24"/>
          <w:szCs w:val="24"/>
        </w:rPr>
        <w:t xml:space="preserve">uch an exogenous variable, </w:t>
      </w:r>
      <w:r w:rsidR="00456731">
        <w:rPr>
          <w:sz w:val="24"/>
          <w:szCs w:val="24"/>
        </w:rPr>
        <w:t xml:space="preserve">then, </w:t>
      </w:r>
      <w:r w:rsidRPr="009B3044">
        <w:rPr>
          <w:sz w:val="24"/>
          <w:szCs w:val="24"/>
        </w:rPr>
        <w:t>there is a strong case for putting it directly on the right-hand side of an OLS equation.  This is especially clear when the country is a pure floater, as Australia and New Zealand in our sample, in which case the 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50A0584C" w:rsidR="009B3044" w:rsidRPr="009B3044" w:rsidRDefault="009B3044" w:rsidP="009B3044">
      <w:pPr>
        <w:ind w:left="360" w:firstLine="360"/>
        <w:rPr>
          <w:sz w:val="24"/>
          <w:szCs w:val="24"/>
        </w:rPr>
      </w:pPr>
      <w:r w:rsidRPr="009B3044">
        <w:rPr>
          <w:sz w:val="24"/>
          <w:szCs w:val="24"/>
        </w:rPr>
        <w:t xml:space="preserve">The core exercise of the paper is to test the effects of exogenous external shocks on the real exchange rate, using time series for a select set of countries, and then to see if the sensitivity to shocks is different according to the country’s exchange rate regime.  The null hypothesis is that the regime makes no difference: that a shock will have the same effect on the real exchange rate regardless whether the nominal exchange rate is fixed, in which case it must show up in the price level, or floating, in which case it shows up directly </w:t>
      </w:r>
      <w:r w:rsidR="00743707">
        <w:rPr>
          <w:sz w:val="24"/>
          <w:szCs w:val="24"/>
        </w:rPr>
        <w:t xml:space="preserve">in the nominal exchange rate.  </w:t>
      </w:r>
      <w:r w:rsidRPr="009B3044">
        <w:rPr>
          <w:sz w:val="24"/>
          <w:szCs w:val="24"/>
        </w:rPr>
        <w:t>The alternative hypothesis is that shocks have a bigger effect on the real exchange rate under floating than under managed floating and a bigger effect under managed floating than under fixing.</w:t>
      </w:r>
    </w:p>
    <w:p w14:paraId="20371972" w14:textId="6E6A28F9" w:rsidR="00957B8F" w:rsidRDefault="009B3044" w:rsidP="009B3044">
      <w:pPr>
        <w:ind w:left="360" w:firstLine="360"/>
        <w:rPr>
          <w:sz w:val="24"/>
          <w:szCs w:val="24"/>
        </w:rPr>
      </w:pPr>
      <w:r w:rsidRPr="009B3044">
        <w:rPr>
          <w:sz w:val="24"/>
          <w:szCs w:val="24"/>
        </w:rPr>
        <w:t>It is cr</w:t>
      </w:r>
      <w:r w:rsidR="004608C6">
        <w:rPr>
          <w:sz w:val="24"/>
          <w:szCs w:val="24"/>
        </w:rPr>
        <w:t>ucial for this exercise</w:t>
      </w:r>
      <w:r w:rsidRPr="009B3044">
        <w:rPr>
          <w:sz w:val="24"/>
          <w:szCs w:val="24"/>
        </w:rPr>
        <w:t xml:space="preserve"> that the measured shocks are truly and credibly exogenous on their face.  We focus on two measures:  dollar commodity prices and the VIX.</w:t>
      </w:r>
      <w:r>
        <w:rPr>
          <w:rStyle w:val="FootnoteReference"/>
          <w:sz w:val="24"/>
          <w:szCs w:val="24"/>
        </w:rPr>
        <w:footnoteReference w:id="32"/>
      </w:r>
      <w:r w:rsidRPr="009B3044">
        <w:rPr>
          <w:sz w:val="24"/>
          <w:szCs w:val="24"/>
        </w:rPr>
        <w:t xml:space="preserve"> </w:t>
      </w:r>
      <w:r w:rsidR="00743707">
        <w:rPr>
          <w:sz w:val="24"/>
          <w:szCs w:val="24"/>
        </w:rPr>
        <w:t xml:space="preserve"> </w:t>
      </w:r>
      <w:r w:rsidR="00957B8F">
        <w:rPr>
          <w:sz w:val="24"/>
          <w:szCs w:val="24"/>
        </w:rPr>
        <w:t xml:space="preserve">The VIX is a measure of market perceptions of near-term volatility extracted from put and call options on the US S&amp;P </w:t>
      </w:r>
      <w:r w:rsidR="00CD67E4">
        <w:rPr>
          <w:sz w:val="24"/>
          <w:szCs w:val="24"/>
        </w:rPr>
        <w:t>5</w:t>
      </w:r>
      <w:r w:rsidR="00957B8F">
        <w:rPr>
          <w:sz w:val="24"/>
          <w:szCs w:val="24"/>
        </w:rPr>
        <w:t>00 stock index and traded on the Chicago Board of Exchange.</w:t>
      </w:r>
    </w:p>
    <w:p w14:paraId="7CD7EC59" w14:textId="09D259F7"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w:t>
      </w:r>
      <w:r w:rsidR="00743707">
        <w:rPr>
          <w:sz w:val="24"/>
          <w:szCs w:val="24"/>
        </w:rPr>
        <w:t xml:space="preserve">gy, mineral or agricultural).  </w:t>
      </w:r>
      <w:r w:rsidRPr="009B3044">
        <w:rPr>
          <w:sz w:val="24"/>
          <w:szCs w:val="24"/>
        </w:rPr>
        <w:t xml:space="preserve">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corresponding commodities.  (The </w:t>
      </w:r>
      <w:hyperlink r:id="rId15"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sidRPr="009B3044">
        <w:rPr>
          <w:sz w:val="24"/>
          <w:szCs w:val="24"/>
        </w:rPr>
        <w:t>gives details.)</w:t>
      </w:r>
    </w:p>
    <w:p w14:paraId="02930C8B" w14:textId="2D4A6E62" w:rsidR="009B3044" w:rsidRDefault="009B3044" w:rsidP="009B3044">
      <w:pPr>
        <w:ind w:left="360" w:firstLine="360"/>
        <w:rPr>
          <w:sz w:val="24"/>
          <w:szCs w:val="24"/>
        </w:rPr>
      </w:pPr>
      <w:r w:rsidRPr="009B3044">
        <w:rPr>
          <w:sz w:val="24"/>
          <w:szCs w:val="24"/>
        </w:rPr>
        <w:t>We do not want to attempt a comprehensive study of all countries.  For one thing, we seek only those with compelling measures of exogenous external shocks [to be used either as instrumental variables or directly as independent variables In the re</w:t>
      </w:r>
      <w:r w:rsidR="00743707">
        <w:rPr>
          <w:sz w:val="24"/>
          <w:szCs w:val="24"/>
        </w:rPr>
        <w:t xml:space="preserve">al exchange rate regressions]. </w:t>
      </w:r>
      <w:r w:rsidRPr="009B3044">
        <w:rPr>
          <w:sz w:val="24"/>
          <w:szCs w:val="24"/>
        </w:rPr>
        <w:t xml:space="preserve">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w:t>
      </w:r>
      <w:r w:rsidRPr="009B3044">
        <w:rPr>
          <w:sz w:val="24"/>
          <w:szCs w:val="24"/>
        </w:rPr>
        <w:lastRenderedPageBreak/>
        <w:t>papers have confirmed that when the currencies of commodity-producing countries are allowed to float, they tend to rise and fall with the global prices of the commodities.</w:t>
      </w:r>
      <w:r>
        <w:rPr>
          <w:rStyle w:val="FootnoteReference"/>
          <w:sz w:val="24"/>
          <w:szCs w:val="24"/>
        </w:rPr>
        <w:footnoteReference w:id="33"/>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t>A number of other studies have found that countries that export volatile-price commodities perform better with floating or managed floating exchange rates than with fixed rates,</w:t>
      </w:r>
      <w:r>
        <w:rPr>
          <w:rStyle w:val="FootnoteReference"/>
          <w:sz w:val="24"/>
          <w:szCs w:val="24"/>
        </w:rPr>
        <w:footnoteReference w:id="34"/>
      </w:r>
      <w:r w:rsidRPr="009B3044">
        <w:rPr>
          <w:sz w:val="24"/>
          <w:szCs w:val="24"/>
        </w:rPr>
        <w:t xml:space="preserve"> which leads us to anticipate that the exchange rate regime will indeed make a difference.</w:t>
      </w:r>
    </w:p>
    <w:p w14:paraId="7B36080F" w14:textId="6F7FE81A"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005096">
        <w:rPr>
          <w:sz w:val="24"/>
          <w:szCs w:val="24"/>
        </w:rPr>
        <w:t>substantially</w:t>
      </w:r>
      <w:r w:rsidR="009B3044" w:rsidRPr="003B3258">
        <w:rPr>
          <w:sz w:val="24"/>
          <w:szCs w:val="24"/>
        </w:rPr>
        <w:t xml:space="preserve"> displaced by manufactures in most of the region.)  For </w:t>
      </w:r>
      <w:r w:rsidR="00E7015E">
        <w:rPr>
          <w:sz w:val="24"/>
          <w:szCs w:val="24"/>
        </w:rPr>
        <w:t>Asian countries</w:t>
      </w:r>
      <w:r w:rsidR="009B3044" w:rsidRPr="003B3258">
        <w:rPr>
          <w:sz w:val="24"/>
          <w:szCs w:val="24"/>
        </w:rPr>
        <w:t xml:space="preserve"> we can use the VIX.</w:t>
      </w:r>
      <w:r w:rsidR="009B3044" w:rsidRPr="003B3258">
        <w:rPr>
          <w:rStyle w:val="FootnoteReference"/>
          <w:sz w:val="24"/>
          <w:szCs w:val="24"/>
        </w:rPr>
        <w:t xml:space="preserve"> </w:t>
      </w:r>
      <w:r w:rsidR="00743707">
        <w:rPr>
          <w:sz w:val="24"/>
          <w:szCs w:val="24"/>
        </w:rPr>
        <w:t xml:space="preserve"> </w:t>
      </w:r>
      <w:r w:rsidR="009B3044" w:rsidRPr="003B3258">
        <w:rPr>
          <w:sz w:val="24"/>
          <w:szCs w:val="24"/>
        </w:rPr>
        <w:t>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5"/>
      </w:r>
    </w:p>
    <w:p w14:paraId="62E010F2" w14:textId="77777777" w:rsid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ery few fall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want to omit those that intervene irre</w:t>
      </w:r>
      <w:r w:rsidR="000C2D14">
        <w:rPr>
          <w:sz w:val="24"/>
          <w:szCs w:val="24"/>
        </w:rPr>
        <w:t xml:space="preserve">gularly and unsystematically.  </w:t>
      </w:r>
      <w:r w:rsidRPr="009B3044">
        <w:rPr>
          <w:b/>
          <w:sz w:val="24"/>
          <w:szCs w:val="24"/>
        </w:rPr>
        <w:br/>
      </w:r>
    </w:p>
    <w:p w14:paraId="610F46F2" w14:textId="77777777" w:rsidR="002F3E63" w:rsidRPr="009B3044" w:rsidRDefault="002F3E63" w:rsidP="000C2D14">
      <w:pPr>
        <w:ind w:left="360" w:firstLine="360"/>
        <w:rPr>
          <w:sz w:val="24"/>
          <w:szCs w:val="24"/>
        </w:rPr>
      </w:pP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0F518B83"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January 1997-December 2015.  Regression result</w:t>
      </w:r>
      <w:r w:rsidR="00743707">
        <w:rPr>
          <w:sz w:val="24"/>
          <w:szCs w:val="24"/>
        </w:rPr>
        <w:t xml:space="preserve">s are reported in Appendix A.  </w:t>
      </w:r>
      <w:r>
        <w:rPr>
          <w:sz w:val="24"/>
          <w:szCs w:val="24"/>
        </w:rPr>
        <w:t xml:space="preserve">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45BEDBD4"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6"/>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6211325E"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Finding zero effect on the </w:t>
      </w:r>
      <w:r w:rsidRPr="005C6AF9">
        <w:rPr>
          <w:i/>
          <w:sz w:val="24"/>
          <w:szCs w:val="24"/>
        </w:rPr>
        <w:t>real</w:t>
      </w:r>
      <w:r w:rsidR="005C6AF9">
        <w:rPr>
          <w:sz w:val="24"/>
          <w:szCs w:val="24"/>
        </w:rPr>
        <w:t xml:space="preserve"> exchange rate confirm</w:t>
      </w:r>
      <w:r>
        <w:rPr>
          <w:sz w:val="24"/>
          <w:szCs w:val="24"/>
        </w:rPr>
        <w:t xml:space="preserve">s that regimes do matter for real variables, and that a peg prevents the real depreciation </w:t>
      </w:r>
      <w:r w:rsidR="00F94649">
        <w:rPr>
          <w:sz w:val="24"/>
          <w:szCs w:val="24"/>
        </w:rPr>
        <w:t xml:space="preserve">experienced by </w:t>
      </w:r>
      <w:r>
        <w:rPr>
          <w:sz w:val="24"/>
          <w:szCs w:val="24"/>
        </w:rPr>
        <w:t>the seven fle</w:t>
      </w:r>
      <w:r w:rsidR="00F94649">
        <w:rPr>
          <w:sz w:val="24"/>
          <w:szCs w:val="24"/>
        </w:rPr>
        <w:t>xible-rate currencies</w:t>
      </w:r>
      <w:r>
        <w:rPr>
          <w:sz w:val="24"/>
          <w:szCs w:val="24"/>
        </w:rPr>
        <w:t>.</w:t>
      </w:r>
    </w:p>
    <w:p w14:paraId="2D781DF6" w14:textId="6A15B2F4" w:rsidR="009B3044" w:rsidRPr="009B3044" w:rsidRDefault="009B3044" w:rsidP="009B3044">
      <w:pPr>
        <w:rPr>
          <w:sz w:val="24"/>
          <w:szCs w:val="24"/>
        </w:rPr>
      </w:pPr>
      <w:r>
        <w:rPr>
          <w:sz w:val="24"/>
          <w:szCs w:val="24"/>
        </w:rPr>
        <w:lastRenderedPageBreak/>
        <w:tab/>
        <w:t>Table A2 regresses the Real Exchange Rate for the Asian countries against the balance of payments (measured as the change in foreign exchange reserves) as a ratio to GDP (expressed in common currency units).</w:t>
      </w:r>
      <w:r>
        <w:rPr>
          <w:rStyle w:val="FootnoteReference"/>
          <w:sz w:val="24"/>
          <w:szCs w:val="24"/>
        </w:rPr>
        <w:footnoteReference w:id="37"/>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the VIX) shows up in part as an apprec</w:t>
      </w:r>
      <w:r w:rsidR="004913BF">
        <w:rPr>
          <w:sz w:val="24"/>
          <w:szCs w:val="24"/>
        </w:rPr>
        <w:t xml:space="preserve">iation of the local currency.  </w:t>
      </w:r>
      <w:r>
        <w:rPr>
          <w:sz w:val="24"/>
          <w:szCs w:val="24"/>
        </w:rPr>
        <w:t xml:space="preserve">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w:t>
      </w:r>
      <w:r w:rsidR="00A17F38">
        <w:rPr>
          <w:sz w:val="24"/>
          <w:szCs w:val="24"/>
        </w:rPr>
        <w:t>ing by first-stage F-statistics</w:t>
      </w:r>
      <w:r>
        <w:rPr>
          <w:sz w:val="24"/>
          <w:szCs w:val="24"/>
        </w:rPr>
        <w:t>)</w:t>
      </w:r>
      <w:r w:rsidR="00A17F38">
        <w:rPr>
          <w:sz w:val="24"/>
          <w:szCs w:val="24"/>
        </w:rPr>
        <w:t>.</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4CA1C880" w:rsidR="005C6AF9" w:rsidRDefault="00D173F6" w:rsidP="00D173F6">
      <w:pPr>
        <w:rPr>
          <w:sz w:val="24"/>
          <w:szCs w:val="24"/>
        </w:rPr>
      </w:pPr>
      <w:r>
        <w:rPr>
          <w:sz w:val="24"/>
          <w:szCs w:val="24"/>
        </w:rPr>
        <w:tab/>
        <w:t>Table B1 reports the OLS regressions of the real exchange rate against the individual commodity price indices.  The set of 21 includes three pure floaters: Australia, Can</w:t>
      </w:r>
      <w:r w:rsidR="004913BF">
        <w:rPr>
          <w:sz w:val="24"/>
          <w:szCs w:val="24"/>
        </w:rPr>
        <w:t xml:space="preserve">ada and New Zealand.  </w:t>
      </w:r>
      <w:r>
        <w:rPr>
          <w:sz w:val="24"/>
          <w:szCs w:val="24"/>
        </w:rPr>
        <w:t>All three show highly significant effects on their real exchange rates, confirming their ro</w:t>
      </w:r>
      <w:r w:rsidR="004913BF">
        <w:rPr>
          <w:sz w:val="24"/>
          <w:szCs w:val="24"/>
        </w:rPr>
        <w:t xml:space="preserve">le as “commodity currencies.”  </w:t>
      </w:r>
      <w:r>
        <w:rPr>
          <w:sz w:val="24"/>
          <w:szCs w:val="24"/>
        </w:rPr>
        <w:t>Chile also floated during much of this period, but not all, which may explain why its coefficient is only of borderline significance.</w:t>
      </w:r>
    </w:p>
    <w:p w14:paraId="24DF245D" w14:textId="33F6F6FA" w:rsidR="005C6AF9" w:rsidRDefault="00D173F6" w:rsidP="005C6AF9">
      <w:pPr>
        <w:ind w:firstLine="720"/>
        <w:rPr>
          <w:sz w:val="24"/>
          <w:szCs w:val="24"/>
        </w:rPr>
      </w:pPr>
      <w:r>
        <w:rPr>
          <w:sz w:val="24"/>
          <w:szCs w:val="24"/>
        </w:rPr>
        <w:t>Of the countries that show no significant effect, four are firm fixers as one would expect:  Ecuador, the UAE, Bahrain and Qata</w:t>
      </w:r>
      <w:r w:rsidR="004913BF">
        <w:rPr>
          <w:sz w:val="24"/>
          <w:szCs w:val="24"/>
        </w:rPr>
        <w:t xml:space="preserve">r (all pegged to the dollar).  </w:t>
      </w:r>
      <w:r>
        <w:rPr>
          <w:sz w:val="24"/>
          <w:szCs w:val="24"/>
        </w:rPr>
        <w:t>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38"/>
      </w:r>
      <w:r>
        <w:rPr>
          <w:sz w:val="24"/>
          <w:szCs w:val="24"/>
        </w:rPr>
        <w:t xml:space="preserve"> </w:t>
      </w:r>
    </w:p>
    <w:p w14:paraId="1F82D48F" w14:textId="15B4F068" w:rsidR="00D173F6" w:rsidRDefault="00D173F6" w:rsidP="005C6AF9">
      <w:pPr>
        <w:ind w:firstLine="720"/>
        <w:rPr>
          <w:sz w:val="24"/>
          <w:szCs w:val="24"/>
        </w:rPr>
      </w:pPr>
      <w:r>
        <w:rPr>
          <w:sz w:val="24"/>
          <w:szCs w:val="24"/>
        </w:rPr>
        <w:lastRenderedPageBreak/>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tab/>
        <w:t>Since many of these countries not only export commodities but also participate in international financial markets and thus qualify as emerging markets, Table B2 adds the VIX as an additional regre</w:t>
      </w:r>
      <w:r w:rsidR="00D814C9">
        <w:rPr>
          <w:sz w:val="24"/>
          <w:szCs w:val="24"/>
        </w:rPr>
        <w:t xml:space="preserve">ssor.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21C1D5CE" w:rsidR="00D173F6" w:rsidRDefault="00D173F6" w:rsidP="00D173F6">
      <w:pPr>
        <w:rPr>
          <w:sz w:val="24"/>
          <w:szCs w:val="24"/>
        </w:rPr>
      </w:pPr>
      <w:r>
        <w:rPr>
          <w:sz w:val="24"/>
          <w:szCs w:val="24"/>
        </w:rPr>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w:t>
      </w:r>
      <w:r w:rsidR="004913BF">
        <w:rPr>
          <w:sz w:val="24"/>
          <w:szCs w:val="24"/>
        </w:rPr>
        <w:t xml:space="preserve">IX as instrumental variables.  </w:t>
      </w:r>
      <w:r>
        <w:rPr>
          <w:sz w:val="24"/>
          <w:szCs w:val="24"/>
        </w:rPr>
        <w:t>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39"/>
      </w:r>
      <w:r>
        <w:rPr>
          <w:sz w:val="24"/>
          <w:szCs w:val="24"/>
        </w:rPr>
        <w:t xml:space="preserve">   </w:t>
      </w:r>
    </w:p>
    <w:p w14:paraId="4CAEA731" w14:textId="2670FF87"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w:t>
      </w:r>
      <w:r w:rsidR="004913BF">
        <w:rPr>
          <w:sz w:val="24"/>
          <w:szCs w:val="24"/>
        </w:rPr>
        <w:t xml:space="preserve"> firm fixers.  </w:t>
      </w:r>
      <w:r>
        <w:rPr>
          <w:sz w:val="24"/>
          <w:szCs w:val="24"/>
        </w:rPr>
        <w:t>The three free floaters (Australia, Canada and New Zealand) have been discarded,</w:t>
      </w:r>
      <w:r w:rsidR="005C6AF9">
        <w:rPr>
          <w:sz w:val="24"/>
          <w:szCs w:val="24"/>
        </w:rPr>
        <w:t xml:space="preserve"> since </w:t>
      </w:r>
      <w:r>
        <w:rPr>
          <w:sz w:val="24"/>
          <w:szCs w:val="24"/>
        </w:rPr>
        <w:t>floating implies by definition that the</w:t>
      </w:r>
      <w:r w:rsidR="004913BF">
        <w:rPr>
          <w:sz w:val="24"/>
          <w:szCs w:val="24"/>
        </w:rPr>
        <w:t xml:space="preserve"> balance of payments is zero. </w:t>
      </w:r>
      <w:r>
        <w:rPr>
          <w:sz w:val="24"/>
          <w:szCs w:val="24"/>
        </w:rPr>
        <w:t xml:space="preserve">Five managed floaters </w:t>
      </w:r>
      <w:r w:rsidR="005C6AF9">
        <w:rPr>
          <w:sz w:val="24"/>
          <w:szCs w:val="24"/>
        </w:rPr>
        <w:t>show</w:t>
      </w:r>
      <w:r>
        <w:rPr>
          <w:sz w:val="24"/>
          <w:szCs w:val="24"/>
        </w:rPr>
        <w:t xml:space="preserve"> significant effects on the real exchange rate in these three tables: Brazil, Chile, Colom</w:t>
      </w:r>
      <w:r w:rsidR="004913BF">
        <w:rPr>
          <w:sz w:val="24"/>
          <w:szCs w:val="24"/>
        </w:rPr>
        <w:t xml:space="preserve">bia, Russia and South Africa. </w:t>
      </w:r>
      <w:r>
        <w:rPr>
          <w:sz w:val="24"/>
          <w:szCs w:val="24"/>
        </w:rPr>
        <w:t>Two firm fixers show insignificant effects, again as hypothesized: Brunei and Ecuador.</w:t>
      </w:r>
    </w:p>
    <w:p w14:paraId="6350D2AC" w14:textId="6E7BA4A4"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managed floater like Peru,</w:t>
      </w:r>
      <w:r w:rsidR="00D0338D">
        <w:rPr>
          <w:sz w:val="24"/>
          <w:szCs w:val="24"/>
        </w:rPr>
        <w:t xml:space="preserve"> the result is indeed </w:t>
      </w:r>
      <w:r w:rsidR="00CB7BE9">
        <w:rPr>
          <w:sz w:val="24"/>
          <w:szCs w:val="24"/>
        </w:rPr>
        <w:t>surpris</w:t>
      </w:r>
      <w:r w:rsidR="00D0338D">
        <w:rPr>
          <w:sz w:val="24"/>
          <w:szCs w:val="24"/>
        </w:rPr>
        <w:t>ing.</w:t>
      </w:r>
      <w:r>
        <w:rPr>
          <w:sz w:val="24"/>
          <w:szCs w:val="24"/>
        </w:rPr>
        <w:t xml:space="preserve"> </w:t>
      </w:r>
    </w:p>
    <w:p w14:paraId="2EAF0274" w14:textId="1D87FEB7"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0"/>
      </w:r>
      <w:r w:rsidR="004913BF">
        <w:rPr>
          <w:sz w:val="24"/>
          <w:szCs w:val="24"/>
        </w:rPr>
        <w:t xml:space="preserve"> </w:t>
      </w:r>
      <w:r>
        <w:rPr>
          <w:sz w:val="24"/>
          <w:szCs w:val="24"/>
        </w:rPr>
        <w:t xml:space="preserve"> For these countries, the export commodity basket index consists simply of the dollar price of o</w:t>
      </w:r>
      <w:r w:rsidR="00FE1F7F">
        <w:rPr>
          <w:sz w:val="24"/>
          <w:szCs w:val="24"/>
        </w:rPr>
        <w:t xml:space="preserve">il (or oil and </w:t>
      </w:r>
      <w:r w:rsidR="004913BF">
        <w:rPr>
          <w:sz w:val="24"/>
          <w:szCs w:val="24"/>
        </w:rPr>
        <w:t xml:space="preserve">natural gas).  </w:t>
      </w:r>
      <w:r>
        <w:rPr>
          <w:sz w:val="24"/>
          <w:szCs w:val="24"/>
        </w:rPr>
        <w:t xml:space="preserve">Even though oil and gas are priced and invoiced in dollars, the dollar price of oil falls quickly after an appreciation of the dollar against the euro, yen and other major currencies – as one would </w:t>
      </w:r>
      <w:r>
        <w:rPr>
          <w:sz w:val="24"/>
          <w:szCs w:val="24"/>
        </w:rPr>
        <w:lastRenderedPageBreak/>
        <w:t xml:space="preserve">expect since Europe and Japan are major buyers of oil and gas.  Bahrain, Qatar, the UAE and Saudi Arabia are all pegged specifically to the dollar.  When the dollar appreciates against the euro, yen and other currencies, so do the </w:t>
      </w:r>
      <w:r w:rsidR="004913BF">
        <w:rPr>
          <w:sz w:val="24"/>
          <w:szCs w:val="24"/>
        </w:rPr>
        <w:t xml:space="preserve">dinar, dirham, and riyal.  </w:t>
      </w:r>
      <w:r>
        <w:rPr>
          <w:sz w:val="24"/>
          <w:szCs w:val="24"/>
        </w:rPr>
        <w:t>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1"/>
      </w:r>
    </w:p>
    <w:p w14:paraId="0AFDDA2F" w14:textId="4AA65A5A"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sidR="004913BF">
        <w:rPr>
          <w:sz w:val="24"/>
          <w:szCs w:val="24"/>
        </w:rPr>
        <w:t xml:space="preserve">managed floaters.  </w:t>
      </w:r>
      <w:r>
        <w:rPr>
          <w:sz w:val="24"/>
          <w:szCs w:val="24"/>
        </w:rPr>
        <w:t xml:space="preserve">Both of them have in recent years repeatedly tried to target their exchange </w:t>
      </w:r>
      <w:r w:rsidR="00871F43">
        <w:rPr>
          <w:sz w:val="24"/>
          <w:szCs w:val="24"/>
        </w:rPr>
        <w:t xml:space="preserve">rates and then been forced by alarming reserve losses </w:t>
      </w:r>
      <w:r>
        <w:rPr>
          <w:sz w:val="24"/>
          <w:szCs w:val="24"/>
        </w:rPr>
        <w:t xml:space="preserve">into </w:t>
      </w:r>
      <w:r w:rsidR="00871F43">
        <w:rPr>
          <w:sz w:val="24"/>
          <w:szCs w:val="24"/>
        </w:rPr>
        <w:t xml:space="preserve">belated and </w:t>
      </w:r>
      <w:r>
        <w:rPr>
          <w:sz w:val="24"/>
          <w:szCs w:val="24"/>
        </w:rPr>
        <w:t>large devaluations.  In this paper we are concerned with the three special categories of firm fixers, free floaters and sys</w:t>
      </w:r>
      <w:r w:rsidR="004913BF">
        <w:rPr>
          <w:sz w:val="24"/>
          <w:szCs w:val="24"/>
        </w:rPr>
        <w:t xml:space="preserve">tematically-managed floaters.  </w:t>
      </w:r>
      <w:r>
        <w:rPr>
          <w:sz w:val="24"/>
          <w:szCs w:val="24"/>
        </w:rPr>
        <w:t>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664DACEE" w:rsidR="00A33315" w:rsidRDefault="0093736E" w:rsidP="00A33315">
      <w:pPr>
        <w:ind w:firstLine="720"/>
        <w:rPr>
          <w:sz w:val="24"/>
          <w:szCs w:val="24"/>
        </w:rPr>
      </w:pPr>
      <w:r>
        <w:rPr>
          <w:sz w:val="24"/>
          <w:szCs w:val="24"/>
        </w:rPr>
        <w:t>In some theories, shocks will have the same effect on the real exchange rate regardless of regime, showing up in the exchange rate under floating but showing up in the price level if the exchange ra</w:t>
      </w:r>
      <w:r w:rsidR="004913BF">
        <w:rPr>
          <w:sz w:val="24"/>
          <w:szCs w:val="24"/>
        </w:rPr>
        <w:t xml:space="preserve">te is fixed. </w:t>
      </w:r>
      <w:r>
        <w:rPr>
          <w:sz w:val="24"/>
          <w:szCs w:val="24"/>
        </w:rPr>
        <w:t xml:space="preserve"> </w:t>
      </w:r>
      <w:r w:rsidR="00BD4A26">
        <w:rPr>
          <w:sz w:val="24"/>
          <w:szCs w:val="24"/>
        </w:rPr>
        <w:t xml:space="preserve">A </w:t>
      </w:r>
      <w:r>
        <w:rPr>
          <w:sz w:val="24"/>
          <w:szCs w:val="24"/>
        </w:rPr>
        <w:t>hypothesis of the paper is that exchange rate regimes do make a difference for the behavi</w:t>
      </w:r>
      <w:r w:rsidR="004913BF">
        <w:rPr>
          <w:sz w:val="24"/>
          <w:szCs w:val="24"/>
        </w:rPr>
        <w:t xml:space="preserve">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40D3DFF8"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have not attempted</w:t>
      </w:r>
      <w:r w:rsidR="004913BF">
        <w:rPr>
          <w:sz w:val="24"/>
          <w:szCs w:val="24"/>
        </w:rPr>
        <w:t xml:space="preserve">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lastRenderedPageBreak/>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2DC14F46" w:rsidR="000F5495" w:rsidRPr="002F0B8D" w:rsidRDefault="001A23FE" w:rsidP="002F0B8D">
      <w:pPr>
        <w:pStyle w:val="ListParagraph"/>
        <w:numPr>
          <w:ilvl w:val="0"/>
          <w:numId w:val="8"/>
        </w:numPr>
        <w:rPr>
          <w:sz w:val="24"/>
          <w:szCs w:val="24"/>
        </w:rPr>
      </w:pPr>
      <w:r>
        <w:rPr>
          <w:sz w:val="24"/>
          <w:szCs w:val="24"/>
        </w:rPr>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0C14ED64"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w:t>
      </w:r>
      <w:r w:rsidR="007B1D4E">
        <w:rPr>
          <w:sz w:val="24"/>
          <w:szCs w:val="24"/>
        </w:rPr>
        <w:t xml:space="preserve"> among</w:t>
      </w:r>
      <w:r w:rsidR="009A51A0">
        <w:rPr>
          <w:sz w:val="24"/>
          <w:szCs w:val="24"/>
        </w:rPr>
        <w:t xml:space="preserve">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56CFE01C" w14:textId="004F3EBC" w:rsidR="00B82868" w:rsidRPr="009736BA" w:rsidRDefault="00B82868">
      <w:pPr>
        <w:rPr>
          <w:b/>
          <w:sz w:val="24"/>
          <w:szCs w:val="24"/>
          <w:u w:val="single"/>
        </w:rPr>
      </w:pPr>
      <w:r>
        <w:br w:type="page"/>
      </w: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Noemie Lisack and Rui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Aizenman, Joshua, Menzie Chinn, and Hiro Ito.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580F8C25" w:rsidR="000249BD" w:rsidRPr="00E7142D" w:rsidRDefault="000249BD" w:rsidP="00E7142D">
      <w:pPr>
        <w:pStyle w:val="3vff3xh4yd"/>
        <w:shd w:val="clear" w:color="auto" w:fill="FFFFFF"/>
        <w:spacing w:before="0" w:beforeAutospacing="0" w:after="0" w:afterAutospacing="0"/>
        <w:rPr>
          <w:rFonts w:asciiTheme="minorHAnsi" w:hAnsiTheme="minorHAnsi" w:cstheme="minorHAnsi"/>
          <w:bCs/>
          <w:sz w:val="22"/>
          <w:szCs w:val="22"/>
        </w:rPr>
      </w:pPr>
      <w:r w:rsidRPr="007A1094">
        <w:rPr>
          <w:rFonts w:asciiTheme="minorHAnsi" w:hAnsiTheme="minorHAnsi" w:cstheme="minorHAnsi"/>
          <w:color w:val="000000" w:themeColor="text1"/>
          <w:sz w:val="18"/>
          <w:szCs w:val="18"/>
          <w:shd w:val="clear" w:color="auto" w:fill="FFFFFF"/>
        </w:rPr>
        <w:t xml:space="preserve">Aizenman, Joshua, Menzie Chinn, and Hiro Ito. 2011. "Surfing the Waves of Globalization: Asia and Financial Globalization in the Context of the Trilemma," </w:t>
      </w:r>
      <w:r w:rsidRPr="007A1094">
        <w:rPr>
          <w:rFonts w:asciiTheme="minorHAnsi" w:hAnsiTheme="minorHAnsi" w:cstheme="minorHAnsi"/>
          <w:i/>
          <w:iCs/>
          <w:color w:val="000000" w:themeColor="text1"/>
          <w:sz w:val="18"/>
          <w:szCs w:val="18"/>
          <w:shd w:val="clear" w:color="auto" w:fill="FFFFFF"/>
        </w:rPr>
        <w:t>Journal of the Japanese and International Economies</w:t>
      </w:r>
      <w:r w:rsidRPr="007A1094">
        <w:rPr>
          <w:rStyle w:val="apple-converted-space"/>
          <w:rFonts w:asciiTheme="minorHAnsi" w:hAnsiTheme="minorHAnsi" w:cstheme="minorHAnsi"/>
          <w:color w:val="000000" w:themeColor="text1"/>
          <w:sz w:val="18"/>
          <w:szCs w:val="18"/>
          <w:shd w:val="clear" w:color="auto" w:fill="FFFFFF"/>
        </w:rPr>
        <w:t> </w:t>
      </w:r>
      <w:r w:rsidRPr="007A1094">
        <w:rPr>
          <w:rFonts w:asciiTheme="minorHAnsi" w:hAnsiTheme="minorHAnsi" w:cstheme="minorHAnsi"/>
          <w:color w:val="000000" w:themeColor="text1"/>
          <w:sz w:val="18"/>
          <w:szCs w:val="18"/>
          <w:shd w:val="clear" w:color="auto" w:fill="FFFFFF"/>
        </w:rPr>
        <w:t>25(3), pp.</w:t>
      </w:r>
      <w:r w:rsidRPr="007A1094">
        <w:rPr>
          <w:rFonts w:asciiTheme="minorHAnsi" w:hAnsiTheme="minorHAnsi" w:cstheme="minorHAnsi"/>
          <w:color w:val="000000" w:themeColor="text1"/>
          <w:sz w:val="18"/>
          <w:szCs w:val="18"/>
          <w:shd w:val="clear" w:color="auto" w:fill="FFFFFF"/>
          <w:lang w:eastAsia="ko-KR"/>
        </w:rPr>
        <w:t xml:space="preserve"> </w:t>
      </w:r>
      <w:r w:rsidRPr="007A1094">
        <w:rPr>
          <w:rFonts w:asciiTheme="minorHAnsi" w:hAnsiTheme="minorHAnsi" w:cstheme="minorHAnsi"/>
          <w:color w:val="000000" w:themeColor="text1"/>
          <w:sz w:val="18"/>
          <w:szCs w:val="18"/>
          <w:shd w:val="clear" w:color="auto" w:fill="FFFFFF"/>
        </w:rPr>
        <w:t>290-320.</w:t>
      </w:r>
      <w:r w:rsidR="00E7142D" w:rsidRPr="007A1094">
        <w:rPr>
          <w:rFonts w:cs="Arial"/>
          <w:color w:val="000000" w:themeColor="text1"/>
          <w:sz w:val="18"/>
          <w:szCs w:val="18"/>
          <w:shd w:val="clear" w:color="auto" w:fill="FFFFFF"/>
        </w:rPr>
        <w:br/>
      </w:r>
      <w:r w:rsidR="00E7142D">
        <w:rPr>
          <w:rFonts w:cs="Arial"/>
          <w:color w:val="000000" w:themeColor="text1"/>
          <w:sz w:val="18"/>
          <w:szCs w:val="18"/>
          <w:shd w:val="clear" w:color="auto" w:fill="FFFFFF"/>
        </w:rPr>
        <w:br/>
      </w:r>
      <w:r w:rsidR="00E7142D" w:rsidRPr="00E7142D">
        <w:rPr>
          <w:rFonts w:asciiTheme="minorHAnsi" w:hAnsiTheme="minorHAnsi" w:cstheme="minorHAnsi"/>
          <w:sz w:val="18"/>
          <w:szCs w:val="18"/>
        </w:rPr>
        <w:t xml:space="preserve">Avdjiev, S., W. Du, C. Koch, and H.S. Shin, </w:t>
      </w:r>
      <w:r w:rsidR="007556C0">
        <w:rPr>
          <w:rFonts w:asciiTheme="minorHAnsi" w:hAnsiTheme="minorHAnsi" w:cstheme="minorHAnsi"/>
          <w:sz w:val="18"/>
          <w:szCs w:val="18"/>
        </w:rPr>
        <w:t xml:space="preserve">2019, </w:t>
      </w:r>
      <w:r w:rsidR="00E7142D" w:rsidRPr="007556C0">
        <w:rPr>
          <w:rFonts w:asciiTheme="minorHAnsi" w:hAnsiTheme="minorHAnsi" w:cstheme="minorHAnsi"/>
          <w:color w:val="000000" w:themeColor="text1"/>
          <w:sz w:val="18"/>
          <w:szCs w:val="18"/>
        </w:rPr>
        <w:t>“</w:t>
      </w:r>
      <w:r w:rsidR="00E7142D" w:rsidRPr="007556C0">
        <w:rPr>
          <w:rStyle w:val="Hyperlink"/>
          <w:rFonts w:asciiTheme="minorHAnsi" w:hAnsiTheme="minorHAnsi" w:cstheme="minorHAnsi"/>
          <w:bCs/>
          <w:color w:val="000000" w:themeColor="text1"/>
          <w:sz w:val="18"/>
          <w:szCs w:val="18"/>
          <w:u w:val="none"/>
        </w:rPr>
        <w:t>The Dollar, Bank Leverage and Deviations from Covered Interest Parity</w:t>
      </w:r>
      <w:r w:rsidR="00E7142D" w:rsidRPr="007556C0">
        <w:rPr>
          <w:rFonts w:asciiTheme="minorHAnsi" w:hAnsiTheme="minorHAnsi" w:cstheme="minorHAnsi"/>
          <w:bCs/>
          <w:color w:val="000000" w:themeColor="text1"/>
          <w:sz w:val="18"/>
          <w:szCs w:val="18"/>
        </w:rPr>
        <w:t xml:space="preserve">,” </w:t>
      </w:r>
      <w:r w:rsidR="007556C0" w:rsidRPr="007556C0">
        <w:rPr>
          <w:rStyle w:val="Hyperlink"/>
          <w:rFonts w:asciiTheme="minorHAnsi" w:hAnsiTheme="minorHAnsi" w:cstheme="minorHAnsi"/>
          <w:bCs/>
          <w:color w:val="000000" w:themeColor="text1"/>
          <w:sz w:val="18"/>
          <w:szCs w:val="18"/>
          <w:u w:val="none"/>
        </w:rPr>
        <w:t>forthcoming</w:t>
      </w:r>
      <w:r w:rsidR="00E7142D" w:rsidRPr="00E7142D">
        <w:rPr>
          <w:rFonts w:asciiTheme="minorHAnsi" w:hAnsiTheme="minorHAnsi" w:cstheme="minorHAnsi"/>
          <w:bCs/>
          <w:sz w:val="18"/>
          <w:szCs w:val="18"/>
        </w:rPr>
        <w:t>,</w:t>
      </w:r>
      <w:r w:rsidR="007556C0">
        <w:rPr>
          <w:rFonts w:asciiTheme="minorHAnsi" w:hAnsiTheme="minorHAnsi" w:cstheme="minorHAnsi"/>
          <w:bCs/>
          <w:sz w:val="18"/>
          <w:szCs w:val="18"/>
        </w:rPr>
        <w:t xml:space="preserve"> June</w:t>
      </w:r>
      <w:r w:rsidR="00E7142D" w:rsidRPr="00E7142D">
        <w:rPr>
          <w:rFonts w:asciiTheme="minorHAnsi" w:hAnsiTheme="minorHAnsi" w:cstheme="minorHAnsi"/>
          <w:bCs/>
          <w:sz w:val="18"/>
          <w:szCs w:val="18"/>
        </w:rPr>
        <w:t xml:space="preserve">, </w:t>
      </w:r>
      <w:r w:rsidR="00E7142D" w:rsidRPr="00E7142D">
        <w:rPr>
          <w:rFonts w:asciiTheme="minorHAnsi" w:hAnsiTheme="minorHAnsi" w:cstheme="minorHAnsi"/>
          <w:bCs/>
          <w:i/>
          <w:sz w:val="18"/>
          <w:szCs w:val="18"/>
        </w:rPr>
        <w:t>American Economic Review: Insights</w:t>
      </w:r>
      <w:r w:rsidR="00E7142D" w:rsidRPr="00E7142D">
        <w:rPr>
          <w:rFonts w:asciiTheme="minorHAnsi" w:hAnsiTheme="minorHAnsi" w:cstheme="minorHAnsi"/>
          <w:bCs/>
          <w:sz w:val="18"/>
          <w:szCs w:val="18"/>
        </w:rPr>
        <w:t>.</w:t>
      </w:r>
      <w:r w:rsidR="00E7142D">
        <w:rPr>
          <w:rFonts w:asciiTheme="minorHAnsi" w:hAnsiTheme="minorHAnsi" w:cstheme="minorHAnsi"/>
          <w:bCs/>
          <w:sz w:val="22"/>
          <w:szCs w:val="22"/>
        </w:rPr>
        <w:br/>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S.Hegerty and A.Kutan, 2008,</w:t>
      </w:r>
      <w:r w:rsidRPr="00FE6187">
        <w:rPr>
          <w:i/>
          <w:iCs/>
          <w:sz w:val="18"/>
          <w:szCs w:val="18"/>
        </w:rPr>
        <w:t xml:space="preserve"> </w:t>
      </w:r>
      <w:r w:rsidRPr="00FE6187">
        <w:rPr>
          <w:iCs/>
          <w:sz w:val="18"/>
          <w:szCs w:val="18"/>
        </w:rPr>
        <w:t>"Do Nominal Devaluations Lead to Real Devaluations? 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 xml:space="preserve">17, 644–70. </w:t>
      </w:r>
    </w:p>
    <w:p w14:paraId="300FC1D3" w14:textId="77777777" w:rsidR="00077A79" w:rsidRPr="00077A79" w:rsidRDefault="00077A79" w:rsidP="00077A79">
      <w:pPr>
        <w:pStyle w:val="BodyText"/>
        <w:jc w:val="both"/>
        <w:rPr>
          <w:rFonts w:asciiTheme="minorHAnsi" w:hAnsiTheme="minorHAnsi"/>
          <w:sz w:val="18"/>
          <w:szCs w:val="18"/>
        </w:rPr>
      </w:pPr>
      <w:r w:rsidRPr="00077A79">
        <w:rPr>
          <w:rFonts w:asciiTheme="minorHAnsi" w:hAnsiTheme="minorHAnsi"/>
          <w:sz w:val="18"/>
          <w:szCs w:val="18"/>
        </w:rPr>
        <w:t xml:space="preserve">Bai, Jushan and Pierre Perron.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71491090" w14:textId="2889A6F2" w:rsidR="004B7131" w:rsidRPr="00FE6187" w:rsidRDefault="004B7131" w:rsidP="004B7131">
      <w:pPr>
        <w:rPr>
          <w:sz w:val="18"/>
          <w:szCs w:val="18"/>
        </w:rPr>
      </w:pPr>
      <w:r w:rsidRPr="00FE6187">
        <w:rPr>
          <w:color w:val="000000" w:themeColor="text1"/>
          <w:kern w:val="24"/>
          <w:sz w:val="18"/>
          <w:szCs w:val="18"/>
        </w:rPr>
        <w:t>Basu, Kaushik, and  Aristomene Varoudakis, Policy RWP 6469, World Bank, 2013, “How to Move the Exchange Rate If You Must: The Diverse Practice of Foreign Exchange Intervention by Central Banks and a Proposal for Doing it Better</w:t>
      </w:r>
      <w:r w:rsidR="008B0FD4">
        <w:rPr>
          <w:color w:val="000000" w:themeColor="text1"/>
          <w:kern w:val="24"/>
          <w:sz w:val="18"/>
          <w:szCs w:val="18"/>
        </w:rPr>
        <w:t>,</w:t>
      </w:r>
      <w:r w:rsidRPr="00FE6187">
        <w:rPr>
          <w:color w:val="000000" w:themeColor="text1"/>
          <w:kern w:val="24"/>
          <w:sz w:val="18"/>
          <w:szCs w:val="18"/>
        </w:rPr>
        <w:t>” May.</w:t>
      </w:r>
    </w:p>
    <w:p w14:paraId="1B0D5B87" w14:textId="7AE31C6E"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Basu, Suman</w:t>
      </w:r>
      <w:r w:rsidRPr="00FE6187">
        <w:rPr>
          <w:rFonts w:asciiTheme="minorHAnsi" w:hAnsiTheme="minorHAnsi" w:cstheme="minorHAnsi"/>
          <w:color w:val="2C2825"/>
          <w:sz w:val="18"/>
          <w:szCs w:val="18"/>
        </w:rPr>
        <w:t>, Atish R. Ghosh, Jonath</w:t>
      </w:r>
      <w:r w:rsidR="00116AE9">
        <w:rPr>
          <w:rFonts w:asciiTheme="minorHAnsi" w:hAnsiTheme="minorHAnsi" w:cstheme="minorHAnsi"/>
          <w:color w:val="2C2825"/>
          <w:sz w:val="18"/>
          <w:szCs w:val="18"/>
        </w:rPr>
        <w:t>an Ostry, and Pablo Winant, 2018</w:t>
      </w:r>
      <w:r w:rsidRPr="00FE6187">
        <w:rPr>
          <w:rFonts w:asciiTheme="minorHAnsi" w:hAnsiTheme="minorHAnsi" w:cstheme="minorHAnsi"/>
          <w:color w:val="2C2825"/>
          <w:sz w:val="18"/>
          <w:szCs w:val="18"/>
        </w:rPr>
        <w:t xml:space="preserve"> “</w:t>
      </w:r>
      <w:r w:rsidRPr="00FE6187">
        <w:rPr>
          <w:rStyle w:val="Strong"/>
          <w:rFonts w:asciiTheme="minorHAnsi" w:hAnsiTheme="minorHAnsi" w:cstheme="minorHAnsi"/>
          <w:b w:val="0"/>
          <w:bCs w:val="0"/>
          <w:color w:val="2C2825"/>
          <w:sz w:val="18"/>
          <w:szCs w:val="18"/>
        </w:rPr>
        <w:t>Managing Capital Outflows: The Role of Foreign Exchange Intervention,”</w:t>
      </w:r>
      <w:r w:rsidR="00116AE9">
        <w:rPr>
          <w:rStyle w:val="Strong"/>
          <w:rFonts w:asciiTheme="minorHAnsi" w:hAnsiTheme="minorHAnsi" w:cstheme="minorHAnsi"/>
          <w:b w:val="0"/>
          <w:bCs w:val="0"/>
          <w:color w:val="2C2825"/>
          <w:sz w:val="18"/>
          <w:szCs w:val="18"/>
        </w:rPr>
        <w:t xml:space="preserve"> </w:t>
      </w:r>
      <w:r w:rsidR="008E605D" w:rsidRPr="008E605D">
        <w:rPr>
          <w:rStyle w:val="Strong"/>
          <w:rFonts w:asciiTheme="minorHAnsi" w:hAnsiTheme="minorHAnsi" w:cstheme="minorHAnsi"/>
          <w:b w:val="0"/>
          <w:bCs w:val="0"/>
          <w:i/>
          <w:color w:val="2C2825"/>
          <w:sz w:val="18"/>
          <w:szCs w:val="18"/>
        </w:rPr>
        <w:t>IMF Economic Review</w:t>
      </w:r>
      <w:r w:rsidR="008E605D">
        <w:rPr>
          <w:rStyle w:val="Strong"/>
          <w:rFonts w:asciiTheme="minorHAnsi" w:hAnsiTheme="minorHAnsi" w:cstheme="minorHAnsi"/>
          <w:b w:val="0"/>
          <w:bCs w:val="0"/>
          <w:color w:val="2C2825"/>
          <w:sz w:val="18"/>
          <w:szCs w:val="18"/>
        </w:rPr>
        <w:t xml:space="preserve">, </w:t>
      </w:r>
      <w:r w:rsidR="00116AE9" w:rsidRPr="00116AE9">
        <w:rPr>
          <w:rStyle w:val="articlecitationvolume"/>
          <w:rFonts w:asciiTheme="minorHAnsi" w:hAnsiTheme="minorHAnsi" w:cstheme="minorHAnsi"/>
          <w:color w:val="333333"/>
          <w:spacing w:val="4"/>
          <w:sz w:val="18"/>
          <w:szCs w:val="18"/>
          <w:shd w:val="clear" w:color="auto" w:fill="FCFCFC"/>
        </w:rPr>
        <w:t>Volume 66, </w:t>
      </w:r>
      <w:r w:rsidR="00116AE9" w:rsidRPr="008E605D">
        <w:rPr>
          <w:rFonts w:asciiTheme="minorHAnsi" w:hAnsiTheme="minorHAnsi" w:cstheme="minorHAnsi"/>
          <w:spacing w:val="4"/>
          <w:sz w:val="18"/>
          <w:szCs w:val="18"/>
          <w:shd w:val="clear" w:color="auto" w:fill="FCFCFC"/>
        </w:rPr>
        <w:t>Issue 2</w:t>
      </w:r>
      <w:r w:rsidR="00116AE9" w:rsidRPr="00116AE9">
        <w:rPr>
          <w:rFonts w:asciiTheme="minorHAnsi" w:hAnsiTheme="minorHAnsi" w:cstheme="minorHAnsi"/>
          <w:color w:val="333333"/>
          <w:spacing w:val="4"/>
          <w:sz w:val="18"/>
          <w:szCs w:val="18"/>
          <w:shd w:val="clear" w:color="auto" w:fill="FCFCFC"/>
        </w:rPr>
        <w:t>, </w:t>
      </w:r>
      <w:r w:rsidR="008E605D">
        <w:rPr>
          <w:rFonts w:asciiTheme="minorHAnsi" w:hAnsiTheme="minorHAnsi" w:cstheme="minorHAnsi"/>
          <w:color w:val="333333"/>
          <w:spacing w:val="4"/>
          <w:sz w:val="18"/>
          <w:szCs w:val="18"/>
          <w:shd w:val="clear" w:color="auto" w:fill="FCFCFC"/>
        </w:rPr>
        <w:t xml:space="preserve">June, </w:t>
      </w:r>
      <w:r w:rsidR="00116AE9" w:rsidRPr="00116AE9">
        <w:rPr>
          <w:rStyle w:val="articlecitationpages"/>
          <w:rFonts w:asciiTheme="minorHAnsi" w:eastAsiaTheme="minorEastAsia" w:hAnsiTheme="minorHAnsi" w:cstheme="minorHAnsi"/>
          <w:color w:val="333333"/>
          <w:spacing w:val="4"/>
          <w:sz w:val="18"/>
          <w:szCs w:val="18"/>
          <w:shd w:val="clear" w:color="auto" w:fill="FCFCFC"/>
        </w:rPr>
        <w:t>pp 333–374</w:t>
      </w:r>
    </w:p>
    <w:p w14:paraId="42F30283" w14:textId="77777777" w:rsidR="00ED6A91" w:rsidRDefault="000D744F" w:rsidP="008E76E8">
      <w:pPr>
        <w:spacing w:after="0" w:line="240" w:lineRule="auto"/>
        <w:jc w:val="both"/>
        <w:rPr>
          <w:rFonts w:cs="Times New Roman"/>
          <w:noProof/>
          <w:color w:val="000000" w:themeColor="text1"/>
          <w:sz w:val="18"/>
          <w:szCs w:val="18"/>
        </w:rPr>
      </w:pPr>
      <w:r w:rsidRPr="008138FE">
        <w:rPr>
          <w:rFonts w:cs="Times New Roman"/>
          <w:noProof/>
          <w:color w:val="000000" w:themeColor="text1"/>
          <w:sz w:val="18"/>
          <w:szCs w:val="18"/>
          <w:lang w:val="fr-FR"/>
        </w:rPr>
        <w:t xml:space="preserve">Beine, Michel, Agnes Bénassy-Quéré, and Christelle Lecourt. </w:t>
      </w:r>
      <w:r w:rsidRPr="00FE6187">
        <w:rPr>
          <w:rFonts w:cs="Times New Roman"/>
          <w:noProof/>
          <w:color w:val="000000" w:themeColor="text1"/>
          <w:sz w:val="18"/>
          <w:szCs w:val="18"/>
        </w:rPr>
        <w:t>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p>
    <w:p w14:paraId="4ABBD42B" w14:textId="174CAE93" w:rsidR="007A1094" w:rsidRDefault="000D744F" w:rsidP="00ED6A91">
      <w:pPr>
        <w:spacing w:after="0" w:line="240" w:lineRule="auto"/>
        <w:jc w:val="both"/>
        <w:rPr>
          <w:snapToGrid w:val="0"/>
          <w:sz w:val="18"/>
          <w:szCs w:val="18"/>
        </w:rPr>
      </w:pPr>
      <w:r w:rsidRPr="00FE6187">
        <w:rPr>
          <w:rFonts w:cs="Times New Roman"/>
          <w:noProof/>
          <w:color w:val="000000" w:themeColor="text1"/>
          <w:sz w:val="18"/>
          <w:szCs w:val="18"/>
        </w:rPr>
        <w:br/>
      </w:r>
      <w:r w:rsidR="00077A79" w:rsidRPr="00077A79">
        <w:rPr>
          <w:snapToGrid w:val="0"/>
          <w:sz w:val="18"/>
          <w:szCs w:val="18"/>
        </w:rPr>
        <w:t>B</w:t>
      </w:r>
      <w:r w:rsidR="00077A79" w:rsidRPr="00077A79">
        <w:rPr>
          <w:sz w:val="18"/>
          <w:szCs w:val="18"/>
        </w:rPr>
        <w:t>é</w:t>
      </w:r>
      <w:r w:rsidR="00077A79" w:rsidRPr="00077A79">
        <w:rPr>
          <w:snapToGrid w:val="0"/>
          <w:sz w:val="18"/>
          <w:szCs w:val="18"/>
        </w:rPr>
        <w:t>nassy-Qu</w:t>
      </w:r>
      <w:r w:rsidR="00077A79" w:rsidRPr="00077A79">
        <w:rPr>
          <w:sz w:val="18"/>
          <w:szCs w:val="18"/>
        </w:rPr>
        <w:t>é</w:t>
      </w:r>
      <w:r w:rsidR="00077A79" w:rsidRPr="00077A79">
        <w:rPr>
          <w:snapToGrid w:val="0"/>
          <w:sz w:val="18"/>
          <w:szCs w:val="18"/>
        </w:rPr>
        <w:t>r</w:t>
      </w:r>
      <w:r w:rsidR="00077A79" w:rsidRPr="00077A79">
        <w:rPr>
          <w:sz w:val="18"/>
          <w:szCs w:val="18"/>
        </w:rPr>
        <w:t>é</w:t>
      </w:r>
      <w:r w:rsidR="00077A79" w:rsidRPr="00077A79">
        <w:rPr>
          <w:snapToGrid w:val="0"/>
          <w:sz w:val="18"/>
          <w:szCs w:val="18"/>
        </w:rPr>
        <w:t xml:space="preserve">, </w:t>
      </w:r>
      <w:r w:rsidR="00077A79" w:rsidRPr="00077A79">
        <w:rPr>
          <w:sz w:val="18"/>
          <w:szCs w:val="18"/>
        </w:rPr>
        <w:t>A</w:t>
      </w:r>
      <w:r w:rsidR="00077A79" w:rsidRPr="00077A79">
        <w:rPr>
          <w:snapToGrid w:val="0"/>
          <w:color w:val="000000"/>
          <w:sz w:val="18"/>
          <w:szCs w:val="18"/>
        </w:rPr>
        <w:t>gn</w:t>
      </w:r>
      <w:r w:rsidR="00077A79" w:rsidRPr="00077A79">
        <w:rPr>
          <w:sz w:val="18"/>
          <w:szCs w:val="18"/>
        </w:rPr>
        <w:t>è</w:t>
      </w:r>
      <w:r w:rsidR="00077A79" w:rsidRPr="00077A79">
        <w:rPr>
          <w:snapToGrid w:val="0"/>
          <w:color w:val="000000"/>
          <w:sz w:val="18"/>
          <w:szCs w:val="18"/>
        </w:rPr>
        <w:t>s</w:t>
      </w:r>
      <w:r w:rsidR="00077A79" w:rsidRPr="00077A79">
        <w:rPr>
          <w:snapToGrid w:val="0"/>
          <w:sz w:val="18"/>
          <w:szCs w:val="18"/>
        </w:rPr>
        <w:t xml:space="preserve">. 1999. “Exchange Rate Regimes and Policies: An Empirical Analysis.” In </w:t>
      </w:r>
      <w:r w:rsidR="00077A79" w:rsidRPr="00077A79">
        <w:rPr>
          <w:i/>
          <w:iCs/>
          <w:snapToGrid w:val="0"/>
          <w:sz w:val="18"/>
          <w:szCs w:val="18"/>
        </w:rPr>
        <w:t xml:space="preserve">Exchange Rate Policies in Emerging Asian Countries.  </w:t>
      </w:r>
      <w:r w:rsidR="00077A79" w:rsidRPr="00077A79">
        <w:rPr>
          <w:snapToGrid w:val="0"/>
          <w:sz w:val="18"/>
          <w:szCs w:val="18"/>
        </w:rPr>
        <w:t xml:space="preserve">edited by Stefan Collignon, Jean Pisani-Ferry and Yung Chul Park. </w:t>
      </w:r>
      <w:r w:rsidR="00077A79">
        <w:rPr>
          <w:snapToGrid w:val="0"/>
          <w:sz w:val="18"/>
          <w:szCs w:val="18"/>
        </w:rPr>
        <w:t>(</w:t>
      </w:r>
      <w:r w:rsidR="00077A79" w:rsidRPr="00077A79">
        <w:rPr>
          <w:snapToGrid w:val="0"/>
          <w:sz w:val="18"/>
          <w:szCs w:val="18"/>
        </w:rPr>
        <w:t>London: Routledge</w:t>
      </w:r>
      <w:r w:rsidR="00077A79">
        <w:rPr>
          <w:snapToGrid w:val="0"/>
          <w:sz w:val="18"/>
          <w:szCs w:val="18"/>
        </w:rPr>
        <w:t>)</w:t>
      </w:r>
      <w:r w:rsidR="007A1094">
        <w:rPr>
          <w:snapToGrid w:val="0"/>
          <w:sz w:val="18"/>
          <w:szCs w:val="18"/>
        </w:rPr>
        <w:t>: 40–64.</w:t>
      </w:r>
      <w:r w:rsidR="00ED6A91">
        <w:rPr>
          <w:snapToGrid w:val="0"/>
          <w:sz w:val="18"/>
          <w:szCs w:val="18"/>
        </w:rPr>
        <w:br/>
      </w:r>
    </w:p>
    <w:p w14:paraId="3F4423BD" w14:textId="5DF2E804" w:rsidR="008E76E8" w:rsidRPr="007A1094" w:rsidRDefault="008E76E8" w:rsidP="007A1094">
      <w:pPr>
        <w:spacing w:after="240"/>
        <w:rPr>
          <w:snapToGrid w:val="0"/>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Valérie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559EEF07" w:rsidR="004B7131" w:rsidRPr="00FE6187" w:rsidRDefault="000D744F"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 Theory, policy implications, and some evidence</w:t>
      </w:r>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Stijn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0A59D9DC"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75, no.1: 239-268.</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3445EDE9" w:rsidR="00C33D23" w:rsidRPr="00C33D23" w:rsidRDefault="00C33D23" w:rsidP="00F566D3">
      <w:pPr>
        <w:rPr>
          <w:rFonts w:cs="Times New Roman"/>
          <w:sz w:val="18"/>
          <w:szCs w:val="18"/>
        </w:rPr>
      </w:pPr>
      <w:r w:rsidRPr="00C33D23">
        <w:rPr>
          <w:rFonts w:cs="Arial"/>
          <w:color w:val="222222"/>
          <w:sz w:val="18"/>
          <w:szCs w:val="18"/>
          <w:shd w:val="clear" w:color="auto" w:fill="FFFFFF"/>
        </w:rPr>
        <w:t>Chari, Anusha, Karlye Dilts Stedman</w:t>
      </w:r>
      <w:r w:rsidR="005D1EE3">
        <w:rPr>
          <w:rFonts w:cs="Arial"/>
          <w:color w:val="222222"/>
          <w:sz w:val="18"/>
          <w:szCs w:val="18"/>
          <w:shd w:val="clear" w:color="auto" w:fill="FFFFFF"/>
        </w:rPr>
        <w:t>, and Christian Lundblad, 2017,</w:t>
      </w:r>
      <w:r w:rsidRPr="00C33D23">
        <w:rPr>
          <w:rFonts w:cs="Arial"/>
          <w:color w:val="222222"/>
          <w:sz w:val="18"/>
          <w:szCs w:val="18"/>
          <w:shd w:val="clear" w:color="auto" w:fill="FFFFFF"/>
        </w:rPr>
        <w:t xml:space="preserve"> "Taper tantrums: QE, its aftermath and em</w:t>
      </w:r>
      <w:r w:rsidR="004913BF">
        <w:rPr>
          <w:rFonts w:cs="Arial"/>
          <w:color w:val="222222"/>
          <w:sz w:val="18"/>
          <w:szCs w:val="18"/>
          <w:shd w:val="clear" w:color="auto" w:fill="FFFFFF"/>
        </w:rPr>
        <w:t xml:space="preserve">erging market capital flows." </w:t>
      </w:r>
      <w:r w:rsidR="00DE6AE1" w:rsidRPr="00DE6AE1">
        <w:rPr>
          <w:rFonts w:cs="Arial"/>
          <w:color w:val="222222"/>
          <w:sz w:val="18"/>
          <w:szCs w:val="18"/>
          <w:shd w:val="clear" w:color="auto" w:fill="FFFFFF"/>
        </w:rPr>
        <w:t xml:space="preserve"> </w:t>
      </w:r>
      <w:r w:rsidR="00DE6AE1" w:rsidRPr="00DE6AE1">
        <w:rPr>
          <w:rFonts w:cstheme="minorHAnsi"/>
          <w:bCs/>
          <w:color w:val="000000"/>
          <w:sz w:val="18"/>
          <w:szCs w:val="18"/>
        </w:rPr>
        <w:t>NBER Working Paper No. 23474</w:t>
      </w:r>
      <w:r w:rsidR="00DE6AE1" w:rsidRPr="00DE6AE1">
        <w:rPr>
          <w:rFonts w:cstheme="minorHAnsi"/>
          <w:color w:val="000000"/>
          <w:sz w:val="18"/>
          <w:szCs w:val="18"/>
        </w:rPr>
        <w:t xml:space="preserve">, </w:t>
      </w:r>
      <w:r w:rsidR="00DE6AE1" w:rsidRPr="00DE6AE1">
        <w:rPr>
          <w:rFonts w:cstheme="minorHAnsi"/>
          <w:bCs/>
          <w:color w:val="000000"/>
          <w:sz w:val="18"/>
          <w:szCs w:val="18"/>
        </w:rPr>
        <w:t>June</w:t>
      </w:r>
      <w:r w:rsidRPr="00DE6AE1">
        <w:rPr>
          <w:rFonts w:cstheme="minorHAnsi"/>
          <w:color w:val="222222"/>
          <w:sz w:val="18"/>
          <w:szCs w:val="18"/>
          <w:shd w:val="clear" w:color="auto" w:fill="FFFFFF"/>
        </w:rPr>
        <w:t>.</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531DCAD9" w:rsidR="00766585" w:rsidRPr="00FE6187" w:rsidRDefault="00FA104F" w:rsidP="005E2990">
      <w:pPr>
        <w:rPr>
          <w:sz w:val="18"/>
          <w:szCs w:val="18"/>
        </w:rPr>
      </w:pPr>
      <w:r w:rsidRPr="00FE6187">
        <w:rPr>
          <w:sz w:val="18"/>
          <w:szCs w:val="18"/>
        </w:rPr>
        <w:t>Daude, Christian, Eduardo Levy</w:t>
      </w:r>
      <w:r w:rsidR="00376974" w:rsidRPr="00FE6187">
        <w:rPr>
          <w:sz w:val="18"/>
          <w:szCs w:val="18"/>
        </w:rPr>
        <w:t>-</w:t>
      </w:r>
      <w:r w:rsidRPr="00FE6187">
        <w:rPr>
          <w:sz w:val="18"/>
          <w:szCs w:val="18"/>
        </w:rPr>
        <w:t>Yeyati and Arne Nagengast. 201</w:t>
      </w:r>
      <w:r w:rsidR="00046BE1">
        <w:rPr>
          <w:sz w:val="18"/>
          <w:szCs w:val="18"/>
        </w:rPr>
        <w:t>6</w:t>
      </w:r>
      <w:r w:rsidRPr="00FE6187">
        <w:rPr>
          <w:sz w:val="18"/>
          <w:szCs w:val="18"/>
        </w:rPr>
        <w:t xml:space="preserve">. "On the Effectiveness of Exchange Rate Intervention in Emerging Markets." </w:t>
      </w:r>
      <w:r w:rsidR="00046BE1" w:rsidRPr="00046BE1">
        <w:rPr>
          <w:i/>
          <w:sz w:val="18"/>
          <w:szCs w:val="18"/>
        </w:rPr>
        <w:t>Journal of International Money and Finance</w:t>
      </w:r>
      <w:r w:rsidR="00046BE1">
        <w:rPr>
          <w:sz w:val="18"/>
          <w:szCs w:val="18"/>
        </w:rPr>
        <w:t xml:space="preserve">, </w:t>
      </w:r>
      <w:r w:rsidR="006D03B3" w:rsidRPr="00046BE1">
        <w:rPr>
          <w:rFonts w:cstheme="minorHAnsi"/>
          <w:color w:val="000000" w:themeColor="text1"/>
          <w:sz w:val="18"/>
          <w:szCs w:val="18"/>
        </w:rPr>
        <w:t>Volume 64, </w:t>
      </w:r>
      <w:r w:rsidR="00046BE1">
        <w:rPr>
          <w:rFonts w:cstheme="minorHAnsi"/>
          <w:color w:val="000000" w:themeColor="text1"/>
          <w:sz w:val="18"/>
          <w:szCs w:val="18"/>
        </w:rPr>
        <w:t>June</w:t>
      </w:r>
      <w:r w:rsidR="006D03B3" w:rsidRPr="00046BE1">
        <w:rPr>
          <w:rFonts w:cstheme="minorHAnsi"/>
          <w:color w:val="000000" w:themeColor="text1"/>
          <w:sz w:val="18"/>
          <w:szCs w:val="18"/>
        </w:rPr>
        <w:t>, Pages 239-261</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F5C7745" w:rsidR="00766585" w:rsidRDefault="00766585" w:rsidP="00766585">
      <w:pPr>
        <w:spacing w:line="240" w:lineRule="auto"/>
        <w:rPr>
          <w:rFonts w:cs="Arial"/>
          <w:color w:val="222222"/>
          <w:sz w:val="18"/>
          <w:szCs w:val="18"/>
          <w:shd w:val="clear" w:color="auto" w:fill="FFFFFF"/>
        </w:rPr>
      </w:pPr>
      <w:r w:rsidRPr="00FE6187">
        <w:rPr>
          <w:rFonts w:eastAsia="Times New Roman" w:cstheme="majorBidi"/>
          <w:color w:val="000000" w:themeColor="text1"/>
          <w:sz w:val="18"/>
          <w:szCs w:val="18"/>
        </w:rPr>
        <w:t>Devereux, Michael, and James Yetman.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6"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195896EB" w14:textId="1977926A" w:rsidR="00EE48F5" w:rsidRPr="00EE48F5" w:rsidRDefault="00EE48F5" w:rsidP="00EE48F5">
      <w:pPr>
        <w:rPr>
          <w:sz w:val="18"/>
          <w:szCs w:val="18"/>
        </w:rPr>
      </w:pPr>
      <w:r w:rsidRPr="00FE6187">
        <w:rPr>
          <w:sz w:val="18"/>
          <w:szCs w:val="18"/>
        </w:rPr>
        <w:t>di Giovanni</w:t>
      </w:r>
      <w:r>
        <w:rPr>
          <w:sz w:val="18"/>
          <w:szCs w:val="18"/>
        </w:rPr>
        <w:t>,</w:t>
      </w:r>
      <w:r w:rsidRPr="00FE6187">
        <w:rPr>
          <w:sz w:val="18"/>
          <w:szCs w:val="18"/>
        </w:rPr>
        <w:t xml:space="preserve"> </w:t>
      </w:r>
      <w:r>
        <w:rPr>
          <w:sz w:val="18"/>
          <w:szCs w:val="18"/>
        </w:rPr>
        <w:t xml:space="preserve">Julian, </w:t>
      </w:r>
      <w:r w:rsidRPr="00FE6187">
        <w:rPr>
          <w:sz w:val="18"/>
          <w:szCs w:val="18"/>
        </w:rPr>
        <w:t>Sebnem Kalemli-Ozcan</w:t>
      </w:r>
      <w:r>
        <w:rPr>
          <w:sz w:val="18"/>
          <w:szCs w:val="18"/>
        </w:rPr>
        <w:t xml:space="preserve">, </w:t>
      </w:r>
      <w:r w:rsidRPr="00FE6187">
        <w:rPr>
          <w:sz w:val="18"/>
          <w:szCs w:val="18"/>
        </w:rPr>
        <w:t>Mehmet Fatih Ulu,</w:t>
      </w:r>
      <w:r>
        <w:rPr>
          <w:sz w:val="18"/>
          <w:szCs w:val="18"/>
        </w:rPr>
        <w:t xml:space="preserve"> and </w:t>
      </w:r>
      <w:r w:rsidRPr="00FE6187">
        <w:rPr>
          <w:sz w:val="18"/>
          <w:szCs w:val="18"/>
        </w:rPr>
        <w:t>Yusuf Soner</w:t>
      </w:r>
      <w:r>
        <w:rPr>
          <w:sz w:val="18"/>
          <w:szCs w:val="18"/>
        </w:rPr>
        <w:t xml:space="preserve"> Baskaya</w:t>
      </w:r>
      <w:r w:rsidRPr="00FE6187">
        <w:rPr>
          <w:sz w:val="18"/>
          <w:szCs w:val="18"/>
        </w:rPr>
        <w:t>, 201</w:t>
      </w:r>
      <w:r w:rsidR="000878A4">
        <w:rPr>
          <w:sz w:val="18"/>
          <w:szCs w:val="18"/>
        </w:rPr>
        <w:t>8</w:t>
      </w:r>
      <w:r w:rsidRPr="00FE6187">
        <w:rPr>
          <w:sz w:val="18"/>
          <w:szCs w:val="18"/>
        </w:rPr>
        <w:t xml:space="preserve">, “International Spillovers and Local Credit Cycles,” </w:t>
      </w:r>
      <w:r w:rsidR="000878A4">
        <w:rPr>
          <w:sz w:val="18"/>
          <w:szCs w:val="18"/>
        </w:rPr>
        <w:t xml:space="preserve"> CREI, Barcelona, September.  </w:t>
      </w:r>
      <w:r w:rsidRPr="00FE6187">
        <w:rPr>
          <w:sz w:val="18"/>
          <w:szCs w:val="18"/>
        </w:rPr>
        <w:t>N</w:t>
      </w:r>
      <w:r w:rsidR="000878A4">
        <w:rPr>
          <w:sz w:val="18"/>
          <w:szCs w:val="18"/>
        </w:rPr>
        <w:t>BER Working Paper 2314</w:t>
      </w:r>
      <w:r>
        <w:rPr>
          <w:sz w:val="18"/>
          <w:szCs w:val="18"/>
        </w:rPr>
        <w:t>.</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B170F8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Disyatat, Piti, and Gabriele Galati, 2007, “The Effectiveness of Foreign Exchange Intervention in Emerging Market Countries: Evidence from the Czech Ko</w:t>
      </w:r>
      <w:r w:rsidR="005575EE">
        <w:rPr>
          <w:rFonts w:cs="Times New Roman"/>
          <w:noProof/>
          <w:color w:val="000000" w:themeColor="text1"/>
          <w:sz w:val="18"/>
          <w:szCs w:val="18"/>
        </w:rPr>
        <w:t>runa,”</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Dominguez, Kathryn, Rasmus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0401ACA9"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p>
    <w:p w14:paraId="76523E72" w14:textId="0CF1E97B"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t>
      </w:r>
      <w:r w:rsidR="005575EE">
        <w:rPr>
          <w:rFonts w:cs="Times New Roman"/>
          <w:noProof/>
          <w:color w:val="000000" w:themeColor="text1"/>
          <w:sz w:val="18"/>
          <w:szCs w:val="18"/>
        </w:rPr>
        <w:t>(</w:t>
      </w:r>
      <w:r w:rsidRPr="00FE6187">
        <w:rPr>
          <w:rFonts w:cs="Times New Roman"/>
          <w:noProof/>
          <w:color w:val="000000" w:themeColor="text1"/>
          <w:sz w:val="18"/>
          <w:szCs w:val="18"/>
        </w:rPr>
        <w:t xml:space="preserve">Washington: </w:t>
      </w:r>
      <w:r w:rsidRPr="00FE6187">
        <w:rPr>
          <w:rFonts w:cs="Times New Roman"/>
          <w:iCs/>
          <w:noProof/>
          <w:color w:val="000000" w:themeColor="text1"/>
          <w:sz w:val="18"/>
          <w:szCs w:val="18"/>
        </w:rPr>
        <w:t>Institute for International Economics</w:t>
      </w:r>
      <w:r w:rsidR="005575EE">
        <w:rPr>
          <w:rFonts w:cs="Times New Roman"/>
          <w:iCs/>
          <w:noProof/>
          <w:color w:val="000000" w:themeColor="text1"/>
          <w:sz w:val="18"/>
          <w:szCs w:val="18"/>
        </w:rPr>
        <w:t>)</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5706B874"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r w:rsidR="00AA6F42">
        <w:rPr>
          <w:rStyle w:val="Hyperlink"/>
          <w:rFonts w:ascii="Arial" w:hAnsi="Arial" w:cs="Arial"/>
          <w:bCs/>
          <w:sz w:val="18"/>
          <w:szCs w:val="18"/>
          <w:u w:val="none"/>
          <w:bdr w:val="none" w:sz="0" w:space="0" w:color="auto" w:frame="1"/>
          <w:lang w:eastAsia="ko-KR"/>
        </w:rPr>
        <w:t xml:space="preserve">38 </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bCs/>
          <w:color w:val="auto"/>
          <w:sz w:val="18"/>
          <w:szCs w:val="18"/>
          <w:u w:val="none"/>
          <w:bdr w:val="none" w:sz="0" w:space="0" w:color="auto" w:frame="1"/>
        </w:rPr>
        <w:t>5</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color w:val="auto"/>
          <w:sz w:val="18"/>
          <w:szCs w:val="18"/>
          <w:bdr w:val="none" w:sz="0" w:space="0" w:color="auto" w:frame="1"/>
          <w:shd w:val="clear" w:color="auto" w:fill="FFFFFF"/>
        </w:rPr>
        <w:t>,</w:t>
      </w:r>
      <w:r w:rsidRPr="00AA6F42">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NBER Working Paper 20893.</w:t>
      </w:r>
    </w:p>
    <w:p w14:paraId="4FA14FD9" w14:textId="77777777" w:rsidR="00483AE6" w:rsidRPr="00FE6187" w:rsidRDefault="006E029E" w:rsidP="00074534">
      <w:pPr>
        <w:spacing w:line="240" w:lineRule="auto"/>
        <w:rPr>
          <w:sz w:val="18"/>
          <w:szCs w:val="18"/>
        </w:rPr>
      </w:pPr>
      <w:r w:rsidRPr="00FE6187">
        <w:rPr>
          <w:sz w:val="18"/>
          <w:szCs w:val="18"/>
        </w:rPr>
        <w:t xml:space="preserve">Edwards, Sebastian, and Eduardo Levy Yeyati, 2005,  “Flexible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 xml:space="preserve">Dilemma not Trilemma? Capital Controls and Exchange Rates with Volatile Capital Flows,” </w:t>
      </w:r>
      <w:r w:rsidRPr="00FE6187">
        <w:rPr>
          <w:color w:val="000000" w:themeColor="text1"/>
          <w:sz w:val="18"/>
          <w:szCs w:val="18"/>
        </w:rPr>
        <w:t xml:space="preserve"> </w:t>
      </w:r>
      <w:r w:rsidRPr="00FE6187">
        <w:rPr>
          <w:rFonts w:cs="Arial"/>
          <w:i/>
          <w:iCs/>
          <w:color w:val="000000"/>
          <w:sz w:val="18"/>
          <w:szCs w:val="18"/>
          <w:shd w:val="clear" w:color="auto" w:fill="FFFFFF"/>
        </w:rPr>
        <w:t xml:space="preserve">IMF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 xml:space="preserve">Fatum, Rasmus. 2015. "FX Intervention When Interest Rates Are Zero: Does the Portfolio Balance Channel Matter after All?" </w:t>
      </w:r>
      <w:r w:rsidRPr="00C7630D">
        <w:rPr>
          <w:i/>
          <w:sz w:val="18"/>
          <w:szCs w:val="18"/>
        </w:rPr>
        <w:t>Journal of International Money and Finance</w:t>
      </w:r>
      <w:r w:rsidRPr="00FE6187">
        <w:rPr>
          <w:sz w:val="18"/>
          <w:szCs w:val="18"/>
        </w:rPr>
        <w:t>, 57(C), 185-199.</w:t>
      </w:r>
    </w:p>
    <w:p w14:paraId="46E26248" w14:textId="77777777" w:rsidR="005F5EAF" w:rsidRPr="00FE6187" w:rsidRDefault="00913712" w:rsidP="005E2990">
      <w:pPr>
        <w:rPr>
          <w:sz w:val="18"/>
          <w:szCs w:val="18"/>
        </w:rPr>
      </w:pPr>
      <w:r w:rsidRPr="00FE6187">
        <w:rPr>
          <w:sz w:val="18"/>
          <w:szCs w:val="18"/>
        </w:rPr>
        <w:t xml:space="preserve">Fatum, Rasmus and Michael M. Hutchison. 2003. "Is Sterilized FX Intervention Effective after All? An Event Study Approach." Economic Journal, 113(487), 390-411. </w:t>
      </w:r>
    </w:p>
    <w:p w14:paraId="75E13E24" w14:textId="77777777" w:rsidR="005F5EAF" w:rsidRPr="00FE6187" w:rsidRDefault="00913712" w:rsidP="005E2990">
      <w:pPr>
        <w:rPr>
          <w:sz w:val="18"/>
          <w:szCs w:val="18"/>
        </w:rPr>
      </w:pPr>
      <w:r w:rsidRPr="00FE6187">
        <w:rPr>
          <w:sz w:val="18"/>
          <w:szCs w:val="18"/>
        </w:rPr>
        <w:t xml:space="preserve">Fatum, Rasmus and Michael M. Hutchison. 2010. "Evaluating FX Market Intervention: Selfselection, Counterfactuals and Average Treatment Effects." </w:t>
      </w:r>
      <w:r w:rsidRPr="00C7630D">
        <w:rPr>
          <w:i/>
          <w:sz w:val="18"/>
          <w:szCs w:val="18"/>
        </w:rPr>
        <w:t>Journal of International Money and Finance</w:t>
      </w:r>
      <w:r w:rsidRPr="00FE6187">
        <w:rPr>
          <w:sz w:val="18"/>
          <w:szCs w:val="18"/>
        </w:rPr>
        <w:t>,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r w:rsidRPr="00FE6187">
        <w:rPr>
          <w:rFonts w:cs="Arial"/>
          <w:color w:val="222222"/>
          <w:sz w:val="18"/>
          <w:szCs w:val="18"/>
          <w:shd w:val="clear" w:color="auto" w:fill="FFFFFF"/>
        </w:rPr>
        <w:t>Flood, Robert, and Andrew Rose, 1999, "Understanding exchange rate volatility without the contrivance of macroeconomics."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
    <w:p w14:paraId="5B8823E4" w14:textId="4455D8DC"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00C7630D">
        <w:rPr>
          <w:rFonts w:cs="Arial"/>
          <w:color w:val="1E1E1E"/>
          <w:sz w:val="18"/>
          <w:szCs w:val="18"/>
          <w:shd w:val="clear" w:color="auto" w:fill="FFFFFF"/>
        </w:rPr>
        <w:t>"</w:t>
      </w:r>
      <w:r w:rsidRPr="00A2071D">
        <w:rPr>
          <w:rFonts w:cs="Arial"/>
          <w:color w:val="1E1E1E"/>
          <w:sz w:val="18"/>
          <w:szCs w:val="18"/>
          <w:shd w:val="clear" w:color="auto" w:fill="FFFFFF"/>
        </w:rPr>
        <w:t>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4C2F7CFB" w:rsidR="0072751F" w:rsidRPr="00FE6187" w:rsidRDefault="0072751F" w:rsidP="0072751F">
      <w:pPr>
        <w:spacing w:line="240" w:lineRule="auto"/>
        <w:rPr>
          <w:color w:val="000000"/>
          <w:sz w:val="18"/>
          <w:szCs w:val="18"/>
        </w:rPr>
      </w:pPr>
      <w:r w:rsidRPr="00FE6187">
        <w:rPr>
          <w:color w:val="000000"/>
          <w:sz w:val="18"/>
          <w:szCs w:val="18"/>
        </w:rPr>
        <w:t>Frankel, Jeffrey, 201</w:t>
      </w:r>
      <w:r w:rsidR="00A5410F">
        <w:rPr>
          <w:color w:val="000000"/>
          <w:sz w:val="18"/>
          <w:szCs w:val="18"/>
        </w:rPr>
        <w:t>8</w:t>
      </w:r>
      <w:r w:rsidR="00C7630D">
        <w:rPr>
          <w:color w:val="000000"/>
          <w:sz w:val="18"/>
          <w:szCs w:val="18"/>
        </w:rPr>
        <w:t>,</w:t>
      </w:r>
      <w:r w:rsidRPr="00FE6187">
        <w:rPr>
          <w:color w:val="000000"/>
          <w:sz w:val="18"/>
          <w:szCs w:val="18"/>
        </w:rPr>
        <w:t xml:space="preserve">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
    <w:p w14:paraId="3C62B564" w14:textId="0A79CC4F"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 xml:space="preserve">Frankel, Jeffrey. Eduardo Fajnzylber, Sergio Schmukler, and Luis Servén, 2001, "Verifying </w:t>
      </w:r>
      <w:r w:rsidR="00C7630D">
        <w:rPr>
          <w:rFonts w:cs="Arial"/>
          <w:color w:val="222222"/>
          <w:sz w:val="18"/>
          <w:szCs w:val="18"/>
          <w:shd w:val="clear" w:color="auto" w:fill="FFFFFF"/>
        </w:rPr>
        <w:t>E</w:t>
      </w:r>
      <w:r w:rsidRPr="00C33D23">
        <w:rPr>
          <w:rFonts w:cs="Arial"/>
          <w:color w:val="222222"/>
          <w:sz w:val="18"/>
          <w:szCs w:val="18"/>
          <w:shd w:val="clear" w:color="auto" w:fill="FFFFFF"/>
        </w:rPr>
        <w:t xml:space="preserve">xchange </w:t>
      </w:r>
      <w:r w:rsidR="00C7630D">
        <w:rPr>
          <w:rFonts w:cs="Arial"/>
          <w:color w:val="222222"/>
          <w:sz w:val="18"/>
          <w:szCs w:val="18"/>
          <w:shd w:val="clear" w:color="auto" w:fill="FFFFFF"/>
        </w:rPr>
        <w:t>Rate R</w:t>
      </w:r>
      <w:r w:rsidRPr="00C33D23">
        <w:rPr>
          <w:rFonts w:cs="Arial"/>
          <w:color w:val="222222"/>
          <w:sz w:val="18"/>
          <w:szCs w:val="18"/>
          <w:shd w:val="clear" w:color="auto" w:fill="FFFFFF"/>
        </w:rPr>
        <w:t>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r w:rsidRPr="00FE6187">
        <w:rPr>
          <w:sz w:val="18"/>
          <w:szCs w:val="18"/>
        </w:rPr>
        <w:t>Frankel, Jeffrey, and Shang-Jin Wei.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 xml:space="preserve">he Techniques for Inferring Flexibility and Basket Weights,”  </w:t>
      </w:r>
      <w:r w:rsidRPr="002C0EF1">
        <w:rPr>
          <w:i/>
          <w:iCs/>
          <w:sz w:val="18"/>
          <w:szCs w:val="18"/>
        </w:rPr>
        <w:t>IMF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2D31D9A" w:rsidR="009215ED" w:rsidRDefault="009215ED" w:rsidP="005E2990">
      <w:pPr>
        <w:rPr>
          <w:sz w:val="18"/>
          <w:szCs w:val="18"/>
        </w:rPr>
      </w:pPr>
      <w:r w:rsidRPr="00FE6187">
        <w:rPr>
          <w:rFonts w:cs="Arial"/>
          <w:color w:val="222222"/>
          <w:sz w:val="18"/>
          <w:szCs w:val="18"/>
          <w:shd w:val="clear" w:color="auto" w:fill="FFFFFF"/>
        </w:rPr>
        <w:t>Fratzscher, Marcel, Oliver Gloede, Lukas Menkhoff, Lucio Sarno, and Tobias Stöhr, 201</w:t>
      </w:r>
      <w:r w:rsidR="00D26C10">
        <w:rPr>
          <w:rFonts w:cs="Arial"/>
          <w:color w:val="222222"/>
          <w:sz w:val="18"/>
          <w:szCs w:val="18"/>
          <w:shd w:val="clear" w:color="auto" w:fill="FFFFFF"/>
        </w:rPr>
        <w:t>9</w:t>
      </w:r>
      <w:r w:rsidRPr="00FE6187">
        <w:rPr>
          <w:rFonts w:cs="Arial"/>
          <w:color w:val="222222"/>
          <w:sz w:val="18"/>
          <w:szCs w:val="18"/>
          <w:shd w:val="clear" w:color="auto" w:fill="FFFFFF"/>
        </w:rPr>
        <w:t>,</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 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r w:rsidRPr="00FE6187">
        <w:rPr>
          <w:rFonts w:cs="Arial"/>
          <w:color w:val="222222"/>
          <w:sz w:val="18"/>
          <w:szCs w:val="18"/>
          <w:shd w:val="clear" w:color="auto" w:fill="FFFFFF"/>
        </w:rPr>
        <w:t xml:space="preserve"> </w:t>
      </w:r>
      <w:r w:rsidR="00D26C10">
        <w:rPr>
          <w:rFonts w:cs="Arial"/>
          <w:color w:val="222222"/>
          <w:sz w:val="18"/>
          <w:szCs w:val="18"/>
          <w:shd w:val="clear" w:color="auto" w:fill="FFFFFF"/>
        </w:rPr>
        <w:t xml:space="preserve"> </w:t>
      </w:r>
      <w:r w:rsidR="00D26C10" w:rsidRPr="00D26C10">
        <w:rPr>
          <w:i/>
          <w:sz w:val="18"/>
          <w:szCs w:val="18"/>
        </w:rPr>
        <w:t>American Economic Journal: Macroeconomics</w:t>
      </w:r>
      <w:r w:rsidR="00D26C10" w:rsidRPr="00D26C10">
        <w:rPr>
          <w:sz w:val="18"/>
          <w:szCs w:val="18"/>
        </w:rPr>
        <w:t xml:space="preserve"> 2019, 11(1): 132–156</w:t>
      </w:r>
      <w:r w:rsidR="00D26C10">
        <w:rPr>
          <w:rFonts w:ascii="Helvetica" w:hAnsi="Helvetica" w:cs="Helvetica"/>
          <w:color w:val="222222"/>
        </w:rPr>
        <w:br/>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17"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10E09BD7" w:rsidR="00EC684C" w:rsidRPr="00FE6187" w:rsidRDefault="004C7BE5" w:rsidP="00EC684C">
      <w:pPr>
        <w:rPr>
          <w:sz w:val="18"/>
          <w:szCs w:val="18"/>
        </w:rPr>
      </w:pPr>
      <w:r w:rsidRPr="00FE6187">
        <w:rPr>
          <w:sz w:val="18"/>
          <w:szCs w:val="18"/>
        </w:rPr>
        <w:t>Fr</w:t>
      </w:r>
      <w:r w:rsidRPr="008F4CFB">
        <w:rPr>
          <w:sz w:val="18"/>
          <w:szCs w:val="18"/>
        </w:rPr>
        <w:t>ö</w:t>
      </w:r>
      <w:r w:rsidRPr="00FE6187">
        <w:rPr>
          <w:sz w:val="18"/>
          <w:szCs w:val="18"/>
        </w:rPr>
        <w:t xml:space="preserve">mmel, Michael, and </w:t>
      </w:r>
      <w:r w:rsidR="00B22DEA">
        <w:rPr>
          <w:sz w:val="18"/>
          <w:szCs w:val="18"/>
        </w:rPr>
        <w:t>Murat Midiliç, 2017</w:t>
      </w:r>
      <w:r w:rsidRPr="00FE6187">
        <w:rPr>
          <w:sz w:val="18"/>
          <w:szCs w:val="18"/>
        </w:rPr>
        <w:t>, “"Daily Currency Interventions in Emerging Markets: Incorporating Reserve Accumulation." </w:t>
      </w:r>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xml:space="preserve">, OECD Headquarters.    </w:t>
      </w:r>
      <w:r w:rsidR="00CA2F81" w:rsidRPr="00FE6187">
        <w:rPr>
          <w:sz w:val="18"/>
          <w:szCs w:val="18"/>
        </w:rPr>
        <w:t>No. 4106590,</w:t>
      </w:r>
      <w:r w:rsidR="003353FC" w:rsidRPr="00FE6187">
        <w:rPr>
          <w:sz w:val="18"/>
          <w:szCs w:val="18"/>
        </w:rPr>
        <w:t xml:space="preserve"> International Institute of Social and Economic Sciences.</w:t>
      </w:r>
    </w:p>
    <w:p w14:paraId="5E41A5B6" w14:textId="77777777" w:rsidR="003C2706" w:rsidRPr="00FE6187" w:rsidRDefault="00697E2D" w:rsidP="00A45E20">
      <w:pPr>
        <w:jc w:val="both"/>
        <w:rPr>
          <w:spacing w:val="-3"/>
          <w:sz w:val="18"/>
          <w:szCs w:val="18"/>
        </w:rPr>
      </w:pPr>
      <w:r w:rsidRPr="00FE6187">
        <w:rPr>
          <w:spacing w:val="-3"/>
          <w:sz w:val="18"/>
          <w:szCs w:val="18"/>
        </w:rPr>
        <w:lastRenderedPageBreak/>
        <w:t xml:space="preserve">Ghosh, Atish, Anne-Marie Gulde, and Holger Wolf.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Ghosh, Atish R., Jonathan  Ostry,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A0B2382" w14:textId="2E61FA35" w:rsidR="003C6F5B" w:rsidRPr="003C6F5B" w:rsidRDefault="003C6F5B" w:rsidP="003C6F5B">
      <w:pPr>
        <w:rPr>
          <w:rFonts w:ascii="Helvetica" w:hAnsi="Helvetica" w:cs="Helvetica"/>
          <w:color w:val="000000"/>
          <w:sz w:val="27"/>
          <w:szCs w:val="27"/>
        </w:rPr>
      </w:pPr>
      <w:r w:rsidRPr="00FE6187">
        <w:rPr>
          <w:rFonts w:cs="Arial"/>
          <w:color w:val="222222"/>
          <w:sz w:val="18"/>
          <w:szCs w:val="18"/>
          <w:shd w:val="clear" w:color="auto" w:fill="FFFFFF"/>
        </w:rPr>
        <w:t xml:space="preserve">Ghosh, Atish R., Jonathan  Ostry, and Mahvash Qureshi, </w:t>
      </w:r>
      <w:r w:rsidRPr="003C6F5B">
        <w:rPr>
          <w:rFonts w:cs="Arial"/>
          <w:color w:val="222222"/>
          <w:sz w:val="18"/>
          <w:szCs w:val="18"/>
          <w:shd w:val="clear" w:color="auto" w:fill="FFFFFF"/>
        </w:rPr>
        <w:t>20</w:t>
      </w:r>
      <w:r>
        <w:rPr>
          <w:rFonts w:cs="Arial"/>
          <w:color w:val="222222"/>
          <w:sz w:val="18"/>
          <w:szCs w:val="18"/>
          <w:shd w:val="clear" w:color="auto" w:fill="FFFFFF"/>
        </w:rPr>
        <w:t xml:space="preserve">18, </w:t>
      </w:r>
      <w:hyperlink r:id="rId18" w:history="1">
        <w:r w:rsidRPr="003C6F5B">
          <w:rPr>
            <w:rStyle w:val="Hyperlink"/>
            <w:rFonts w:cs="Helvetica"/>
            <w:color w:val="000000"/>
            <w:sz w:val="18"/>
            <w:szCs w:val="18"/>
          </w:rPr>
          <w:t>Taming the Tide of Capital Flows</w:t>
        </w:r>
      </w:hyperlink>
      <w:r w:rsidRPr="003C6F5B">
        <w:rPr>
          <w:rFonts w:cs="Helvetica"/>
          <w:color w:val="000000"/>
          <w:sz w:val="18"/>
          <w:szCs w:val="18"/>
        </w:rPr>
        <w:t xml:space="preserve">: </w:t>
      </w:r>
      <w:r w:rsidRPr="003C6F5B">
        <w:rPr>
          <w:rFonts w:cs="Helvetica"/>
          <w:color w:val="000000"/>
          <w:sz w:val="18"/>
          <w:szCs w:val="18"/>
          <w:u w:val="single"/>
        </w:rPr>
        <w:t>A Policy Guide</w:t>
      </w:r>
      <w:r w:rsidRPr="003C6F5B">
        <w:rPr>
          <w:rFonts w:cs="Helvetica"/>
          <w:color w:val="000000"/>
          <w:sz w:val="18"/>
          <w:szCs w:val="18"/>
        </w:rPr>
        <w:t xml:space="preserve"> (MIT Press).</w:t>
      </w:r>
    </w:p>
    <w:p w14:paraId="03D694DB" w14:textId="77777777" w:rsidR="00077A79" w:rsidRDefault="00077A79" w:rsidP="00A45E20">
      <w:pPr>
        <w:rPr>
          <w:sz w:val="18"/>
          <w:szCs w:val="18"/>
        </w:rPr>
      </w:pPr>
      <w:r w:rsidRPr="00077A79">
        <w:rPr>
          <w:sz w:val="18"/>
          <w:szCs w:val="18"/>
        </w:rPr>
        <w:t xml:space="preserve">Girton, Lance and Don Roper.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4C591F09" w:rsidR="00CD4AED" w:rsidRPr="00077A79" w:rsidRDefault="00CD4AED" w:rsidP="00A45E20">
      <w:pPr>
        <w:rPr>
          <w:sz w:val="18"/>
          <w:szCs w:val="18"/>
        </w:rPr>
      </w:pPr>
      <w:r>
        <w:rPr>
          <w:sz w:val="18"/>
          <w:szCs w:val="18"/>
        </w:rPr>
        <w:t>Han,  Xuewei, and Shang-Jin Wei, 201</w:t>
      </w:r>
      <w:r w:rsidR="00294B05">
        <w:rPr>
          <w:sz w:val="18"/>
          <w:szCs w:val="18"/>
        </w:rPr>
        <w:t>8</w:t>
      </w:r>
      <w:r>
        <w:rPr>
          <w:sz w:val="18"/>
          <w:szCs w:val="18"/>
        </w:rPr>
        <w:t>, “International Transmissions of Monetary Shocks Between a Trile</w:t>
      </w:r>
      <w:r w:rsidR="00294B05">
        <w:rPr>
          <w:sz w:val="18"/>
          <w:szCs w:val="18"/>
        </w:rPr>
        <w:t xml:space="preserve">mma and a Dilemma,” </w:t>
      </w:r>
      <w:r w:rsidR="00294B05" w:rsidRPr="00294B05">
        <w:rPr>
          <w:i/>
          <w:sz w:val="18"/>
          <w:szCs w:val="18"/>
        </w:rPr>
        <w:t>Journal of International Economics</w:t>
      </w:r>
      <w:r w:rsidR="00294B05">
        <w:rPr>
          <w:sz w:val="18"/>
          <w:szCs w:val="18"/>
        </w:rPr>
        <w:t xml:space="preserve">, </w:t>
      </w:r>
      <w:r w:rsidR="00294B05" w:rsidRPr="00294B05">
        <w:rPr>
          <w:rFonts w:cstheme="minorHAnsi"/>
          <w:sz w:val="18"/>
          <w:szCs w:val="18"/>
        </w:rPr>
        <w:t>Volume 110</w:t>
      </w:r>
      <w:r w:rsidR="00294B05" w:rsidRPr="00294B05">
        <w:rPr>
          <w:rFonts w:cstheme="minorHAnsi"/>
          <w:color w:val="505050"/>
          <w:sz w:val="18"/>
          <w:szCs w:val="18"/>
        </w:rPr>
        <w:t>, January</w:t>
      </w:r>
      <w:r w:rsidR="00294B05">
        <w:rPr>
          <w:rFonts w:cstheme="minorHAnsi"/>
          <w:color w:val="505050"/>
          <w:sz w:val="18"/>
          <w:szCs w:val="18"/>
        </w:rPr>
        <w:t xml:space="preserve">: </w:t>
      </w:r>
      <w:r w:rsidR="00294B05" w:rsidRPr="00294B05">
        <w:rPr>
          <w:rFonts w:cstheme="minorHAnsi"/>
          <w:color w:val="505050"/>
          <w:sz w:val="18"/>
          <w:szCs w:val="18"/>
        </w:rPr>
        <w:t>205-219</w:t>
      </w:r>
      <w:r w:rsidRPr="00294B05">
        <w:rPr>
          <w:rFonts w:cstheme="minorHAnsi"/>
          <w:sz w:val="18"/>
          <w:szCs w:val="18"/>
        </w:rPr>
        <w:t>.</w:t>
      </w:r>
      <w:r>
        <w:rPr>
          <w:sz w:val="18"/>
          <w:szCs w:val="18"/>
        </w:rPr>
        <w:t xml:space="preserve">   NBER Working Paper No. 22812.</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r w:rsidRPr="00FE6187">
        <w:rPr>
          <w:rFonts w:cs="Times New Roman"/>
          <w:color w:val="000000"/>
          <w:sz w:val="18"/>
          <w:szCs w:val="18"/>
        </w:rPr>
        <w:t xml:space="preserve">Mizen (ed.) </w:t>
      </w:r>
      <w:r w:rsidRPr="00FE6187">
        <w:rPr>
          <w:rFonts w:cs="Times New Roman"/>
          <w:i/>
          <w:color w:val="000000"/>
          <w:sz w:val="18"/>
          <w:szCs w:val="18"/>
        </w:rPr>
        <w:t>Monetary History, Exchange Rates and Financial Markets, Essays in Honour of Charles Goodhart</w:t>
      </w:r>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Rancière, 2011, "The Optimal Level of International Reserves for Emerging Market Countries: A New Formula and Some Applications." </w:t>
      </w:r>
      <w:r w:rsidRPr="00FE6187">
        <w:rPr>
          <w:i/>
          <w:sz w:val="18"/>
          <w:szCs w:val="18"/>
        </w:rPr>
        <w:t>Economic Journal</w:t>
      </w:r>
      <w:r w:rsidRPr="00FE6187">
        <w:rPr>
          <w:sz w:val="18"/>
          <w:szCs w:val="18"/>
        </w:rPr>
        <w:t>, 121(555), 905-30.</w:t>
      </w:r>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r w:rsidRPr="00FE6187">
        <w:rPr>
          <w:sz w:val="18"/>
          <w:szCs w:val="18"/>
        </w:rPr>
        <w:t xml:space="preserve">Klein, Michael, and Nancy Marion.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r w:rsidR="005B0E15" w:rsidRPr="00FE6187">
        <w:rPr>
          <w:rFonts w:cs="Arial"/>
          <w:color w:val="222222"/>
          <w:sz w:val="18"/>
          <w:szCs w:val="18"/>
          <w:shd w:val="clear" w:color="auto" w:fill="FFFFFF"/>
        </w:rPr>
        <w:t xml:space="preserve">Rounding the Corners of the Policy Trilemma: Sources of monetary policy autonomy,” Feb.   NBER WP </w:t>
      </w:r>
      <w:r w:rsidR="005B0E15" w:rsidRPr="00FE6187">
        <w:rPr>
          <w:rFonts w:cs="Arial"/>
          <w:color w:val="000000" w:themeColor="text1"/>
          <w:sz w:val="18"/>
          <w:szCs w:val="18"/>
          <w:shd w:val="clear" w:color="auto" w:fill="FFFFFF"/>
        </w:rPr>
        <w:t>19461.</w:t>
      </w:r>
    </w:p>
    <w:p w14:paraId="36C96EC7" w14:textId="30D29BF2" w:rsidR="005E7BC6" w:rsidRPr="00FE6187" w:rsidRDefault="005E7BC6" w:rsidP="005E7BC6">
      <w:pPr>
        <w:spacing w:line="240" w:lineRule="auto"/>
        <w:jc w:val="both"/>
        <w:rPr>
          <w:sz w:val="18"/>
          <w:szCs w:val="18"/>
        </w:rPr>
      </w:pPr>
      <w:r w:rsidRPr="00FE6187">
        <w:rPr>
          <w:sz w:val="18"/>
          <w:szCs w:val="18"/>
        </w:rPr>
        <w:t>Krugman, Paul, 1991, “Target Zones and Exchange Rate Dynamics,”</w:t>
      </w:r>
      <w:r w:rsidR="001061A8">
        <w:rPr>
          <w:sz w:val="18"/>
          <w:szCs w:val="18"/>
        </w:rPr>
        <w:t xml:space="preserve"> </w:t>
      </w:r>
      <w:r w:rsidR="001061A8" w:rsidRPr="001061A8">
        <w:rPr>
          <w:i/>
          <w:sz w:val="18"/>
          <w:szCs w:val="18"/>
        </w:rPr>
        <w:t>Q</w:t>
      </w:r>
      <w:r w:rsidRPr="00FE6187">
        <w:rPr>
          <w:i/>
          <w:sz w:val="18"/>
          <w:szCs w:val="18"/>
        </w:rPr>
        <w:t>uarterly Journal of Economics,</w:t>
      </w:r>
      <w:r w:rsidRPr="00FE6187">
        <w:rPr>
          <w:sz w:val="18"/>
          <w:szCs w:val="18"/>
        </w:rPr>
        <w:t xml:space="preserve"> 106: 669-682.</w:t>
      </w:r>
    </w:p>
    <w:p w14:paraId="68AB8D13" w14:textId="77777777" w:rsidR="005E7BC6" w:rsidRPr="00FE6187" w:rsidRDefault="005E7BC6" w:rsidP="005E7BC6">
      <w:pPr>
        <w:spacing w:line="240" w:lineRule="auto"/>
        <w:jc w:val="both"/>
        <w:rPr>
          <w:snapToGrid w:val="0"/>
          <w:color w:val="000000"/>
          <w:sz w:val="18"/>
          <w:szCs w:val="18"/>
        </w:rPr>
      </w:pPr>
      <w:r w:rsidRPr="00FE6187">
        <w:rPr>
          <w:snapToGrid w:val="0"/>
          <w:color w:val="000000"/>
          <w:sz w:val="18"/>
          <w:szCs w:val="18"/>
        </w:rPr>
        <w:t xml:space="preserve">Larrain, Felipe, and Andres Velasco.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 </w:t>
      </w:r>
    </w:p>
    <w:p w14:paraId="515DB84B" w14:textId="77777777" w:rsidR="005E7BC6" w:rsidRPr="00FE6187" w:rsidRDefault="005E7BC6" w:rsidP="003500D5">
      <w:pPr>
        <w:spacing w:line="240" w:lineRule="auto"/>
        <w:rPr>
          <w:sz w:val="18"/>
          <w:szCs w:val="18"/>
        </w:rPr>
      </w:pPr>
      <w:r w:rsidRPr="00FE6187">
        <w:rPr>
          <w:sz w:val="18"/>
          <w:szCs w:val="18"/>
        </w:rPr>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lastRenderedPageBreak/>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r w:rsidRPr="00FE6187">
        <w:rPr>
          <w:rFonts w:cs="Arial"/>
          <w:color w:val="222222"/>
          <w:sz w:val="18"/>
          <w:szCs w:val="18"/>
          <w:shd w:val="clear" w:color="auto" w:fill="FFFFFF"/>
        </w:rPr>
        <w:t>Magud, Nicolas E., Carmen M. Reinhart, and Esteban R. Vesperoni. 2014, "Capital inflows, exchange rate flexibility and credit booms."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Submitted to the US Congress and US Depar</w:t>
      </w:r>
      <w:r w:rsidR="003500D5" w:rsidRPr="00FE6187">
        <w:rPr>
          <w:sz w:val="18"/>
          <w:szCs w:val="18"/>
        </w:rPr>
        <w:t>tment of the Treasury, March 8.</w:t>
      </w:r>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24(1),pp.  85-112.</w:t>
      </w:r>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r w:rsidRPr="00FE6187">
        <w:rPr>
          <w:rFonts w:cs="Times New Roman"/>
          <w:color w:val="000000" w:themeColor="text1"/>
          <w:sz w:val="18"/>
          <w:szCs w:val="18"/>
          <w:shd w:val="clear" w:color="auto" w:fill="FFFFFF"/>
        </w:rPr>
        <w:t>Menkhoff, Lukas, 2013, “Foreign Exchange Intervention in Emerging Markets: A Survey of Empirical Studies,”</w:t>
      </w:r>
      <w:r w:rsidRPr="00FE6187">
        <w:rPr>
          <w:rFonts w:cs="Times New Roman"/>
          <w:i/>
          <w:iCs/>
          <w:color w:val="000000" w:themeColor="text1"/>
          <w:sz w:val="18"/>
          <w:szCs w:val="18"/>
          <w:shd w:val="clear" w:color="auto" w:fill="FFFFFF"/>
        </w:rPr>
        <w:t>World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5A2307E3"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Milesi-Ferretti, Gian</w:t>
      </w:r>
      <w:r w:rsidR="003B6302">
        <w:rPr>
          <w:rFonts w:cs="Arial"/>
          <w:color w:val="222222"/>
          <w:sz w:val="18"/>
          <w:szCs w:val="18"/>
          <w:shd w:val="clear" w:color="auto" w:fill="FFFFFF"/>
        </w:rPr>
        <w:t>-Maria, and Cédric Tille, 2011,</w:t>
      </w:r>
      <w:r w:rsidRPr="00C33D23">
        <w:rPr>
          <w:rFonts w:cs="Arial"/>
          <w:color w:val="222222"/>
          <w:sz w:val="18"/>
          <w:szCs w:val="18"/>
          <w:shd w:val="clear" w:color="auto" w:fill="FFFFFF"/>
        </w:rPr>
        <w:t xml:space="preserve">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2678FFE5" w:rsidR="0026584A" w:rsidRDefault="003500D5" w:rsidP="003500D5">
      <w:pPr>
        <w:spacing w:line="240" w:lineRule="auto"/>
        <w:rPr>
          <w:rFonts w:cs="Tahoma"/>
          <w:color w:val="000000" w:themeColor="text1"/>
          <w:sz w:val="18"/>
          <w:szCs w:val="18"/>
        </w:rPr>
      </w:pPr>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 “World Asset Markets and the Global Financial Cycle</w:t>
      </w:r>
      <w:r w:rsidRPr="00FE6187">
        <w:rPr>
          <w:rFonts w:cs="Arial"/>
          <w:i/>
          <w:iCs/>
          <w:color w:val="000000" w:themeColor="text1"/>
          <w:sz w:val="18"/>
          <w:szCs w:val="18"/>
        </w:rPr>
        <w:t xml:space="preserve">.” </w:t>
      </w:r>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
    <w:p w14:paraId="7704F4C6" w14:textId="5C08F89D" w:rsidR="008138FE" w:rsidRPr="008138FE" w:rsidRDefault="008138FE" w:rsidP="003500D5">
      <w:pPr>
        <w:spacing w:line="240" w:lineRule="auto"/>
        <w:rPr>
          <w:rFonts w:cstheme="minorHAnsi"/>
          <w:iCs/>
          <w:color w:val="000000" w:themeColor="text1"/>
          <w:sz w:val="18"/>
          <w:szCs w:val="18"/>
        </w:rPr>
      </w:pPr>
      <w:r w:rsidRPr="008138FE">
        <w:rPr>
          <w:rFonts w:cstheme="minorHAnsi"/>
          <w:sz w:val="18"/>
          <w:szCs w:val="18"/>
        </w:rPr>
        <w:t>Mohanty, MS</w:t>
      </w:r>
      <w:r>
        <w:rPr>
          <w:rFonts w:cstheme="minorHAnsi"/>
          <w:sz w:val="18"/>
          <w:szCs w:val="18"/>
        </w:rPr>
        <w:t>,</w:t>
      </w:r>
      <w:r w:rsidRPr="008138FE">
        <w:rPr>
          <w:rFonts w:cstheme="minorHAnsi"/>
          <w:sz w:val="18"/>
          <w:szCs w:val="18"/>
        </w:rPr>
        <w:t xml:space="preserve"> 201</w:t>
      </w:r>
      <w:r>
        <w:rPr>
          <w:rFonts w:cstheme="minorHAnsi"/>
          <w:sz w:val="18"/>
          <w:szCs w:val="18"/>
        </w:rPr>
        <w:t>3</w:t>
      </w:r>
      <w:r w:rsidRPr="008138FE">
        <w:rPr>
          <w:rFonts w:cstheme="minorHAnsi"/>
          <w:sz w:val="18"/>
          <w:szCs w:val="18"/>
        </w:rPr>
        <w:t>, “Market volatility and foreign exchange intervention in EMEs: what has changed? An overview,” in BIS papers</w:t>
      </w:r>
      <w:r w:rsidRPr="008138FE">
        <w:rPr>
          <w:rFonts w:cstheme="minorHAnsi"/>
          <w:color w:val="000000"/>
          <w:sz w:val="18"/>
          <w:szCs w:val="18"/>
          <w:shd w:val="clear" w:color="auto" w:fill="FFFFFF"/>
        </w:rPr>
        <w:t xml:space="preserve"> vol. 73, </w:t>
      </w:r>
      <w:r w:rsidRPr="008138FE">
        <w:rPr>
          <w:rFonts w:cstheme="minorHAnsi"/>
          <w:sz w:val="18"/>
          <w:szCs w:val="18"/>
        </w:rPr>
        <w:t>(Bank for International Settlements: Basel)</w:t>
      </w:r>
      <w:r>
        <w:rPr>
          <w:rFonts w:cstheme="minorHAnsi"/>
          <w:sz w:val="18"/>
          <w:szCs w:val="18"/>
        </w:rPr>
        <w:t>,</w:t>
      </w:r>
      <w:r w:rsidRPr="008138FE">
        <w:rPr>
          <w:rFonts w:cstheme="minorHAnsi"/>
          <w:color w:val="000000"/>
          <w:sz w:val="18"/>
          <w:szCs w:val="18"/>
          <w:shd w:val="clear" w:color="auto" w:fill="FFFFFF"/>
        </w:rPr>
        <w:t xml:space="preserve"> </w:t>
      </w:r>
      <w:r>
        <w:rPr>
          <w:rFonts w:cstheme="minorHAnsi"/>
          <w:color w:val="000000"/>
          <w:sz w:val="18"/>
          <w:szCs w:val="18"/>
          <w:shd w:val="clear" w:color="auto" w:fill="FFFFFF"/>
        </w:rPr>
        <w:t>pp 01-10</w:t>
      </w:r>
      <w:r w:rsidRPr="008138FE">
        <w:rPr>
          <w:rFonts w:cstheme="minorHAnsi"/>
          <w:sz w:val="18"/>
          <w:szCs w:val="18"/>
        </w:rPr>
        <w:t xml:space="preserve">. </w:t>
      </w:r>
    </w:p>
    <w:p w14:paraId="7B9F261C" w14:textId="77777777" w:rsidR="00864E22" w:rsidRPr="00FE6187" w:rsidRDefault="00D132A1" w:rsidP="005E2990">
      <w:pPr>
        <w:rPr>
          <w:sz w:val="18"/>
          <w:szCs w:val="18"/>
        </w:rPr>
      </w:pPr>
      <w:r w:rsidRPr="00FE6187">
        <w:rPr>
          <w:sz w:val="18"/>
          <w:szCs w:val="18"/>
        </w:rPr>
        <w:t xml:space="preserve">Mussa, Michael. 1981. </w:t>
      </w:r>
      <w:r w:rsidRPr="00FE6187">
        <w:rPr>
          <w:i/>
          <w:sz w:val="18"/>
          <w:szCs w:val="18"/>
        </w:rPr>
        <w:t>The Role of Official Intervention.</w:t>
      </w:r>
      <w:r w:rsidRPr="00FE6187">
        <w:rPr>
          <w:sz w:val="18"/>
          <w:szCs w:val="18"/>
        </w:rPr>
        <w:t xml:space="preserve"> Group of Thirty Occasional Paper No. 6.</w:t>
      </w:r>
    </w:p>
    <w:p w14:paraId="2385F703" w14:textId="77777777" w:rsidR="00864E22" w:rsidRPr="00FE6187" w:rsidRDefault="00864E22" w:rsidP="00864E22">
      <w:pPr>
        <w:spacing w:line="240" w:lineRule="auto"/>
        <w:jc w:val="both"/>
        <w:rPr>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r w:rsidRPr="00FE6187">
        <w:rPr>
          <w:sz w:val="18"/>
          <w:szCs w:val="18"/>
        </w:rPr>
        <w:t xml:space="preserve">Obstfeld, Maurice, and Kenneth Rogoff. 1995. “The Mirage of Fixed Exchange Rates.”  </w:t>
      </w:r>
      <w:r w:rsidRPr="00FE6187">
        <w:rPr>
          <w:i/>
          <w:sz w:val="18"/>
          <w:szCs w:val="18"/>
        </w:rPr>
        <w:t>Journal of Economic Perspectives</w:t>
      </w:r>
      <w:r w:rsidRPr="00FE6187">
        <w:rPr>
          <w:sz w:val="18"/>
          <w:szCs w:val="18"/>
        </w:rPr>
        <w:t xml:space="preserve"> 9, no.4 (Fall):73-96.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Saravia and Jaume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r w:rsidRPr="00FE6187">
        <w:rPr>
          <w:rFonts w:cs="Arial"/>
          <w:color w:val="222222"/>
          <w:sz w:val="18"/>
          <w:szCs w:val="18"/>
          <w:shd w:val="clear" w:color="auto" w:fill="FFFFFF"/>
        </w:rPr>
        <w:t>Obstfeld, Maurice, Jay Shambaugh, and Alan M. Taylor.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3848EF7E" w14:textId="28E3CBC2" w:rsidR="004647FA" w:rsidRPr="003C6F5B" w:rsidRDefault="002922E6" w:rsidP="003C6F5B">
      <w:pPr>
        <w:spacing w:line="240" w:lineRule="auto"/>
        <w:rPr>
          <w:rFonts w:eastAsia="MS Mincho"/>
          <w:color w:val="000000"/>
          <w:sz w:val="18"/>
          <w:szCs w:val="18"/>
          <w:lang w:eastAsia="ja-JP"/>
        </w:rPr>
      </w:pPr>
      <w:r w:rsidRPr="002922E6">
        <w:rPr>
          <w:rFonts w:eastAsia="MS Mincho"/>
          <w:color w:val="000000"/>
          <w:sz w:val="18"/>
          <w:szCs w:val="18"/>
          <w:lang w:eastAsia="ja-JP"/>
        </w:rPr>
        <w:t xml:space="preserve">Ogawa, Eiji.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168C4D1" w14:textId="730ABA79" w:rsidR="004647FA" w:rsidRPr="008A2E06" w:rsidRDefault="003C6F5B" w:rsidP="008A2E06">
      <w:pPr>
        <w:pStyle w:val="NormalWeb"/>
        <w:shd w:val="clear" w:color="auto" w:fill="FFFFFF"/>
        <w:spacing w:before="0" w:beforeAutospacing="0" w:after="0" w:afterAutospacing="0"/>
        <w:rPr>
          <w:rFonts w:ascii="Verdana" w:hAnsi="Verdana"/>
          <w:color w:val="505050"/>
        </w:rPr>
      </w:pPr>
      <w:r w:rsidRPr="008A2E06">
        <w:rPr>
          <w:rFonts w:asciiTheme="minorHAnsi" w:hAnsiTheme="minorHAnsi" w:cstheme="minorHAnsi"/>
          <w:color w:val="505050"/>
          <w:sz w:val="18"/>
          <w:szCs w:val="18"/>
        </w:rPr>
        <w:t>Os</w:t>
      </w:r>
      <w:r w:rsidR="004647FA" w:rsidRPr="008A2E06">
        <w:rPr>
          <w:rFonts w:asciiTheme="minorHAnsi" w:hAnsiTheme="minorHAnsi" w:cstheme="minorHAnsi"/>
          <w:color w:val="505050"/>
          <w:sz w:val="18"/>
          <w:szCs w:val="18"/>
        </w:rPr>
        <w:t>try,  Jonathan, 2016, “Managing the Exchange Rate in the Face of Volatile Capital Flows,” pp. 129-147 in </w:t>
      </w:r>
      <w:r w:rsidR="004647FA" w:rsidRPr="008A2E06">
        <w:rPr>
          <w:rFonts w:asciiTheme="minorHAnsi" w:hAnsiTheme="minorHAnsi" w:cstheme="minorHAnsi"/>
          <w:i/>
          <w:iCs/>
          <w:color w:val="505050"/>
          <w:sz w:val="18"/>
          <w:szCs w:val="18"/>
        </w:rPr>
        <w:t>Contemporary Issues in Macroeconomics: Lessons from the Crisis and Beyond</w:t>
      </w:r>
      <w:r w:rsidR="004647FA" w:rsidRPr="008A2E06">
        <w:rPr>
          <w:rFonts w:asciiTheme="minorHAnsi" w:hAnsiTheme="minorHAnsi" w:cstheme="minorHAnsi"/>
          <w:color w:val="505050"/>
          <w:sz w:val="18"/>
          <w:szCs w:val="18"/>
        </w:rPr>
        <w:t>, edited by Joseph E. Stiglitz and Martin Guzman (Palgrave MacMillan</w:t>
      </w:r>
      <w:r w:rsidRPr="008A2E06">
        <w:rPr>
          <w:rFonts w:asciiTheme="minorHAnsi" w:hAnsiTheme="minorHAnsi" w:cstheme="minorHAnsi"/>
          <w:color w:val="505050"/>
          <w:sz w:val="18"/>
          <w:szCs w:val="18"/>
        </w:rPr>
        <w:t>).</w:t>
      </w:r>
      <w:r w:rsidR="008A2E06">
        <w:rPr>
          <w:rFonts w:ascii="Verdana" w:hAnsi="Verdana"/>
          <w:color w:val="505050"/>
          <w:sz w:val="18"/>
          <w:szCs w:val="18"/>
        </w:rPr>
        <w:br/>
      </w:r>
      <w:r w:rsidR="004647FA">
        <w:rPr>
          <w:rFonts w:cs="Arial"/>
          <w:color w:val="000000" w:themeColor="text1"/>
          <w:sz w:val="18"/>
          <w:szCs w:val="18"/>
          <w:shd w:val="clear" w:color="auto" w:fill="FFFFFF"/>
        </w:rPr>
        <w:t>.</w:t>
      </w:r>
    </w:p>
    <w:p w14:paraId="00DA367C" w14:textId="77777777"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 xml:space="preserve"> 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7EDD8EF6" w14:textId="77777777" w:rsidR="005D3E9A" w:rsidRDefault="003C1F4F" w:rsidP="005228E0">
      <w:pPr>
        <w:spacing w:after="0" w:line="240" w:lineRule="auto"/>
        <w:jc w:val="both"/>
        <w:rPr>
          <w:sz w:val="18"/>
          <w:szCs w:val="18"/>
        </w:rPr>
      </w:pPr>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p>
    <w:p w14:paraId="4E68DD28" w14:textId="2830A270" w:rsidR="005228E0" w:rsidRPr="00FE6187" w:rsidRDefault="005228E0" w:rsidP="005228E0">
      <w:pPr>
        <w:spacing w:after="0" w:line="240" w:lineRule="auto"/>
        <w:jc w:val="both"/>
        <w:rPr>
          <w:sz w:val="18"/>
          <w:szCs w:val="18"/>
        </w:rPr>
      </w:pP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C.Pissarides,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46FD22AC"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in </w:t>
      </w:r>
      <w:r w:rsidR="004B7131" w:rsidRPr="008A2E06">
        <w:rPr>
          <w:rFonts w:cstheme="minorHAnsi"/>
          <w:i/>
          <w:iCs/>
          <w:color w:val="222222"/>
          <w:sz w:val="18"/>
          <w:szCs w:val="18"/>
          <w:shd w:val="clear" w:color="auto" w:fill="FFFFFF"/>
        </w:rPr>
        <w:t>Jackson Hole Economic Symposium 2013</w:t>
      </w:r>
      <w:r w:rsidR="004B7131" w:rsidRPr="008A2E06">
        <w:rPr>
          <w:rFonts w:cstheme="minorHAnsi"/>
          <w:color w:val="222222"/>
          <w:sz w:val="18"/>
          <w:szCs w:val="18"/>
          <w:shd w:val="clear" w:color="auto" w:fill="FFFFFF"/>
        </w:rPr>
        <w:t xml:space="preserve"> (Federal Reserve Bank of Kansas City).  </w:t>
      </w:r>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r>
        <w:rPr>
          <w:rFonts w:cs="Arial"/>
          <w:color w:val="222222"/>
          <w:sz w:val="18"/>
          <w:szCs w:val="18"/>
          <w:shd w:val="clear" w:color="auto" w:fill="FFFFFF"/>
        </w:rPr>
        <w:t xml:space="preserve">20.3 ,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28C37734"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F06469">
        <w:rPr>
          <w:rFonts w:asciiTheme="minorHAnsi" w:hAnsi="Calibri"/>
          <w:color w:val="000000" w:themeColor="text1"/>
          <w:kern w:val="24"/>
          <w:sz w:val="18"/>
          <w:szCs w:val="18"/>
        </w:rPr>
        <w:t xml:space="preserve"> </w:t>
      </w:r>
      <w:r w:rsidR="00F06469" w:rsidRPr="00F06469">
        <w:rPr>
          <w:rFonts w:asciiTheme="minorHAnsi" w:hAnsi="Calibri"/>
          <w:i/>
          <w:color w:val="000000" w:themeColor="text1"/>
          <w:kern w:val="24"/>
          <w:sz w:val="18"/>
          <w:szCs w:val="18"/>
        </w:rPr>
        <w:t>J</w:t>
      </w:r>
      <w:r w:rsidR="00F06469">
        <w:rPr>
          <w:rFonts w:asciiTheme="minorHAnsi" w:hAnsi="Calibri"/>
          <w:i/>
          <w:iCs/>
          <w:color w:val="000000" w:themeColor="text1"/>
          <w:kern w:val="24"/>
          <w:sz w:val="18"/>
          <w:szCs w:val="18"/>
        </w:rPr>
        <w:t>ournal of Economicc</w:t>
      </w:r>
      <w:r w:rsidR="00A32F4B" w:rsidRPr="00FE6187">
        <w:rPr>
          <w:rFonts w:asciiTheme="minorHAnsi" w:hAnsi="Calibri"/>
          <w:i/>
          <w:iCs/>
          <w:color w:val="000000" w:themeColor="text1"/>
          <w:kern w:val="24"/>
          <w:sz w:val="18"/>
          <w:szCs w:val="18"/>
        </w:rPr>
        <w:t xml:space="preserve">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4768C45A"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w:t>
      </w:r>
      <w:r w:rsidR="00566A0B">
        <w:rPr>
          <w:sz w:val="18"/>
          <w:szCs w:val="18"/>
        </w:rPr>
        <w:t>)</w:t>
      </w:r>
      <w:r w:rsidRPr="00FE6187">
        <w:rPr>
          <w:sz w:val="18"/>
          <w:szCs w:val="18"/>
        </w:rPr>
        <w:t xml:space="preserve">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r w:rsidRPr="00FE6187">
        <w:rPr>
          <w:sz w:val="18"/>
          <w:szCs w:val="18"/>
        </w:rPr>
        <w:t>Summers, Lawrence.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r w:rsidRPr="00FE6187">
        <w:rPr>
          <w:sz w:val="18"/>
          <w:szCs w:val="18"/>
        </w:rPr>
        <w:t>Tavlas, George, Dellas, Harris, and Stockman, Alan, 2008. "</w:t>
      </w:r>
      <w:hyperlink r:id="rId19" w:history="1">
        <w:r w:rsidRPr="00FE6187">
          <w:rPr>
            <w:sz w:val="18"/>
            <w:szCs w:val="18"/>
          </w:rPr>
          <w:t>The Classification and Performance of Alternative Exchange-Rate Systems</w:t>
        </w:r>
      </w:hyperlink>
      <w:r w:rsidRPr="00FE6187">
        <w:rPr>
          <w:sz w:val="18"/>
          <w:szCs w:val="18"/>
        </w:rPr>
        <w:t xml:space="preserve">," </w:t>
      </w:r>
      <w:hyperlink r:id="rId20"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r w:rsidRPr="00FE6187">
        <w:rPr>
          <w:sz w:val="18"/>
          <w:szCs w:val="18"/>
        </w:rPr>
        <w:t xml:space="preserve">Truman </w:t>
      </w:r>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3D0A87BB"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w:t>
      </w:r>
      <w:r w:rsidR="00566A0B">
        <w:rPr>
          <w:sz w:val="18"/>
          <w:szCs w:val="18"/>
        </w:rPr>
        <w:t xml:space="preserve"> (</w:t>
      </w:r>
      <w:r w:rsidRPr="00FE6187">
        <w:rPr>
          <w:sz w:val="18"/>
          <w:szCs w:val="18"/>
        </w:rPr>
        <w:t>Sydney: Reserve Bank of Australia</w:t>
      </w:r>
      <w:r w:rsidR="00566A0B">
        <w:rPr>
          <w:sz w:val="18"/>
          <w:szCs w:val="18"/>
        </w:rPr>
        <w:t>)</w:t>
      </w:r>
      <w:r w:rsidRPr="00FE6187">
        <w:rPr>
          <w:sz w:val="18"/>
          <w:szCs w:val="18"/>
        </w:rPr>
        <w:t>: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lastRenderedPageBreak/>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r>
        <w:rPr>
          <w:b/>
        </w:rPr>
        <w:t xml:space="preserve">Appendix Table 1.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r w:rsidRPr="00CA168C">
              <w:t>Jpn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t>Appendix Table 2</w:t>
      </w:r>
      <w:r w:rsidRPr="00CA168C">
        <w:rPr>
          <w:b/>
        </w:rPr>
        <w:t>.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r w:rsidRPr="00CA168C">
              <w:t>Jpn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25pt" o:ole="">
            <v:imagedata r:id="rId21" o:title=""/>
          </v:shape>
          <o:OLEObject Type="Embed" ProgID="Equation.3" ShapeID="_x0000_i1025" DrawAspect="Content" ObjectID="_1608043883" r:id="rId22"/>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p&lt;0.1</w:t>
      </w:r>
      <w:r>
        <w:t xml:space="preserve">  (</w:t>
      </w:r>
      <w:r w:rsidRPr="00CA168C">
        <w:t>Robust</w:t>
      </w:r>
      <w:r>
        <w:t xml:space="preserve"> standard errors in parentheses.)</w:t>
      </w:r>
    </w:p>
    <w:p w14:paraId="287F1535" w14:textId="04A2C6C8" w:rsidR="006B2ED6" w:rsidRDefault="006B2ED6" w:rsidP="006B2ED6">
      <w:pPr>
        <w:rPr>
          <w:sz w:val="18"/>
          <w:szCs w:val="18"/>
        </w:rPr>
      </w:pPr>
      <w:r>
        <w:rPr>
          <w:sz w:val="2"/>
          <w:szCs w:val="2"/>
        </w:rPr>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3"/>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lastRenderedPageBreak/>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Among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5B06B" w14:textId="77777777" w:rsidR="006833FA" w:rsidRDefault="006833FA" w:rsidP="004876A6">
      <w:pPr>
        <w:spacing w:after="0" w:line="240" w:lineRule="auto"/>
      </w:pPr>
      <w:r>
        <w:separator/>
      </w:r>
    </w:p>
  </w:endnote>
  <w:endnote w:type="continuationSeparator" w:id="0">
    <w:p w14:paraId="54E89EF1" w14:textId="77777777" w:rsidR="006833FA" w:rsidRDefault="006833FA"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073039"/>
      <w:docPartObj>
        <w:docPartGallery w:val="Page Numbers (Bottom of Page)"/>
        <w:docPartUnique/>
      </w:docPartObj>
    </w:sdtPr>
    <w:sdtEndPr>
      <w:rPr>
        <w:noProof/>
      </w:rPr>
    </w:sdtEndPr>
    <w:sdtContent>
      <w:p w14:paraId="1B0D3F5A" w14:textId="390E6C95" w:rsidR="004913BF" w:rsidRDefault="004913BF">
        <w:pPr>
          <w:pStyle w:val="Footer"/>
          <w:jc w:val="right"/>
        </w:pPr>
        <w:r>
          <w:fldChar w:fldCharType="begin"/>
        </w:r>
        <w:r>
          <w:instrText xml:space="preserve"> PAGE   \* MERGEFORMAT </w:instrText>
        </w:r>
        <w:r>
          <w:fldChar w:fldCharType="separate"/>
        </w:r>
        <w:r w:rsidR="001B2A92">
          <w:rPr>
            <w:noProof/>
          </w:rPr>
          <w:t>4</w:t>
        </w:r>
        <w:r>
          <w:rPr>
            <w:noProof/>
          </w:rPr>
          <w:fldChar w:fldCharType="end"/>
        </w:r>
      </w:p>
    </w:sdtContent>
  </w:sdt>
  <w:p w14:paraId="66442B5F" w14:textId="77777777" w:rsidR="004913BF" w:rsidRDefault="00491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FC38B" w14:textId="77777777" w:rsidR="006833FA" w:rsidRDefault="006833FA" w:rsidP="004876A6">
      <w:pPr>
        <w:spacing w:after="0" w:line="240" w:lineRule="auto"/>
      </w:pPr>
      <w:r>
        <w:separator/>
      </w:r>
    </w:p>
  </w:footnote>
  <w:footnote w:type="continuationSeparator" w:id="0">
    <w:p w14:paraId="3600BF73" w14:textId="77777777" w:rsidR="006833FA" w:rsidRDefault="006833FA" w:rsidP="004876A6">
      <w:pPr>
        <w:spacing w:after="0" w:line="240" w:lineRule="auto"/>
      </w:pPr>
      <w:r>
        <w:continuationSeparator/>
      </w:r>
    </w:p>
  </w:footnote>
  <w:footnote w:id="1">
    <w:p w14:paraId="0B092CF5" w14:textId="57021D38" w:rsidR="004913BF" w:rsidRDefault="004913BF" w:rsidP="001C3BD5">
      <w:pPr>
        <w:pStyle w:val="FootnoteText"/>
      </w:pPr>
      <w:r>
        <w:rPr>
          <w:rStyle w:val="FootnoteReference"/>
        </w:rPr>
        <w:footnoteRef/>
      </w:r>
      <w:r>
        <w:t xml:space="preserve"> E.g., for Asia: Williamson (2001), Ito (2001), and Frankel (2003).</w:t>
      </w:r>
    </w:p>
  </w:footnote>
  <w:footnote w:id="2">
    <w:p w14:paraId="7A0E65CD" w14:textId="6DEB055F" w:rsidR="004913BF" w:rsidRDefault="004913BF">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2850FBD" w:rsidR="004913BF" w:rsidRDefault="004913BF" w:rsidP="00370A0F">
      <w:pPr>
        <w:pStyle w:val="FootnoteText"/>
      </w:pPr>
      <w:r w:rsidRPr="00041FDE">
        <w:rPr>
          <w:rStyle w:val="FootnoteReference"/>
          <w:sz w:val="24"/>
          <w:szCs w:val="24"/>
        </w:rPr>
        <w:footnoteRef/>
      </w:r>
      <w:r w:rsidRPr="00041FDE">
        <w:rPr>
          <w:sz w:val="24"/>
          <w:szCs w:val="24"/>
        </w:rPr>
        <w:t xml:space="preserve"> 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w:t>
      </w:r>
    </w:p>
  </w:footnote>
  <w:footnote w:id="4">
    <w:p w14:paraId="49171982" w14:textId="6A94B850" w:rsidR="004913BF" w:rsidRPr="00B14318" w:rsidRDefault="004913BF">
      <w:pPr>
        <w:pStyle w:val="FootnoteText"/>
        <w:rPr>
          <w:sz w:val="24"/>
          <w:szCs w:val="24"/>
        </w:rPr>
      </w:pPr>
      <w:r w:rsidRPr="00B14318">
        <w:rPr>
          <w:rStyle w:val="FootnoteReference"/>
          <w:sz w:val="24"/>
          <w:szCs w:val="24"/>
        </w:rPr>
        <w:footnoteRef/>
      </w:r>
      <w:r w:rsidRPr="00B14318">
        <w:rPr>
          <w:sz w:val="24"/>
          <w:szCs w:val="24"/>
        </w:rPr>
        <w:t xml:space="preserve"> </w:t>
      </w:r>
      <w:r>
        <w:rPr>
          <w:rFonts w:cs="Arial"/>
          <w:color w:val="222222"/>
          <w:sz w:val="24"/>
          <w:szCs w:val="24"/>
          <w:shd w:val="clear" w:color="auto" w:fill="FFFFFF"/>
        </w:rPr>
        <w:t xml:space="preserve">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5">
    <w:p w14:paraId="163A620D" w14:textId="2AC8DE55" w:rsidR="004913BF" w:rsidRPr="00EC2DA8" w:rsidRDefault="004913BF">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(Klein and Shambaugh, 2015.)</w:t>
      </w:r>
    </w:p>
  </w:footnote>
  <w:footnote w:id="6">
    <w:p w14:paraId="58D04DAF" w14:textId="77777777" w:rsidR="004913BF" w:rsidRPr="009E235D" w:rsidRDefault="004913BF" w:rsidP="00011F62">
      <w:pPr>
        <w:pStyle w:val="FootnoteText"/>
        <w:rPr>
          <w:sz w:val="24"/>
          <w:szCs w:val="24"/>
        </w:rPr>
      </w:pPr>
      <w:r w:rsidRPr="009E235D">
        <w:rPr>
          <w:rStyle w:val="FootnoteReference"/>
          <w:sz w:val="24"/>
          <w:szCs w:val="24"/>
        </w:rPr>
        <w:footnoteRef/>
      </w:r>
      <w:r w:rsidRPr="009E235D">
        <w:rPr>
          <w:sz w:val="24"/>
          <w:szCs w:val="24"/>
        </w:rPr>
        <w:t xml:space="preserve"> 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Pr="009E235D">
        <w:rPr>
          <w:sz w:val="24"/>
          <w:szCs w:val="24"/>
        </w:rPr>
        <w:t>Edwards (2015).</w:t>
      </w:r>
    </w:p>
  </w:footnote>
  <w:footnote w:id="7">
    <w:p w14:paraId="4A411EEC" w14:textId="27DD257C" w:rsidR="004913BF" w:rsidRPr="00370A0F" w:rsidRDefault="004913BF" w:rsidP="00370A0F">
      <w:pPr>
        <w:spacing w:after="0"/>
        <w:rPr>
          <w:sz w:val="24"/>
          <w:szCs w:val="24"/>
          <w:shd w:val="clear" w:color="auto" w:fill="FFFFFF"/>
        </w:rPr>
      </w:pPr>
      <w:r w:rsidRPr="00370A0F">
        <w:rPr>
          <w:rStyle w:val="FootnoteReference"/>
          <w:sz w:val="24"/>
          <w:szCs w:val="24"/>
        </w:rPr>
        <w:footnoteRef/>
      </w:r>
      <w:r w:rsidRPr="00370A0F">
        <w:rPr>
          <w:sz w:val="24"/>
          <w:szCs w:val="24"/>
        </w:rPr>
        <w:t xml:space="preserve"> </w:t>
      </w:r>
      <w:r>
        <w:rPr>
          <w:sz w:val="24"/>
          <w:szCs w:val="24"/>
        </w:rPr>
        <w:t>The studies i</w:t>
      </w:r>
      <w:r w:rsidRPr="00370A0F">
        <w:rPr>
          <w:sz w:val="24"/>
          <w:szCs w:val="24"/>
        </w:rPr>
        <w:t>nclud</w:t>
      </w:r>
      <w:r>
        <w:rPr>
          <w:sz w:val="24"/>
          <w:szCs w:val="24"/>
        </w:rPr>
        <w:t>e</w:t>
      </w:r>
      <w:r w:rsidRPr="00370A0F">
        <w:rPr>
          <w:sz w:val="24"/>
          <w:szCs w:val="24"/>
        </w:rPr>
        <w:t xml:space="preserve">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r>
        <w:rPr>
          <w:sz w:val="24"/>
          <w:szCs w:val="24"/>
          <w:shd w:val="clear" w:color="auto" w:fill="FFFFFF"/>
        </w:rPr>
        <w:t xml:space="preserve">  Han and Wei (201</w:t>
      </w:r>
      <w:r w:rsidR="00AC6032">
        <w:rPr>
          <w:sz w:val="24"/>
          <w:szCs w:val="24"/>
          <w:shd w:val="clear" w:color="auto" w:fill="FFFFFF"/>
        </w:rPr>
        <w:t>8</w:t>
      </w:r>
      <w:r>
        <w:rPr>
          <w:sz w:val="24"/>
          <w:szCs w:val="24"/>
          <w:shd w:val="clear" w:color="auto" w:fill="FFFFFF"/>
        </w:rPr>
        <w:t>) find that flexible exchange rates offer more autonomy when the center country raises interest rates than when it lowers rates.</w:t>
      </w:r>
    </w:p>
  </w:footnote>
  <w:footnote w:id="8">
    <w:p w14:paraId="3F4C103D" w14:textId="77777777" w:rsidR="004913BF" w:rsidRPr="007555F8" w:rsidRDefault="004913BF">
      <w:pPr>
        <w:pStyle w:val="FootnoteText"/>
        <w:rPr>
          <w:sz w:val="24"/>
          <w:szCs w:val="24"/>
        </w:rPr>
      </w:pPr>
      <w:r w:rsidRPr="007555F8">
        <w:rPr>
          <w:rStyle w:val="FootnoteReference"/>
          <w:sz w:val="24"/>
          <w:szCs w:val="24"/>
        </w:rPr>
        <w:footnoteRef/>
      </w:r>
      <w:r w:rsidRPr="007555F8">
        <w:rPr>
          <w:sz w:val="24"/>
          <w:szCs w:val="24"/>
        </w:rPr>
        <w:t xml:space="preserve"> E.g., Truman (2003).</w:t>
      </w:r>
    </w:p>
  </w:footnote>
  <w:footnote w:id="9">
    <w:p w14:paraId="6417B918" w14:textId="0C5CF5DE" w:rsidR="004913BF" w:rsidRPr="00E324E9" w:rsidRDefault="004913BF"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139C9185" w:rsidR="004913BF" w:rsidRDefault="004913BF" w:rsidP="00370A0F">
      <w:pPr>
        <w:pStyle w:val="FootnoteText"/>
      </w:pPr>
      <w:r>
        <w:rPr>
          <w:rStyle w:val="FootnoteReference"/>
        </w:rPr>
        <w:footnoteRef/>
      </w:r>
      <w:r>
        <w:t xml:space="preserve">  </w:t>
      </w:r>
      <w:r>
        <w:rPr>
          <w:sz w:val="24"/>
          <w:szCs w:val="24"/>
        </w:rPr>
        <w:t xml:space="preserve">The venerable “signaling hypothesis” (Mussa, 1981) may be a red herring.  First, why would a central bank choose such an opaque way of signaling its intentions? Second, what practical difference does it make whether or not sterilized intervention implies that money supplies will change some day, if that day may lie in the distant future? </w:t>
      </w:r>
    </w:p>
  </w:footnote>
  <w:footnote w:id="11">
    <w:p w14:paraId="0E22C2EB" w14:textId="47ED4911" w:rsidR="004913BF" w:rsidRPr="00D05D2E" w:rsidRDefault="004913BF" w:rsidP="00D05D2E">
      <w:pPr>
        <w:pStyle w:val="FootnoteText"/>
        <w:rPr>
          <w:sz w:val="24"/>
          <w:szCs w:val="24"/>
        </w:rPr>
      </w:pPr>
      <w:r w:rsidRPr="00D05D2E">
        <w:rPr>
          <w:rStyle w:val="FootnoteReference"/>
          <w:sz w:val="24"/>
          <w:szCs w:val="24"/>
        </w:rPr>
        <w:footnoteRef/>
      </w:r>
      <w:r w:rsidRPr="00D05D2E">
        <w:rPr>
          <w:sz w:val="24"/>
          <w:szCs w:val="24"/>
        </w:rPr>
        <w:t xml:space="preserve">  </w:t>
      </w:r>
      <w:r w:rsidRPr="00D05D2E">
        <w:rPr>
          <w:rFonts w:cstheme="minorHAnsi"/>
          <w:sz w:val="24"/>
          <w:szCs w:val="24"/>
        </w:rPr>
        <w:t>Avdjiev, Du, Koch, and Shin (2019).</w:t>
      </w:r>
    </w:p>
  </w:footnote>
  <w:footnote w:id="12">
    <w:p w14:paraId="02DDE362" w14:textId="74BA3DA7" w:rsidR="004913BF" w:rsidRPr="00D14019" w:rsidRDefault="004913BF" w:rsidP="00370A0F">
      <w:pPr>
        <w:pStyle w:val="FootnoteText"/>
        <w:rPr>
          <w:sz w:val="24"/>
          <w:szCs w:val="24"/>
        </w:rPr>
      </w:pPr>
      <w:r w:rsidRPr="00D14019">
        <w:rPr>
          <w:rStyle w:val="FootnoteReference"/>
          <w:sz w:val="24"/>
          <w:szCs w:val="24"/>
        </w:rPr>
        <w:footnoteRef/>
      </w:r>
      <w:r w:rsidRPr="00D14019">
        <w:rPr>
          <w:sz w:val="24"/>
          <w:szCs w:val="24"/>
        </w:rPr>
        <w:t xml:space="preserve"> </w:t>
      </w:r>
      <w:r>
        <w:rPr>
          <w:sz w:val="24"/>
          <w:szCs w:val="24"/>
        </w:rPr>
        <w:t xml:space="preserve">At least for the time being. </w:t>
      </w:r>
      <w:r w:rsidRPr="00D14019">
        <w:rPr>
          <w:sz w:val="24"/>
          <w:szCs w:val="24"/>
        </w:rPr>
        <w:t xml:space="preserve">Frankel (2016) </w:t>
      </w:r>
      <w:r>
        <w:rPr>
          <w:sz w:val="24"/>
          <w:szCs w:val="24"/>
        </w:rPr>
        <w:t>report</w:t>
      </w:r>
      <w:r w:rsidRPr="00D14019">
        <w:rPr>
          <w:sz w:val="24"/>
          <w:szCs w:val="24"/>
        </w:rPr>
        <w:t xml:space="preserve">s the G7’s </w:t>
      </w:r>
      <w:r>
        <w:rPr>
          <w:sz w:val="24"/>
          <w:szCs w:val="24"/>
        </w:rPr>
        <w:t xml:space="preserve">post-millennium </w:t>
      </w:r>
      <w:r w:rsidRPr="00D14019">
        <w:rPr>
          <w:sz w:val="24"/>
          <w:szCs w:val="24"/>
        </w:rPr>
        <w:t>renunciation of foreign exchange intervention.</w:t>
      </w:r>
    </w:p>
  </w:footnote>
  <w:footnote w:id="13">
    <w:p w14:paraId="1568D92E" w14:textId="69E1C85C" w:rsidR="004913BF" w:rsidRPr="00765A68" w:rsidRDefault="004913BF"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Levy-</w:t>
      </w:r>
      <w:r>
        <w:rPr>
          <w:sz w:val="24"/>
          <w:szCs w:val="24"/>
        </w:rPr>
        <w:t>Yeyati and Nagengast (201</w:t>
      </w:r>
      <w:r w:rsidR="00CB70FE">
        <w:rPr>
          <w:sz w:val="24"/>
          <w:szCs w:val="24"/>
        </w:rPr>
        <w:t>6</w:t>
      </w:r>
      <w:r>
        <w:rPr>
          <w:sz w:val="24"/>
          <w:szCs w:val="24"/>
        </w:rPr>
        <w:t>),</w:t>
      </w:r>
      <w:r w:rsidRPr="00765A68">
        <w:rPr>
          <w:sz w:val="24"/>
          <w:szCs w:val="24"/>
        </w:rPr>
        <w:t xml:space="preserve"> </w:t>
      </w:r>
      <w:r w:rsidRPr="00765A68">
        <w:rPr>
          <w:rFonts w:cs="Times New Roman"/>
          <w:noProof/>
          <w:color w:val="000000" w:themeColor="text1"/>
          <w:sz w:val="24"/>
          <w:szCs w:val="24"/>
        </w:rPr>
        <w:t>Disyatat and Galati (2007)</w:t>
      </w:r>
      <w:r>
        <w:rPr>
          <w:rFonts w:cs="Times New Roman"/>
          <w:noProof/>
          <w:color w:val="000000" w:themeColor="text1"/>
          <w:sz w:val="24"/>
          <w:szCs w:val="24"/>
        </w:rPr>
        <w:t xml:space="preserve"> and the collection introduced </w:t>
      </w:r>
      <w:r w:rsidRPr="008138FE">
        <w:rPr>
          <w:rFonts w:cs="Times New Roman"/>
          <w:noProof/>
          <w:color w:val="000000" w:themeColor="text1"/>
          <w:sz w:val="24"/>
          <w:szCs w:val="24"/>
        </w:rPr>
        <w:t xml:space="preserve">by </w:t>
      </w:r>
      <w:r w:rsidRPr="008138FE">
        <w:rPr>
          <w:rFonts w:cstheme="minorHAnsi"/>
          <w:sz w:val="24"/>
          <w:szCs w:val="24"/>
        </w:rPr>
        <w:t>Mohanty (2013)</w:t>
      </w:r>
      <w:r w:rsidRPr="008138FE">
        <w:rPr>
          <w:sz w:val="24"/>
          <w:szCs w:val="24"/>
        </w:rPr>
        <w:t>.</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4">
    <w:p w14:paraId="7260847D" w14:textId="77777777" w:rsidR="004913BF" w:rsidRPr="00CE0CA3" w:rsidRDefault="004913BF">
      <w:pPr>
        <w:pStyle w:val="FootnoteText"/>
        <w:rPr>
          <w:sz w:val="24"/>
          <w:szCs w:val="24"/>
        </w:rPr>
      </w:pPr>
      <w:r w:rsidRPr="00CE0CA3">
        <w:rPr>
          <w:rStyle w:val="FootnoteReference"/>
          <w:sz w:val="24"/>
          <w:szCs w:val="24"/>
        </w:rPr>
        <w:footnoteRef/>
      </w:r>
      <w:r w:rsidRPr="00CE0CA3">
        <w:rPr>
          <w:sz w:val="24"/>
          <w:szCs w:val="24"/>
        </w:rPr>
        <w:t xml:space="preserve"> 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
  </w:footnote>
  <w:footnote w:id="15">
    <w:p w14:paraId="7BC7AAE3" w14:textId="77777777" w:rsidR="004913BF" w:rsidRPr="00CE0CA3" w:rsidRDefault="004913BF">
      <w:pPr>
        <w:pStyle w:val="FootnoteText"/>
        <w:rPr>
          <w:sz w:val="24"/>
          <w:szCs w:val="24"/>
        </w:rPr>
      </w:pPr>
      <w:r w:rsidRPr="00CE0CA3">
        <w:rPr>
          <w:rStyle w:val="FootnoteReference"/>
          <w:sz w:val="24"/>
          <w:szCs w:val="24"/>
        </w:rPr>
        <w:footnoteRef/>
      </w:r>
      <w:r w:rsidRPr="00CE0CA3">
        <w:rPr>
          <w:sz w:val="24"/>
          <w:szCs w:val="24"/>
        </w:rPr>
        <w:t xml:space="preserve"> Obstfeld and Rogoff (1995) and Klein and Marion (1997).</w:t>
      </w:r>
    </w:p>
  </w:footnote>
  <w:footnote w:id="16">
    <w:p w14:paraId="35F3D3DB" w14:textId="22D70634" w:rsidR="004913BF" w:rsidRDefault="004913BF">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and Reinhart (2000).</w:t>
      </w:r>
    </w:p>
  </w:footnote>
  <w:footnote w:id="17">
    <w:p w14:paraId="6613491B" w14:textId="77777777" w:rsidR="004913BF" w:rsidRPr="00CE0CA3" w:rsidRDefault="004913BF">
      <w:pPr>
        <w:pStyle w:val="FootnoteText"/>
        <w:rPr>
          <w:sz w:val="24"/>
          <w:szCs w:val="24"/>
        </w:rPr>
      </w:pPr>
      <w:r w:rsidRPr="00CE0CA3">
        <w:rPr>
          <w:rStyle w:val="FootnoteReference"/>
          <w:sz w:val="24"/>
          <w:szCs w:val="24"/>
        </w:rPr>
        <w:footnoteRef/>
      </w:r>
      <w:r w:rsidRPr="00CE0CA3">
        <w:rPr>
          <w:sz w:val="24"/>
          <w:szCs w:val="24"/>
        </w:rPr>
        <w:t xml:space="preserve"> E.g., </w:t>
      </w:r>
      <w:r w:rsidRPr="00CE0CA3">
        <w:rPr>
          <w:rFonts w:cs="Arial"/>
          <w:color w:val="222222"/>
          <w:sz w:val="24"/>
          <w:szCs w:val="24"/>
          <w:shd w:val="clear" w:color="auto" w:fill="FFFFFF"/>
        </w:rPr>
        <w:t>Frankel, Fajnzylber, Schmukler and Servén (2001).</w:t>
      </w:r>
    </w:p>
  </w:footnote>
  <w:footnote w:id="18">
    <w:p w14:paraId="0CE874C4" w14:textId="03B5FFDC" w:rsidR="004913BF" w:rsidRPr="00CE0CA3" w:rsidRDefault="004913BF"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of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9">
    <w:p w14:paraId="4CD44284" w14:textId="77777777" w:rsidR="004913BF" w:rsidRDefault="004913BF" w:rsidP="00381AA5">
      <w:pPr>
        <w:pStyle w:val="FootnoteText"/>
      </w:pPr>
      <w:r>
        <w:rPr>
          <w:rStyle w:val="FootnoteReference"/>
        </w:rPr>
        <w:footnoteRef/>
      </w:r>
      <w:r>
        <w:t xml:space="preserve">  </w:t>
      </w:r>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
  </w:footnote>
  <w:footnote w:id="20">
    <w:p w14:paraId="0608AE74" w14:textId="4215A284" w:rsidR="004913BF" w:rsidRPr="00DF4324" w:rsidRDefault="004913BF">
      <w:pPr>
        <w:pStyle w:val="FootnoteText"/>
        <w:rPr>
          <w:sz w:val="24"/>
          <w:szCs w:val="24"/>
        </w:rPr>
      </w:pPr>
      <w:r w:rsidRPr="00DF4324">
        <w:rPr>
          <w:rStyle w:val="FootnoteReference"/>
          <w:sz w:val="24"/>
          <w:szCs w:val="24"/>
        </w:rPr>
        <w:footnoteRef/>
      </w:r>
      <w:r>
        <w:rPr>
          <w:sz w:val="24"/>
          <w:szCs w:val="24"/>
        </w:rPr>
        <w:t xml:space="preserve"> </w:t>
      </w:r>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
  </w:footnote>
  <w:footnote w:id="21">
    <w:p w14:paraId="16194C38" w14:textId="77777777" w:rsidR="004913BF" w:rsidRPr="00BB4707" w:rsidRDefault="004913BF"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2">
    <w:p w14:paraId="638DBD09" w14:textId="4190E3CC" w:rsidR="004913BF" w:rsidRPr="00CE6272" w:rsidRDefault="004913BF"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3">
    <w:p w14:paraId="4F99E10E" w14:textId="77777777" w:rsidR="004913BF" w:rsidRPr="00BE1835" w:rsidRDefault="004913BF">
      <w:pPr>
        <w:pStyle w:val="FootnoteText"/>
        <w:rPr>
          <w:sz w:val="24"/>
          <w:szCs w:val="24"/>
        </w:rPr>
      </w:pPr>
      <w:r>
        <w:rPr>
          <w:rStyle w:val="FootnoteReference"/>
        </w:rPr>
        <w:footnoteRef/>
      </w:r>
      <w:r>
        <w:t xml:space="preserve"> </w:t>
      </w:r>
      <w:r w:rsidRPr="00CE0CA3">
        <w:rPr>
          <w:sz w:val="24"/>
          <w:szCs w:val="24"/>
        </w:rPr>
        <w:t>Tavl</w:t>
      </w:r>
      <w:r>
        <w:rPr>
          <w:sz w:val="24"/>
          <w:szCs w:val="24"/>
        </w:rPr>
        <w:t>as, Dellas and Stockman (2008).</w:t>
      </w:r>
    </w:p>
  </w:footnote>
  <w:footnote w:id="24">
    <w:p w14:paraId="5D5BA74F" w14:textId="77777777" w:rsidR="004913BF" w:rsidRDefault="004913BF">
      <w:pPr>
        <w:pStyle w:val="FootnoteText"/>
      </w:pPr>
      <w:r>
        <w:rPr>
          <w:rStyle w:val="FootnoteReference"/>
        </w:rPr>
        <w:footnoteRef/>
      </w:r>
      <w:r>
        <w:t xml:space="preserve"> </w:t>
      </w:r>
      <w:r>
        <w:rPr>
          <w:sz w:val="24"/>
          <w:szCs w:val="24"/>
        </w:rPr>
        <w:t>Shambaugh (2004) and Ilzetzki, Reinhart and Rogoff (2017).</w:t>
      </w:r>
    </w:p>
  </w:footnote>
  <w:footnote w:id="25">
    <w:p w14:paraId="2CE51588" w14:textId="691C7B12" w:rsidR="004913BF" w:rsidRPr="003E0F20" w:rsidRDefault="004913BF"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w:t>
      </w:r>
      <w:r>
        <w:rPr>
          <w:sz w:val="24"/>
          <w:szCs w:val="24"/>
        </w:rPr>
        <w:t xml:space="preserve">of working with first differences </w:t>
      </w:r>
      <w:r w:rsidRPr="003E0F20">
        <w:rPr>
          <w:sz w:val="24"/>
          <w:szCs w:val="24"/>
        </w:rPr>
        <w:t>is that the criterion will not be impaired by a long-term trend in reserves, if the central bank seeks to build them up, nor by a long-term trend in the exchange rate</w:t>
      </w:r>
      <w:r>
        <w:rPr>
          <w:sz w:val="24"/>
          <w:szCs w:val="24"/>
        </w:rPr>
        <w:t xml:space="preserve">. </w:t>
      </w:r>
      <w:r w:rsidRPr="003E0F20">
        <w:rPr>
          <w:sz w:val="24"/>
          <w:szCs w:val="24"/>
        </w:rPr>
        <w:t xml:space="preserve"> (</w:t>
      </w:r>
      <w:r>
        <w:rPr>
          <w:sz w:val="24"/>
          <w:szCs w:val="24"/>
        </w:rPr>
        <w:t>Such a trend is to be expected</w:t>
      </w:r>
      <w:r w:rsidRPr="003E0F20">
        <w:rPr>
          <w:sz w:val="24"/>
          <w:szCs w:val="24"/>
        </w:rPr>
        <w:t xml:space="preserve"> under a crawling peg – the “C” in BBC or Band-Basket-Crawl).   </w:t>
      </w:r>
    </w:p>
  </w:footnote>
  <w:footnote w:id="26">
    <w:p w14:paraId="6B77CBE9" w14:textId="0879848F" w:rsidR="004913BF" w:rsidRPr="00E874BF" w:rsidRDefault="004913BF"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7">
    <w:p w14:paraId="5A95D12C" w14:textId="6162D444" w:rsidR="004913BF" w:rsidRPr="00077A79" w:rsidRDefault="004913BF"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and others have normalized </w:t>
      </w:r>
      <w:r w:rsidRPr="009E64EF">
        <w:rPr>
          <w:sz w:val="24"/>
          <w:szCs w:val="24"/>
        </w:rPr>
        <w:t xml:space="preserve">by standard deviations.  </w:t>
      </w:r>
    </w:p>
  </w:footnote>
  <w:footnote w:id="28">
    <w:p w14:paraId="333C35D7" w14:textId="44DB9770" w:rsidR="004913BF" w:rsidRPr="00F85A88" w:rsidRDefault="004913BF"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Thanks to Danxia Xie.</w:t>
      </w:r>
      <w:r>
        <w:rPr>
          <w:rFonts w:cs="Times New Roman"/>
          <w:sz w:val="24"/>
          <w:szCs w:val="24"/>
        </w:rPr>
        <w:t xml:space="preserve">  The methodology is from Frankel and</w:t>
      </w:r>
      <w:r w:rsidRPr="00F85A88">
        <w:rPr>
          <w:rFonts w:cs="Times New Roman"/>
          <w:sz w:val="24"/>
          <w:szCs w:val="24"/>
        </w:rPr>
        <w:t xml:space="preserve"> Wei (2008), but allowing for endogenously estimated structural breaks as in Frankel and Xie (2010). </w:t>
      </w:r>
    </w:p>
    <w:p w14:paraId="0DE49A64" w14:textId="24746CBC" w:rsidR="004913BF" w:rsidRDefault="004913BF">
      <w:pPr>
        <w:pStyle w:val="FootnoteText"/>
      </w:pPr>
    </w:p>
  </w:footnote>
  <w:footnote w:id="29">
    <w:p w14:paraId="408674B4" w14:textId="3AB7E3F0" w:rsidR="004913BF" w:rsidRPr="00EF58E8" w:rsidRDefault="004913BF"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30">
    <w:p w14:paraId="5A148F9D" w14:textId="75D6FB25" w:rsidR="004913BF" w:rsidRPr="00620939" w:rsidRDefault="004913BF"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imperfect goods markets</w:t>
      </w:r>
      <w:r>
        <w:rPr>
          <w:sz w:val="24"/>
          <w:szCs w:val="24"/>
        </w:rPr>
        <w:t>.</w:t>
      </w:r>
    </w:p>
  </w:footnote>
  <w:footnote w:id="31">
    <w:p w14:paraId="61D668EE" w14:textId="7B65A6FA" w:rsidR="004913BF" w:rsidRPr="00025B10" w:rsidRDefault="004913BF"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
  </w:footnote>
  <w:footnote w:id="32">
    <w:p w14:paraId="7984512B" w14:textId="6F86DBF5" w:rsidR="004913BF" w:rsidRDefault="004913BF"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3">
    <w:p w14:paraId="595D314C" w14:textId="77777777" w:rsidR="004913BF" w:rsidRDefault="004913BF" w:rsidP="009B3044">
      <w:pPr>
        <w:spacing w:after="0" w:line="240" w:lineRule="auto"/>
        <w:contextualSpacing/>
      </w:pPr>
      <w:r w:rsidRPr="00C14869">
        <w:rPr>
          <w:rStyle w:val="FootnoteReference"/>
          <w:sz w:val="24"/>
          <w:szCs w:val="24"/>
        </w:rPr>
        <w:footnoteRef/>
      </w:r>
      <w:r w:rsidRPr="00C14869">
        <w:rPr>
          <w:sz w:val="24"/>
          <w:szCs w:val="24"/>
        </w:rPr>
        <w:t xml:space="preserve"> 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
  </w:footnote>
  <w:footnote w:id="34">
    <w:p w14:paraId="67391E27" w14:textId="77777777" w:rsidR="004913BF" w:rsidRPr="00C21FD4" w:rsidRDefault="004913BF"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5">
    <w:p w14:paraId="1546AD70" w14:textId="0B7180E2" w:rsidR="004913BF" w:rsidRPr="00E35D03" w:rsidRDefault="004913BF" w:rsidP="00E35D03">
      <w:pPr>
        <w:rPr>
          <w:b/>
          <w:sz w:val="24"/>
          <w:szCs w:val="24"/>
        </w:rPr>
      </w:pPr>
      <w:r w:rsidRPr="00E35D03">
        <w:rPr>
          <w:rStyle w:val="FootnoteReference"/>
          <w:sz w:val="24"/>
          <w:szCs w:val="24"/>
        </w:rPr>
        <w:footnoteRef/>
      </w:r>
      <w:r w:rsidR="0062154A">
        <w:rPr>
          <w:sz w:val="24"/>
          <w:szCs w:val="24"/>
        </w:rPr>
        <w:t xml:space="preserve"> They include di Giovanni, Kalemli-Ozcan, </w:t>
      </w:r>
      <w:r w:rsidRPr="00E35D03">
        <w:rPr>
          <w:sz w:val="24"/>
          <w:szCs w:val="24"/>
        </w:rPr>
        <w:t>Ulu</w:t>
      </w:r>
      <w:r w:rsidR="0062154A">
        <w:rPr>
          <w:sz w:val="24"/>
          <w:szCs w:val="24"/>
        </w:rPr>
        <w:t>, and Baskaya (2018</w:t>
      </w:r>
      <w:r w:rsidRPr="00E35D03">
        <w:rPr>
          <w:sz w:val="24"/>
          <w:szCs w:val="24"/>
        </w:rPr>
        <w:t>), Cerutti,  Claessens,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6">
    <w:p w14:paraId="53787169" w14:textId="31A5F352" w:rsidR="004913BF" w:rsidRPr="008A2912" w:rsidRDefault="004913BF"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37">
    <w:p w14:paraId="4EA3AD2C" w14:textId="77777777" w:rsidR="004913BF" w:rsidRPr="00084F8B" w:rsidRDefault="004913BF"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regressing the change in the real exchange rate against the change in reserves.</w:t>
      </w:r>
    </w:p>
  </w:footnote>
  <w:footnote w:id="38">
    <w:p w14:paraId="78375DA1" w14:textId="77777777" w:rsidR="004913BF" w:rsidRDefault="004913BF">
      <w:pPr>
        <w:pStyle w:val="FootnoteText"/>
      </w:pPr>
      <w:r w:rsidRPr="001F4964">
        <w:rPr>
          <w:rStyle w:val="FootnoteReference"/>
          <w:sz w:val="24"/>
          <w:szCs w:val="24"/>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39">
    <w:p w14:paraId="7F0FD1DC" w14:textId="77777777" w:rsidR="004913BF" w:rsidRPr="00920DE4" w:rsidRDefault="004913BF"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0">
    <w:p w14:paraId="66377A26" w14:textId="2731B7EA" w:rsidR="004913BF" w:rsidRPr="0024680A" w:rsidRDefault="004913BF" w:rsidP="0024680A">
      <w:pPr>
        <w:spacing w:line="240" w:lineRule="auto"/>
        <w:rPr>
          <w:sz w:val="24"/>
          <w:szCs w:val="24"/>
        </w:rPr>
      </w:pPr>
      <w:r>
        <w:rPr>
          <w:rStyle w:val="FootnoteReference"/>
        </w:rPr>
        <w:footnoteRef/>
      </w:r>
      <w:r>
        <w:t xml:space="preserve"> </w:t>
      </w:r>
      <w:r>
        <w:rPr>
          <w:sz w:val="24"/>
          <w:szCs w:val="24"/>
        </w:rPr>
        <w:t>There is a second possible explanation for anomalous results in the case of Saudi Arabia.  It alone among all the commodity producers is large enough in the world market for its export commodity, oil, that we might want to question the assumption that the world price is exogenous.  But the first reason seems a good enough explanation.</w:t>
      </w:r>
    </w:p>
  </w:footnote>
  <w:footnote w:id="41">
    <w:p w14:paraId="5A2F1381" w14:textId="3A93AF63" w:rsidR="004913BF" w:rsidRDefault="004913BF" w:rsidP="00FE1F7F">
      <w:pPr>
        <w:pStyle w:val="FootnoteText"/>
      </w:pPr>
      <w:r w:rsidRPr="00920DE4">
        <w:rPr>
          <w:rStyle w:val="FootnoteReference"/>
          <w:sz w:val="24"/>
          <w:szCs w:val="24"/>
        </w:rPr>
        <w:footnoteRef/>
      </w:r>
      <w:r w:rsidRPr="00920DE4">
        <w:rPr>
          <w:sz w:val="24"/>
          <w:szCs w:val="24"/>
        </w:rPr>
        <w:t xml:space="preserve"> Frankel (201</w:t>
      </w:r>
      <w:r>
        <w:rPr>
          <w:sz w:val="24"/>
          <w:szCs w:val="24"/>
        </w:rPr>
        <w:t>8</w:t>
      </w:r>
      <w:r w:rsidRPr="00920DE4">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15:restartNumberingAfterBreak="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5B"/>
    <w:rsid w:val="0000044A"/>
    <w:rsid w:val="00001C12"/>
    <w:rsid w:val="00005096"/>
    <w:rsid w:val="000073CF"/>
    <w:rsid w:val="00011F62"/>
    <w:rsid w:val="000131F8"/>
    <w:rsid w:val="00013708"/>
    <w:rsid w:val="00016656"/>
    <w:rsid w:val="0001681A"/>
    <w:rsid w:val="00016D73"/>
    <w:rsid w:val="000225BC"/>
    <w:rsid w:val="000249BD"/>
    <w:rsid w:val="00025B10"/>
    <w:rsid w:val="00033D04"/>
    <w:rsid w:val="0003571A"/>
    <w:rsid w:val="000415B4"/>
    <w:rsid w:val="00041FDE"/>
    <w:rsid w:val="00044D88"/>
    <w:rsid w:val="000452A7"/>
    <w:rsid w:val="00046BE1"/>
    <w:rsid w:val="00047BD7"/>
    <w:rsid w:val="00047EA9"/>
    <w:rsid w:val="00050EC4"/>
    <w:rsid w:val="0005364A"/>
    <w:rsid w:val="00055B38"/>
    <w:rsid w:val="00063594"/>
    <w:rsid w:val="00074534"/>
    <w:rsid w:val="000770A9"/>
    <w:rsid w:val="00077A79"/>
    <w:rsid w:val="00082AC2"/>
    <w:rsid w:val="000830C8"/>
    <w:rsid w:val="00084F8B"/>
    <w:rsid w:val="000878A4"/>
    <w:rsid w:val="00094573"/>
    <w:rsid w:val="0009493B"/>
    <w:rsid w:val="000A7134"/>
    <w:rsid w:val="000B0630"/>
    <w:rsid w:val="000B1894"/>
    <w:rsid w:val="000B49A0"/>
    <w:rsid w:val="000B6266"/>
    <w:rsid w:val="000C0B63"/>
    <w:rsid w:val="000C2901"/>
    <w:rsid w:val="000C2D14"/>
    <w:rsid w:val="000C54FF"/>
    <w:rsid w:val="000D119D"/>
    <w:rsid w:val="000D1EC8"/>
    <w:rsid w:val="000D53F1"/>
    <w:rsid w:val="000D56A9"/>
    <w:rsid w:val="000D69A3"/>
    <w:rsid w:val="000D6F21"/>
    <w:rsid w:val="000D744F"/>
    <w:rsid w:val="000E38EF"/>
    <w:rsid w:val="000E6BE4"/>
    <w:rsid w:val="000E7009"/>
    <w:rsid w:val="000F0666"/>
    <w:rsid w:val="000F317C"/>
    <w:rsid w:val="000F3F8D"/>
    <w:rsid w:val="000F5495"/>
    <w:rsid w:val="000F54D2"/>
    <w:rsid w:val="00103B0B"/>
    <w:rsid w:val="001061A8"/>
    <w:rsid w:val="00111F36"/>
    <w:rsid w:val="00112548"/>
    <w:rsid w:val="0011314E"/>
    <w:rsid w:val="00116AE9"/>
    <w:rsid w:val="001170DE"/>
    <w:rsid w:val="00122D56"/>
    <w:rsid w:val="00135981"/>
    <w:rsid w:val="00137CE2"/>
    <w:rsid w:val="00140584"/>
    <w:rsid w:val="00143C05"/>
    <w:rsid w:val="00143DAF"/>
    <w:rsid w:val="001449A6"/>
    <w:rsid w:val="00150710"/>
    <w:rsid w:val="00155D83"/>
    <w:rsid w:val="0015649F"/>
    <w:rsid w:val="0015797A"/>
    <w:rsid w:val="001612AA"/>
    <w:rsid w:val="0016376E"/>
    <w:rsid w:val="00164689"/>
    <w:rsid w:val="001929C7"/>
    <w:rsid w:val="001938BD"/>
    <w:rsid w:val="00195ACA"/>
    <w:rsid w:val="00197982"/>
    <w:rsid w:val="001A19B4"/>
    <w:rsid w:val="001A1B8E"/>
    <w:rsid w:val="001A23FE"/>
    <w:rsid w:val="001B2A92"/>
    <w:rsid w:val="001B608B"/>
    <w:rsid w:val="001C15A4"/>
    <w:rsid w:val="001C3BD5"/>
    <w:rsid w:val="001D069A"/>
    <w:rsid w:val="001D3D8A"/>
    <w:rsid w:val="001D467D"/>
    <w:rsid w:val="001E555A"/>
    <w:rsid w:val="001F2859"/>
    <w:rsid w:val="001F2CF3"/>
    <w:rsid w:val="001F4964"/>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07FA"/>
    <w:rsid w:val="00251B72"/>
    <w:rsid w:val="002554FC"/>
    <w:rsid w:val="002578B6"/>
    <w:rsid w:val="00261BD5"/>
    <w:rsid w:val="0026584A"/>
    <w:rsid w:val="002659E4"/>
    <w:rsid w:val="00267D0C"/>
    <w:rsid w:val="002766A2"/>
    <w:rsid w:val="00276E7F"/>
    <w:rsid w:val="00292263"/>
    <w:rsid w:val="002922E6"/>
    <w:rsid w:val="00294B05"/>
    <w:rsid w:val="002B016F"/>
    <w:rsid w:val="002B195B"/>
    <w:rsid w:val="002C0AFB"/>
    <w:rsid w:val="002C0EF1"/>
    <w:rsid w:val="002D33F4"/>
    <w:rsid w:val="002D3994"/>
    <w:rsid w:val="002F0B8D"/>
    <w:rsid w:val="002F1382"/>
    <w:rsid w:val="002F3E63"/>
    <w:rsid w:val="002F5845"/>
    <w:rsid w:val="002F782A"/>
    <w:rsid w:val="003017CF"/>
    <w:rsid w:val="00303943"/>
    <w:rsid w:val="00303B30"/>
    <w:rsid w:val="003052B6"/>
    <w:rsid w:val="00305452"/>
    <w:rsid w:val="0032379A"/>
    <w:rsid w:val="00330932"/>
    <w:rsid w:val="00332635"/>
    <w:rsid w:val="00332E8A"/>
    <w:rsid w:val="003353FC"/>
    <w:rsid w:val="003357E6"/>
    <w:rsid w:val="003363A0"/>
    <w:rsid w:val="00346C53"/>
    <w:rsid w:val="003500D5"/>
    <w:rsid w:val="003552B4"/>
    <w:rsid w:val="003656F3"/>
    <w:rsid w:val="00365FD1"/>
    <w:rsid w:val="00367B72"/>
    <w:rsid w:val="00370A0F"/>
    <w:rsid w:val="003726FA"/>
    <w:rsid w:val="00376974"/>
    <w:rsid w:val="00377515"/>
    <w:rsid w:val="00381AA5"/>
    <w:rsid w:val="00381CA0"/>
    <w:rsid w:val="0038217E"/>
    <w:rsid w:val="00384F86"/>
    <w:rsid w:val="00393333"/>
    <w:rsid w:val="00396E98"/>
    <w:rsid w:val="003A1103"/>
    <w:rsid w:val="003A1C70"/>
    <w:rsid w:val="003A40C2"/>
    <w:rsid w:val="003A4D45"/>
    <w:rsid w:val="003B1CC9"/>
    <w:rsid w:val="003B3258"/>
    <w:rsid w:val="003B4C89"/>
    <w:rsid w:val="003B6302"/>
    <w:rsid w:val="003C1F4F"/>
    <w:rsid w:val="003C2706"/>
    <w:rsid w:val="003C63C4"/>
    <w:rsid w:val="003C6F5B"/>
    <w:rsid w:val="003D2564"/>
    <w:rsid w:val="003D561A"/>
    <w:rsid w:val="003D5A10"/>
    <w:rsid w:val="003E0F20"/>
    <w:rsid w:val="003F6D5A"/>
    <w:rsid w:val="003F7077"/>
    <w:rsid w:val="0040551A"/>
    <w:rsid w:val="004102DD"/>
    <w:rsid w:val="0041198F"/>
    <w:rsid w:val="004119F6"/>
    <w:rsid w:val="004211D3"/>
    <w:rsid w:val="0042142F"/>
    <w:rsid w:val="00421B14"/>
    <w:rsid w:val="0042209D"/>
    <w:rsid w:val="00431061"/>
    <w:rsid w:val="0043204A"/>
    <w:rsid w:val="00433764"/>
    <w:rsid w:val="0044574C"/>
    <w:rsid w:val="004470F6"/>
    <w:rsid w:val="004474C5"/>
    <w:rsid w:val="00456731"/>
    <w:rsid w:val="004608C6"/>
    <w:rsid w:val="0046189C"/>
    <w:rsid w:val="00462E44"/>
    <w:rsid w:val="0046420B"/>
    <w:rsid w:val="004647FA"/>
    <w:rsid w:val="00466AD3"/>
    <w:rsid w:val="00470645"/>
    <w:rsid w:val="00474EB7"/>
    <w:rsid w:val="00475A03"/>
    <w:rsid w:val="00481B96"/>
    <w:rsid w:val="00483AE6"/>
    <w:rsid w:val="00484CF3"/>
    <w:rsid w:val="004876A6"/>
    <w:rsid w:val="00490FAF"/>
    <w:rsid w:val="004913BF"/>
    <w:rsid w:val="00495D8F"/>
    <w:rsid w:val="004A53DD"/>
    <w:rsid w:val="004B4D54"/>
    <w:rsid w:val="004B7131"/>
    <w:rsid w:val="004B7426"/>
    <w:rsid w:val="004C2731"/>
    <w:rsid w:val="004C7BE5"/>
    <w:rsid w:val="004D0D21"/>
    <w:rsid w:val="004D131F"/>
    <w:rsid w:val="004D196F"/>
    <w:rsid w:val="004D6A93"/>
    <w:rsid w:val="004E02CB"/>
    <w:rsid w:val="004E1B0A"/>
    <w:rsid w:val="004E742A"/>
    <w:rsid w:val="004F6462"/>
    <w:rsid w:val="00500E2D"/>
    <w:rsid w:val="00510B3C"/>
    <w:rsid w:val="00514C2C"/>
    <w:rsid w:val="00517DC5"/>
    <w:rsid w:val="005228E0"/>
    <w:rsid w:val="005248AB"/>
    <w:rsid w:val="00527DA2"/>
    <w:rsid w:val="00534B2B"/>
    <w:rsid w:val="0053792F"/>
    <w:rsid w:val="0054575F"/>
    <w:rsid w:val="005575EE"/>
    <w:rsid w:val="00564A84"/>
    <w:rsid w:val="00566A0B"/>
    <w:rsid w:val="00566FC4"/>
    <w:rsid w:val="005673A5"/>
    <w:rsid w:val="005708E3"/>
    <w:rsid w:val="00570BBF"/>
    <w:rsid w:val="00573318"/>
    <w:rsid w:val="005831B6"/>
    <w:rsid w:val="00585218"/>
    <w:rsid w:val="005852D5"/>
    <w:rsid w:val="00596FCD"/>
    <w:rsid w:val="005A22C0"/>
    <w:rsid w:val="005A4D62"/>
    <w:rsid w:val="005A6B2A"/>
    <w:rsid w:val="005B0E15"/>
    <w:rsid w:val="005B2A31"/>
    <w:rsid w:val="005B2B8F"/>
    <w:rsid w:val="005B31D5"/>
    <w:rsid w:val="005B3B75"/>
    <w:rsid w:val="005B4F6E"/>
    <w:rsid w:val="005C6885"/>
    <w:rsid w:val="005C6AF9"/>
    <w:rsid w:val="005C7E40"/>
    <w:rsid w:val="005D07FE"/>
    <w:rsid w:val="005D1EE3"/>
    <w:rsid w:val="005D248C"/>
    <w:rsid w:val="005D3E9A"/>
    <w:rsid w:val="005E2990"/>
    <w:rsid w:val="005E5114"/>
    <w:rsid w:val="005E76DF"/>
    <w:rsid w:val="005E7BC6"/>
    <w:rsid w:val="005F5EAF"/>
    <w:rsid w:val="00603F0E"/>
    <w:rsid w:val="00605589"/>
    <w:rsid w:val="00606F3A"/>
    <w:rsid w:val="00613BAA"/>
    <w:rsid w:val="00613BAF"/>
    <w:rsid w:val="0061410E"/>
    <w:rsid w:val="006171A9"/>
    <w:rsid w:val="00620720"/>
    <w:rsid w:val="00620939"/>
    <w:rsid w:val="0062154A"/>
    <w:rsid w:val="00625964"/>
    <w:rsid w:val="006320F3"/>
    <w:rsid w:val="00637C61"/>
    <w:rsid w:val="006430E7"/>
    <w:rsid w:val="00650865"/>
    <w:rsid w:val="006549F0"/>
    <w:rsid w:val="00660A4B"/>
    <w:rsid w:val="0066577C"/>
    <w:rsid w:val="00672CBE"/>
    <w:rsid w:val="00674EEE"/>
    <w:rsid w:val="0067619E"/>
    <w:rsid w:val="00681AB1"/>
    <w:rsid w:val="006830DC"/>
    <w:rsid w:val="006833FA"/>
    <w:rsid w:val="006851DC"/>
    <w:rsid w:val="00697E2D"/>
    <w:rsid w:val="006A104A"/>
    <w:rsid w:val="006A2469"/>
    <w:rsid w:val="006A3332"/>
    <w:rsid w:val="006A3367"/>
    <w:rsid w:val="006B2ED6"/>
    <w:rsid w:val="006B4EC3"/>
    <w:rsid w:val="006C2A51"/>
    <w:rsid w:val="006C3DF9"/>
    <w:rsid w:val="006C43DA"/>
    <w:rsid w:val="006D03B3"/>
    <w:rsid w:val="006D5861"/>
    <w:rsid w:val="006E029E"/>
    <w:rsid w:val="006E446A"/>
    <w:rsid w:val="006F0321"/>
    <w:rsid w:val="006F7AA5"/>
    <w:rsid w:val="00702A92"/>
    <w:rsid w:val="0070462D"/>
    <w:rsid w:val="00714E3C"/>
    <w:rsid w:val="007174CC"/>
    <w:rsid w:val="00717D17"/>
    <w:rsid w:val="0072188D"/>
    <w:rsid w:val="0072751F"/>
    <w:rsid w:val="007340F5"/>
    <w:rsid w:val="007369EE"/>
    <w:rsid w:val="0074107C"/>
    <w:rsid w:val="007427F1"/>
    <w:rsid w:val="00743707"/>
    <w:rsid w:val="007447D4"/>
    <w:rsid w:val="007555F8"/>
    <w:rsid w:val="007556C0"/>
    <w:rsid w:val="00764DDE"/>
    <w:rsid w:val="00764DF6"/>
    <w:rsid w:val="00765A68"/>
    <w:rsid w:val="00766585"/>
    <w:rsid w:val="00772D75"/>
    <w:rsid w:val="00774505"/>
    <w:rsid w:val="00784C61"/>
    <w:rsid w:val="007877E5"/>
    <w:rsid w:val="007A1094"/>
    <w:rsid w:val="007A17D3"/>
    <w:rsid w:val="007A3EA0"/>
    <w:rsid w:val="007A5125"/>
    <w:rsid w:val="007A5533"/>
    <w:rsid w:val="007B1D4E"/>
    <w:rsid w:val="007B7DAE"/>
    <w:rsid w:val="007C6412"/>
    <w:rsid w:val="007E7969"/>
    <w:rsid w:val="007F1928"/>
    <w:rsid w:val="00800572"/>
    <w:rsid w:val="00810C2C"/>
    <w:rsid w:val="0081275F"/>
    <w:rsid w:val="008138FE"/>
    <w:rsid w:val="008226DA"/>
    <w:rsid w:val="00822E7F"/>
    <w:rsid w:val="00827436"/>
    <w:rsid w:val="008341F9"/>
    <w:rsid w:val="00837CA7"/>
    <w:rsid w:val="0084493F"/>
    <w:rsid w:val="0084759F"/>
    <w:rsid w:val="00851866"/>
    <w:rsid w:val="00851C73"/>
    <w:rsid w:val="008551E5"/>
    <w:rsid w:val="008560DB"/>
    <w:rsid w:val="00856706"/>
    <w:rsid w:val="008605CF"/>
    <w:rsid w:val="008639DC"/>
    <w:rsid w:val="00864E22"/>
    <w:rsid w:val="00866AC7"/>
    <w:rsid w:val="008710A7"/>
    <w:rsid w:val="0087110B"/>
    <w:rsid w:val="00871F43"/>
    <w:rsid w:val="00873008"/>
    <w:rsid w:val="0087348F"/>
    <w:rsid w:val="00881181"/>
    <w:rsid w:val="0088146B"/>
    <w:rsid w:val="00882489"/>
    <w:rsid w:val="00883247"/>
    <w:rsid w:val="008851F7"/>
    <w:rsid w:val="0088562C"/>
    <w:rsid w:val="00887733"/>
    <w:rsid w:val="00887F4F"/>
    <w:rsid w:val="00890701"/>
    <w:rsid w:val="00895C09"/>
    <w:rsid w:val="00896105"/>
    <w:rsid w:val="008979D2"/>
    <w:rsid w:val="008A26FB"/>
    <w:rsid w:val="008A2849"/>
    <w:rsid w:val="008A28A4"/>
    <w:rsid w:val="008A2912"/>
    <w:rsid w:val="008A2E06"/>
    <w:rsid w:val="008A3819"/>
    <w:rsid w:val="008B0FD4"/>
    <w:rsid w:val="008B1E72"/>
    <w:rsid w:val="008B7BCD"/>
    <w:rsid w:val="008C3435"/>
    <w:rsid w:val="008D3999"/>
    <w:rsid w:val="008D3BA3"/>
    <w:rsid w:val="008E22F7"/>
    <w:rsid w:val="008E28CD"/>
    <w:rsid w:val="008E32AD"/>
    <w:rsid w:val="008E496D"/>
    <w:rsid w:val="008E605D"/>
    <w:rsid w:val="008E76E8"/>
    <w:rsid w:val="008F2495"/>
    <w:rsid w:val="008F381D"/>
    <w:rsid w:val="008F41FA"/>
    <w:rsid w:val="00901019"/>
    <w:rsid w:val="009075E6"/>
    <w:rsid w:val="00913712"/>
    <w:rsid w:val="0091483C"/>
    <w:rsid w:val="00920DE4"/>
    <w:rsid w:val="009215ED"/>
    <w:rsid w:val="009324A4"/>
    <w:rsid w:val="009371EC"/>
    <w:rsid w:val="0093736E"/>
    <w:rsid w:val="0093776E"/>
    <w:rsid w:val="00942137"/>
    <w:rsid w:val="0094465A"/>
    <w:rsid w:val="00944800"/>
    <w:rsid w:val="00950E4F"/>
    <w:rsid w:val="00952E31"/>
    <w:rsid w:val="009532D4"/>
    <w:rsid w:val="00957B3A"/>
    <w:rsid w:val="00957B8F"/>
    <w:rsid w:val="009632D1"/>
    <w:rsid w:val="0096792A"/>
    <w:rsid w:val="009720AD"/>
    <w:rsid w:val="009736BA"/>
    <w:rsid w:val="00977DEA"/>
    <w:rsid w:val="00980C53"/>
    <w:rsid w:val="00982DDA"/>
    <w:rsid w:val="00986314"/>
    <w:rsid w:val="009963CF"/>
    <w:rsid w:val="009967AC"/>
    <w:rsid w:val="009A33D3"/>
    <w:rsid w:val="009A3629"/>
    <w:rsid w:val="009A4E03"/>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3612"/>
    <w:rsid w:val="009F483A"/>
    <w:rsid w:val="009F6ABD"/>
    <w:rsid w:val="009F7328"/>
    <w:rsid w:val="00A01A86"/>
    <w:rsid w:val="00A048C8"/>
    <w:rsid w:val="00A13C58"/>
    <w:rsid w:val="00A17F38"/>
    <w:rsid w:val="00A2071D"/>
    <w:rsid w:val="00A21F64"/>
    <w:rsid w:val="00A32F4B"/>
    <w:rsid w:val="00A33315"/>
    <w:rsid w:val="00A334AA"/>
    <w:rsid w:val="00A45E20"/>
    <w:rsid w:val="00A471BB"/>
    <w:rsid w:val="00A5410F"/>
    <w:rsid w:val="00A608F2"/>
    <w:rsid w:val="00A61260"/>
    <w:rsid w:val="00A630D5"/>
    <w:rsid w:val="00A67933"/>
    <w:rsid w:val="00A7379F"/>
    <w:rsid w:val="00A74828"/>
    <w:rsid w:val="00A763B1"/>
    <w:rsid w:val="00A81B27"/>
    <w:rsid w:val="00A82B1D"/>
    <w:rsid w:val="00A84A29"/>
    <w:rsid w:val="00A917CC"/>
    <w:rsid w:val="00A92FFC"/>
    <w:rsid w:val="00A937DE"/>
    <w:rsid w:val="00A96F72"/>
    <w:rsid w:val="00A9701B"/>
    <w:rsid w:val="00A973ED"/>
    <w:rsid w:val="00AA0544"/>
    <w:rsid w:val="00AA6164"/>
    <w:rsid w:val="00AA6F42"/>
    <w:rsid w:val="00AB0D24"/>
    <w:rsid w:val="00AB60B7"/>
    <w:rsid w:val="00AB766C"/>
    <w:rsid w:val="00AC2465"/>
    <w:rsid w:val="00AC6032"/>
    <w:rsid w:val="00AC7F54"/>
    <w:rsid w:val="00AE1D30"/>
    <w:rsid w:val="00AF6812"/>
    <w:rsid w:val="00B0645B"/>
    <w:rsid w:val="00B06815"/>
    <w:rsid w:val="00B07CC1"/>
    <w:rsid w:val="00B10F2A"/>
    <w:rsid w:val="00B11513"/>
    <w:rsid w:val="00B14318"/>
    <w:rsid w:val="00B174D7"/>
    <w:rsid w:val="00B20C03"/>
    <w:rsid w:val="00B22DEA"/>
    <w:rsid w:val="00B25266"/>
    <w:rsid w:val="00B27165"/>
    <w:rsid w:val="00B31C20"/>
    <w:rsid w:val="00B36E56"/>
    <w:rsid w:val="00B375DD"/>
    <w:rsid w:val="00B40CCC"/>
    <w:rsid w:val="00B42E74"/>
    <w:rsid w:val="00B461B3"/>
    <w:rsid w:val="00B501D5"/>
    <w:rsid w:val="00B626FC"/>
    <w:rsid w:val="00B66DC8"/>
    <w:rsid w:val="00B73E46"/>
    <w:rsid w:val="00B74618"/>
    <w:rsid w:val="00B77B2A"/>
    <w:rsid w:val="00B813D6"/>
    <w:rsid w:val="00B82868"/>
    <w:rsid w:val="00B84D3C"/>
    <w:rsid w:val="00B859F1"/>
    <w:rsid w:val="00B85A4F"/>
    <w:rsid w:val="00B87CBE"/>
    <w:rsid w:val="00B91C0E"/>
    <w:rsid w:val="00B94230"/>
    <w:rsid w:val="00B95E8E"/>
    <w:rsid w:val="00BA3AC9"/>
    <w:rsid w:val="00BA46A1"/>
    <w:rsid w:val="00BA7A94"/>
    <w:rsid w:val="00BB2308"/>
    <w:rsid w:val="00BB4707"/>
    <w:rsid w:val="00BC6F0E"/>
    <w:rsid w:val="00BD37CD"/>
    <w:rsid w:val="00BD3BD5"/>
    <w:rsid w:val="00BD46EF"/>
    <w:rsid w:val="00BD4A26"/>
    <w:rsid w:val="00BE1835"/>
    <w:rsid w:val="00BE1A83"/>
    <w:rsid w:val="00BE6226"/>
    <w:rsid w:val="00BE7656"/>
    <w:rsid w:val="00BF1460"/>
    <w:rsid w:val="00C01CA2"/>
    <w:rsid w:val="00C141A5"/>
    <w:rsid w:val="00C14869"/>
    <w:rsid w:val="00C1747D"/>
    <w:rsid w:val="00C20D95"/>
    <w:rsid w:val="00C21FD4"/>
    <w:rsid w:val="00C32A39"/>
    <w:rsid w:val="00C33D23"/>
    <w:rsid w:val="00C42657"/>
    <w:rsid w:val="00C443E7"/>
    <w:rsid w:val="00C47224"/>
    <w:rsid w:val="00C51F23"/>
    <w:rsid w:val="00C54149"/>
    <w:rsid w:val="00C561F6"/>
    <w:rsid w:val="00C622A2"/>
    <w:rsid w:val="00C70389"/>
    <w:rsid w:val="00C75794"/>
    <w:rsid w:val="00C7630D"/>
    <w:rsid w:val="00C76545"/>
    <w:rsid w:val="00C82CEA"/>
    <w:rsid w:val="00C85C01"/>
    <w:rsid w:val="00C85C42"/>
    <w:rsid w:val="00C94EDB"/>
    <w:rsid w:val="00C97DEF"/>
    <w:rsid w:val="00CA2F81"/>
    <w:rsid w:val="00CA3AD3"/>
    <w:rsid w:val="00CB0454"/>
    <w:rsid w:val="00CB70FE"/>
    <w:rsid w:val="00CB7BE9"/>
    <w:rsid w:val="00CD10E5"/>
    <w:rsid w:val="00CD3B56"/>
    <w:rsid w:val="00CD4AED"/>
    <w:rsid w:val="00CD596D"/>
    <w:rsid w:val="00CD67E4"/>
    <w:rsid w:val="00CD6C64"/>
    <w:rsid w:val="00CE0CA3"/>
    <w:rsid w:val="00CE3FAD"/>
    <w:rsid w:val="00CE6272"/>
    <w:rsid w:val="00CF02D5"/>
    <w:rsid w:val="00CF36F4"/>
    <w:rsid w:val="00D0338D"/>
    <w:rsid w:val="00D05D2E"/>
    <w:rsid w:val="00D07C52"/>
    <w:rsid w:val="00D132A1"/>
    <w:rsid w:val="00D13603"/>
    <w:rsid w:val="00D14019"/>
    <w:rsid w:val="00D173F6"/>
    <w:rsid w:val="00D219CC"/>
    <w:rsid w:val="00D24B05"/>
    <w:rsid w:val="00D254ED"/>
    <w:rsid w:val="00D26C10"/>
    <w:rsid w:val="00D31EEF"/>
    <w:rsid w:val="00D33839"/>
    <w:rsid w:val="00D43014"/>
    <w:rsid w:val="00D508B6"/>
    <w:rsid w:val="00D51A7E"/>
    <w:rsid w:val="00D55552"/>
    <w:rsid w:val="00D567CF"/>
    <w:rsid w:val="00D57DDC"/>
    <w:rsid w:val="00D662FC"/>
    <w:rsid w:val="00D708BF"/>
    <w:rsid w:val="00D722BA"/>
    <w:rsid w:val="00D74DF7"/>
    <w:rsid w:val="00D814C9"/>
    <w:rsid w:val="00D81637"/>
    <w:rsid w:val="00D848A4"/>
    <w:rsid w:val="00D87786"/>
    <w:rsid w:val="00D96853"/>
    <w:rsid w:val="00D97D05"/>
    <w:rsid w:val="00DA0453"/>
    <w:rsid w:val="00DA2959"/>
    <w:rsid w:val="00DA501E"/>
    <w:rsid w:val="00DB0FCF"/>
    <w:rsid w:val="00DB44D8"/>
    <w:rsid w:val="00DC0A5B"/>
    <w:rsid w:val="00DC306B"/>
    <w:rsid w:val="00DE5AD8"/>
    <w:rsid w:val="00DE6AE1"/>
    <w:rsid w:val="00DF1A54"/>
    <w:rsid w:val="00DF4324"/>
    <w:rsid w:val="00DF63C8"/>
    <w:rsid w:val="00E007F4"/>
    <w:rsid w:val="00E02D6D"/>
    <w:rsid w:val="00E1279B"/>
    <w:rsid w:val="00E13AD9"/>
    <w:rsid w:val="00E20A7A"/>
    <w:rsid w:val="00E21FC0"/>
    <w:rsid w:val="00E262C2"/>
    <w:rsid w:val="00E26D15"/>
    <w:rsid w:val="00E324E9"/>
    <w:rsid w:val="00E32A55"/>
    <w:rsid w:val="00E32BAF"/>
    <w:rsid w:val="00E35D03"/>
    <w:rsid w:val="00E51B40"/>
    <w:rsid w:val="00E54F95"/>
    <w:rsid w:val="00E7015E"/>
    <w:rsid w:val="00E703FB"/>
    <w:rsid w:val="00E7142D"/>
    <w:rsid w:val="00E721AA"/>
    <w:rsid w:val="00E72DA1"/>
    <w:rsid w:val="00E7380C"/>
    <w:rsid w:val="00E74085"/>
    <w:rsid w:val="00E775E7"/>
    <w:rsid w:val="00E85C88"/>
    <w:rsid w:val="00E861C8"/>
    <w:rsid w:val="00E874BF"/>
    <w:rsid w:val="00E87BAC"/>
    <w:rsid w:val="00E92135"/>
    <w:rsid w:val="00E960BA"/>
    <w:rsid w:val="00EB2F23"/>
    <w:rsid w:val="00EB59AF"/>
    <w:rsid w:val="00EC2DA8"/>
    <w:rsid w:val="00EC3F95"/>
    <w:rsid w:val="00EC684C"/>
    <w:rsid w:val="00ED6A91"/>
    <w:rsid w:val="00EE48F5"/>
    <w:rsid w:val="00EF0614"/>
    <w:rsid w:val="00EF4739"/>
    <w:rsid w:val="00EF58E8"/>
    <w:rsid w:val="00F031A3"/>
    <w:rsid w:val="00F06469"/>
    <w:rsid w:val="00F068D1"/>
    <w:rsid w:val="00F13E62"/>
    <w:rsid w:val="00F16FB7"/>
    <w:rsid w:val="00F22703"/>
    <w:rsid w:val="00F238D6"/>
    <w:rsid w:val="00F24089"/>
    <w:rsid w:val="00F242D3"/>
    <w:rsid w:val="00F24DFA"/>
    <w:rsid w:val="00F309BD"/>
    <w:rsid w:val="00F36D94"/>
    <w:rsid w:val="00F43CA9"/>
    <w:rsid w:val="00F541BB"/>
    <w:rsid w:val="00F54938"/>
    <w:rsid w:val="00F555A9"/>
    <w:rsid w:val="00F566D3"/>
    <w:rsid w:val="00F81AA0"/>
    <w:rsid w:val="00F825C8"/>
    <w:rsid w:val="00F85A88"/>
    <w:rsid w:val="00F868FC"/>
    <w:rsid w:val="00F91B48"/>
    <w:rsid w:val="00F94649"/>
    <w:rsid w:val="00F94751"/>
    <w:rsid w:val="00FA0B7A"/>
    <w:rsid w:val="00FA104F"/>
    <w:rsid w:val="00FA23EF"/>
    <w:rsid w:val="00FA6BE7"/>
    <w:rsid w:val="00FB0D2C"/>
    <w:rsid w:val="00FB2ED2"/>
    <w:rsid w:val="00FC2EFE"/>
    <w:rsid w:val="00FC7C4A"/>
    <w:rsid w:val="00FD5943"/>
    <w:rsid w:val="00FD7415"/>
    <w:rsid w:val="00FD7489"/>
    <w:rsid w:val="00FE1F7F"/>
    <w:rsid w:val="00FE3B45"/>
    <w:rsid w:val="00FE6187"/>
    <w:rsid w:val="00FE64BB"/>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F38F"/>
  <w15:docId w15:val="{6E7F2F77-CA1B-4117-8BDA-DCCAFBB8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3">
    <w:name w:val="heading 3"/>
    <w:basedOn w:val="Normal"/>
    <w:next w:val="Normal"/>
    <w:link w:val="Heading3Char"/>
    <w:uiPriority w:val="9"/>
    <w:semiHidden/>
    <w:unhideWhenUsed/>
    <w:qFormat/>
    <w:rsid w:val="003C6F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47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 w:type="character" w:customStyle="1" w:styleId="il">
    <w:name w:val="il"/>
    <w:basedOn w:val="DefaultParagraphFont"/>
    <w:rsid w:val="00E13AD9"/>
  </w:style>
  <w:style w:type="character" w:customStyle="1" w:styleId="Heading4Char">
    <w:name w:val="Heading 4 Char"/>
    <w:basedOn w:val="DefaultParagraphFont"/>
    <w:link w:val="Heading4"/>
    <w:uiPriority w:val="9"/>
    <w:semiHidden/>
    <w:rsid w:val="004647FA"/>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C6F5B"/>
    <w:rPr>
      <w:rFonts w:asciiTheme="majorHAnsi" w:eastAsiaTheme="majorEastAsia" w:hAnsiTheme="majorHAnsi" w:cstheme="majorBidi"/>
      <w:b/>
      <w:bCs/>
      <w:color w:val="4F81BD" w:themeColor="accent1"/>
    </w:rPr>
  </w:style>
  <w:style w:type="paragraph" w:customStyle="1" w:styleId="sm-teasersubtitle">
    <w:name w:val="sm-teaser__subtitle"/>
    <w:basedOn w:val="Normal"/>
    <w:rsid w:val="003C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teasermeta">
    <w:name w:val="sm-teaser__meta"/>
    <w:basedOn w:val="DefaultParagraphFont"/>
    <w:rsid w:val="003C6F5B"/>
  </w:style>
  <w:style w:type="paragraph" w:customStyle="1" w:styleId="3vff3xh4yd">
    <w:name w:val="_3vff3xh4yd"/>
    <w:basedOn w:val="Normal"/>
    <w:rsid w:val="00E71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116AE9"/>
  </w:style>
  <w:style w:type="character" w:customStyle="1" w:styleId="articlecitationvolume">
    <w:name w:val="articlecitation_volume"/>
    <w:basedOn w:val="DefaultParagraphFont"/>
    <w:rsid w:val="00116AE9"/>
  </w:style>
  <w:style w:type="character" w:customStyle="1" w:styleId="articlecitationpages">
    <w:name w:val="articlecitation_pages"/>
    <w:basedOn w:val="DefaultParagraphFont"/>
    <w:rsid w:val="0011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351608562">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687102283">
      <w:bodyDiv w:val="1"/>
      <w:marLeft w:val="0"/>
      <w:marRight w:val="0"/>
      <w:marTop w:val="0"/>
      <w:marBottom w:val="0"/>
      <w:divBdr>
        <w:top w:val="none" w:sz="0" w:space="0" w:color="auto"/>
        <w:left w:val="none" w:sz="0" w:space="0" w:color="auto"/>
        <w:bottom w:val="none" w:sz="0" w:space="0" w:color="auto"/>
        <w:right w:val="none" w:sz="0" w:space="0" w:color="auto"/>
      </w:divBdr>
    </w:div>
    <w:div w:id="829755949">
      <w:bodyDiv w:val="1"/>
      <w:marLeft w:val="0"/>
      <w:marRight w:val="0"/>
      <w:marTop w:val="0"/>
      <w:marBottom w:val="0"/>
      <w:divBdr>
        <w:top w:val="none" w:sz="0" w:space="0" w:color="auto"/>
        <w:left w:val="none" w:sz="0" w:space="0" w:color="auto"/>
        <w:bottom w:val="none" w:sz="0" w:space="0" w:color="auto"/>
        <w:right w:val="none" w:sz="0" w:space="0" w:color="auto"/>
      </w:divBdr>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 w:id="1362323608">
      <w:bodyDiv w:val="1"/>
      <w:marLeft w:val="0"/>
      <w:marRight w:val="0"/>
      <w:marTop w:val="0"/>
      <w:marBottom w:val="0"/>
      <w:divBdr>
        <w:top w:val="none" w:sz="0" w:space="0" w:color="auto"/>
        <w:left w:val="none" w:sz="0" w:space="0" w:color="auto"/>
        <w:bottom w:val="none" w:sz="0" w:space="0" w:color="auto"/>
        <w:right w:val="none" w:sz="0" w:space="0" w:color="auto"/>
      </w:divBdr>
    </w:div>
    <w:div w:id="1507214073">
      <w:bodyDiv w:val="1"/>
      <w:marLeft w:val="0"/>
      <w:marRight w:val="0"/>
      <w:marTop w:val="0"/>
      <w:marBottom w:val="0"/>
      <w:divBdr>
        <w:top w:val="none" w:sz="0" w:space="0" w:color="auto"/>
        <w:left w:val="none" w:sz="0" w:space="0" w:color="auto"/>
        <w:bottom w:val="none" w:sz="0" w:space="0" w:color="auto"/>
        <w:right w:val="none" w:sz="0" w:space="0" w:color="auto"/>
      </w:divBdr>
    </w:div>
    <w:div w:id="1760326535">
      <w:bodyDiv w:val="1"/>
      <w:marLeft w:val="0"/>
      <w:marRight w:val="0"/>
      <w:marTop w:val="0"/>
      <w:marBottom w:val="0"/>
      <w:divBdr>
        <w:top w:val="none" w:sz="0" w:space="0" w:color="auto"/>
        <w:left w:val="none" w:sz="0" w:space="0" w:color="auto"/>
        <w:bottom w:val="none" w:sz="0" w:space="0" w:color="auto"/>
        <w:right w:val="none" w:sz="0" w:space="0" w:color="auto"/>
      </w:divBdr>
    </w:div>
    <w:div w:id="184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s://mitpress.mit.edu/books/taming-tide-capital-flows"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srn.com/abstract=26864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ber.org/papers/w19091" TargetMode="External"/><Relationship Id="rId20" Type="http://schemas.openxmlformats.org/officeDocument/2006/relationships/hyperlink" Target="http://ideas.repec.org/s/eee/eecre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harvard.edu/files/frankel/files/fx_asianregimeesttablesxie201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harvard.edu/files/frankel/files/fx_datappendx_shrutilakhtakia.docx"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ideas.repec.org/a/eee/eecrev/v52y2008i6p941-963.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holar.harvard.edu/files/frankel/files/systmngdfloat20170617turkeyfullregressnsappendix.xlsx"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B5A72-3282-40DF-BFD7-2DF07DD9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16376</Words>
  <Characters>93345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Frankel, Jeffrey A.</cp:lastModifiedBy>
  <cp:revision>2</cp:revision>
  <cp:lastPrinted>2017-06-21T17:31:00Z</cp:lastPrinted>
  <dcterms:created xsi:type="dcterms:W3CDTF">2019-01-03T23:04:00Z</dcterms:created>
  <dcterms:modified xsi:type="dcterms:W3CDTF">2019-01-03T23:04:00Z</dcterms:modified>
</cp:coreProperties>
</file>